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C6" w:rsidRPr="00EC3A34" w:rsidRDefault="002F6EC6" w:rsidP="00EC3A3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C3A34">
        <w:rPr>
          <w:rFonts w:ascii="Verdana" w:hAnsi="Verdana"/>
          <w:b/>
          <w:sz w:val="24"/>
          <w:szCs w:val="24"/>
        </w:rPr>
        <w:t>R</w:t>
      </w:r>
      <w:r w:rsidR="00EC3A34" w:rsidRPr="00EC3A34">
        <w:rPr>
          <w:rFonts w:ascii="Verdana" w:hAnsi="Verdana"/>
          <w:b/>
          <w:sz w:val="24"/>
          <w:szCs w:val="24"/>
        </w:rPr>
        <w:t>ESULTADOS DE PARTICIPACIÓN CIUDADANA DIRECTIVA 07 DE 2018 Y PROPUESTA DE PLAN DE TRABAJO</w:t>
      </w:r>
    </w:p>
    <w:p w:rsidR="000F0447" w:rsidRPr="00EC3A34" w:rsidRDefault="000F0447" w:rsidP="007157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0447" w:rsidRPr="00715703" w:rsidRDefault="000F0447" w:rsidP="007157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C3A34" w:rsidRDefault="00EC3A34" w:rsidP="007157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C3A34" w:rsidRDefault="00EC3A34" w:rsidP="007157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F6EC6" w:rsidRPr="00715703" w:rsidRDefault="002F6EC6" w:rsidP="007157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5703">
        <w:rPr>
          <w:rFonts w:ascii="Verdana" w:hAnsi="Verdana" w:cs="Arial"/>
          <w:noProof/>
          <w:sz w:val="24"/>
          <w:szCs w:val="24"/>
          <w:lang w:eastAsia="es-CO"/>
        </w:rPr>
        <w:drawing>
          <wp:inline distT="0" distB="0" distL="0" distR="0" wp14:anchorId="4807B6C9" wp14:editId="6AFC2518">
            <wp:extent cx="5926262" cy="496613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44" cy="496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47" w:rsidRDefault="000F0447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C3A34" w:rsidRDefault="00EC3A34" w:rsidP="00EC3A3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C3A34" w:rsidRDefault="00EC3A34" w:rsidP="00EC3A3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C3A34" w:rsidRDefault="00EC3A34" w:rsidP="00EC3A3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C3A34" w:rsidRDefault="00EC3A34" w:rsidP="00EC3A3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C3A34" w:rsidRPr="00715703" w:rsidRDefault="00EC3A34" w:rsidP="00EC3A3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15703">
        <w:rPr>
          <w:rFonts w:ascii="Verdana" w:hAnsi="Verdana"/>
          <w:b/>
          <w:sz w:val="24"/>
          <w:szCs w:val="24"/>
        </w:rPr>
        <w:t>SECTO</w:t>
      </w:r>
      <w:r w:rsidR="00953247">
        <w:rPr>
          <w:rFonts w:ascii="Verdana" w:hAnsi="Verdana"/>
          <w:b/>
          <w:sz w:val="24"/>
          <w:szCs w:val="24"/>
        </w:rPr>
        <w:t>R VIVIENDA, CIUDAD Y TERRITORIO</w:t>
      </w:r>
    </w:p>
    <w:p w:rsidR="00EC3A34" w:rsidRPr="00715703" w:rsidRDefault="00EC3A34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C3A34" w:rsidRDefault="00EC3A3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0F0447" w:rsidRPr="00715703" w:rsidRDefault="00953247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En el presente informe</w:t>
      </w:r>
      <w:r w:rsidR="001C6723" w:rsidRPr="0071570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se muestran </w:t>
      </w:r>
      <w:r w:rsidR="001C6723" w:rsidRPr="00715703">
        <w:rPr>
          <w:rFonts w:ascii="Verdana" w:hAnsi="Verdana"/>
          <w:sz w:val="24"/>
          <w:szCs w:val="24"/>
        </w:rPr>
        <w:t xml:space="preserve">los resultados </w:t>
      </w:r>
      <w:r>
        <w:rPr>
          <w:rFonts w:ascii="Verdana" w:hAnsi="Verdana"/>
          <w:sz w:val="24"/>
          <w:szCs w:val="24"/>
        </w:rPr>
        <w:t>de</w:t>
      </w:r>
      <w:r w:rsidR="001C6723" w:rsidRPr="00715703">
        <w:rPr>
          <w:rFonts w:ascii="Verdana" w:hAnsi="Verdana"/>
          <w:sz w:val="24"/>
          <w:szCs w:val="24"/>
        </w:rPr>
        <w:t>l ejercicio de participación ciudadana llevado a cabo en cumplimiento de la Directiva Presidencial 07</w:t>
      </w:r>
      <w:r w:rsidR="000F0447" w:rsidRPr="00715703">
        <w:rPr>
          <w:rFonts w:ascii="Verdana" w:hAnsi="Verdana"/>
          <w:sz w:val="24"/>
          <w:szCs w:val="24"/>
        </w:rPr>
        <w:t xml:space="preserve"> “Estado Simple, Colombia Ágil” del sector Vivienda, Ciudad y Territorio, compuesto por las siguientes entidades:</w:t>
      </w:r>
    </w:p>
    <w:p w:rsidR="000F0447" w:rsidRPr="00715703" w:rsidRDefault="000F0447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0447" w:rsidRPr="00715703" w:rsidRDefault="00953247" w:rsidP="00715703">
      <w:pPr>
        <w:pStyle w:val="Prrafodelista"/>
        <w:numPr>
          <w:ilvl w:val="0"/>
          <w:numId w:val="3"/>
        </w:numPr>
        <w:spacing w:after="0" w:line="240" w:lineRule="auto"/>
        <w:ind w:left="141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Ministerio de V</w:t>
      </w:r>
      <w:r w:rsidR="000F0447" w:rsidRPr="00715703">
        <w:rPr>
          <w:rFonts w:ascii="Verdana" w:hAnsi="Verdana"/>
          <w:sz w:val="24"/>
          <w:szCs w:val="24"/>
        </w:rPr>
        <w:t xml:space="preserve">ivienda, Ciudad y Territorio (MVCT) </w:t>
      </w:r>
    </w:p>
    <w:p w:rsidR="000F0447" w:rsidRPr="00715703" w:rsidRDefault="000F0447" w:rsidP="00715703">
      <w:pPr>
        <w:pStyle w:val="Prrafodelista"/>
        <w:numPr>
          <w:ilvl w:val="0"/>
          <w:numId w:val="3"/>
        </w:numPr>
        <w:spacing w:after="0" w:line="240" w:lineRule="auto"/>
        <w:ind w:left="1418"/>
        <w:jc w:val="both"/>
        <w:rPr>
          <w:rFonts w:ascii="Verdana" w:hAnsi="Verdana"/>
          <w:sz w:val="24"/>
          <w:szCs w:val="24"/>
        </w:rPr>
      </w:pPr>
      <w:r w:rsidRPr="00715703">
        <w:rPr>
          <w:rFonts w:ascii="Verdana" w:hAnsi="Verdana"/>
          <w:sz w:val="24"/>
          <w:szCs w:val="24"/>
        </w:rPr>
        <w:t>Comisión de Regulación de Agua Potable y Saneamiento Básico (CRA)</w:t>
      </w:r>
    </w:p>
    <w:p w:rsidR="000F0447" w:rsidRPr="00715703" w:rsidRDefault="000F0447" w:rsidP="00715703">
      <w:pPr>
        <w:pStyle w:val="Prrafodelista"/>
        <w:numPr>
          <w:ilvl w:val="0"/>
          <w:numId w:val="3"/>
        </w:numPr>
        <w:spacing w:after="0" w:line="240" w:lineRule="auto"/>
        <w:ind w:left="1418"/>
        <w:jc w:val="both"/>
        <w:rPr>
          <w:rFonts w:ascii="Verdana" w:hAnsi="Verdana"/>
          <w:sz w:val="24"/>
          <w:szCs w:val="24"/>
        </w:rPr>
      </w:pPr>
      <w:r w:rsidRPr="00715703">
        <w:rPr>
          <w:rFonts w:ascii="Verdana" w:hAnsi="Verdana"/>
          <w:sz w:val="24"/>
          <w:szCs w:val="24"/>
        </w:rPr>
        <w:t>Fondo Nacional del Ahorro (FNA)</w:t>
      </w:r>
    </w:p>
    <w:p w:rsidR="000F0447" w:rsidRPr="00715703" w:rsidRDefault="000F0447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0447" w:rsidRPr="00715703" w:rsidRDefault="000F0447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5703">
        <w:rPr>
          <w:rFonts w:ascii="Verdana" w:hAnsi="Verdana"/>
          <w:sz w:val="24"/>
          <w:szCs w:val="24"/>
        </w:rPr>
        <w:t>Las entidades del sector desarrollaron su estra</w:t>
      </w:r>
      <w:r w:rsidR="00953247">
        <w:rPr>
          <w:rFonts w:ascii="Verdana" w:hAnsi="Verdana"/>
          <w:sz w:val="24"/>
          <w:szCs w:val="24"/>
        </w:rPr>
        <w:t>tegia de comunicación mediante la</w:t>
      </w:r>
      <w:r w:rsidRPr="00715703">
        <w:rPr>
          <w:rFonts w:ascii="Verdana" w:hAnsi="Verdana"/>
          <w:sz w:val="24"/>
          <w:szCs w:val="24"/>
        </w:rPr>
        <w:t xml:space="preserve"> </w:t>
      </w:r>
      <w:r w:rsidR="00953247">
        <w:rPr>
          <w:rFonts w:ascii="Verdana" w:hAnsi="Verdana"/>
          <w:sz w:val="24"/>
          <w:szCs w:val="24"/>
        </w:rPr>
        <w:t>página principal de su</w:t>
      </w:r>
      <w:r w:rsidR="001C6723" w:rsidRPr="00715703">
        <w:rPr>
          <w:rFonts w:ascii="Verdana" w:hAnsi="Verdana"/>
          <w:sz w:val="24"/>
          <w:szCs w:val="24"/>
        </w:rPr>
        <w:t xml:space="preserve"> portal web institucional</w:t>
      </w:r>
      <w:r w:rsidR="00953247">
        <w:rPr>
          <w:rFonts w:ascii="Verdana" w:hAnsi="Verdana"/>
          <w:sz w:val="24"/>
          <w:szCs w:val="24"/>
        </w:rPr>
        <w:t>,</w:t>
      </w:r>
      <w:r w:rsidR="001C6723" w:rsidRPr="00715703">
        <w:rPr>
          <w:rFonts w:ascii="Verdana" w:hAnsi="Verdana"/>
          <w:sz w:val="24"/>
          <w:szCs w:val="24"/>
        </w:rPr>
        <w:t xml:space="preserve"> donde publicaron </w:t>
      </w:r>
      <w:r w:rsidR="00953247">
        <w:rPr>
          <w:rFonts w:ascii="Verdana" w:hAnsi="Verdana"/>
          <w:sz w:val="24"/>
          <w:szCs w:val="24"/>
        </w:rPr>
        <w:t>el “banner”</w:t>
      </w:r>
      <w:r w:rsidRPr="00715703">
        <w:rPr>
          <w:rFonts w:ascii="Verdana" w:hAnsi="Verdana"/>
          <w:sz w:val="24"/>
          <w:szCs w:val="24"/>
        </w:rPr>
        <w:t xml:space="preserve"> y </w:t>
      </w:r>
      <w:r w:rsidR="001C6723" w:rsidRPr="00715703">
        <w:rPr>
          <w:rFonts w:ascii="Verdana" w:hAnsi="Verdana"/>
          <w:sz w:val="24"/>
          <w:szCs w:val="24"/>
        </w:rPr>
        <w:t>noticia</w:t>
      </w:r>
      <w:r w:rsidRPr="00715703">
        <w:rPr>
          <w:rFonts w:ascii="Verdana" w:hAnsi="Verdana"/>
          <w:sz w:val="24"/>
          <w:szCs w:val="24"/>
        </w:rPr>
        <w:t>s</w:t>
      </w:r>
      <w:r w:rsidR="001C6723" w:rsidRPr="00715703">
        <w:rPr>
          <w:rFonts w:ascii="Verdana" w:hAnsi="Verdana"/>
          <w:sz w:val="24"/>
          <w:szCs w:val="24"/>
        </w:rPr>
        <w:t xml:space="preserve"> con la invitación a participar en la campaña</w:t>
      </w:r>
      <w:r w:rsidRPr="00715703">
        <w:rPr>
          <w:rFonts w:ascii="Verdana" w:hAnsi="Verdana"/>
          <w:sz w:val="24"/>
          <w:szCs w:val="24"/>
        </w:rPr>
        <w:t xml:space="preserve">. </w:t>
      </w:r>
      <w:r w:rsidR="001C6723" w:rsidRPr="00715703">
        <w:rPr>
          <w:rFonts w:ascii="Verdana" w:hAnsi="Verdana"/>
          <w:sz w:val="24"/>
          <w:szCs w:val="24"/>
        </w:rPr>
        <w:t>También</w:t>
      </w:r>
      <w:r w:rsidRPr="00715703">
        <w:rPr>
          <w:rFonts w:ascii="Verdana" w:hAnsi="Verdana"/>
          <w:sz w:val="24"/>
          <w:szCs w:val="24"/>
        </w:rPr>
        <w:t xml:space="preserve"> se usaron otros canales como </w:t>
      </w:r>
      <w:r w:rsidR="001C6723" w:rsidRPr="00715703">
        <w:rPr>
          <w:rFonts w:ascii="Verdana" w:hAnsi="Verdana"/>
          <w:sz w:val="24"/>
          <w:szCs w:val="24"/>
        </w:rPr>
        <w:t xml:space="preserve">medios electrónicos, publicaciones en redes sociales, Facebook, Twitter, fondos de pantalla y afiches en punto de atención ciudadana. </w:t>
      </w:r>
      <w:r w:rsidRPr="00715703">
        <w:rPr>
          <w:rFonts w:ascii="Verdana" w:hAnsi="Verdana"/>
          <w:sz w:val="24"/>
          <w:szCs w:val="24"/>
        </w:rPr>
        <w:t xml:space="preserve"> </w:t>
      </w:r>
    </w:p>
    <w:p w:rsidR="000F0447" w:rsidRPr="00715703" w:rsidRDefault="000F0447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2BB2" w:rsidRPr="00715703" w:rsidRDefault="000F0447" w:rsidP="00715703">
      <w:pPr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  <w:r w:rsidRPr="00715703">
        <w:rPr>
          <w:rFonts w:ascii="Verdana" w:hAnsi="Verdana"/>
          <w:sz w:val="24"/>
          <w:szCs w:val="24"/>
        </w:rPr>
        <w:t>Para el sector, la parti</w:t>
      </w:r>
      <w:r w:rsidR="00953247">
        <w:rPr>
          <w:rFonts w:ascii="Verdana" w:hAnsi="Verdana"/>
          <w:sz w:val="24"/>
          <w:szCs w:val="24"/>
        </w:rPr>
        <w:t>cipación se concreta</w:t>
      </w:r>
      <w:r w:rsidRPr="00715703">
        <w:rPr>
          <w:rFonts w:ascii="Verdana" w:hAnsi="Verdana"/>
          <w:sz w:val="24"/>
          <w:szCs w:val="24"/>
        </w:rPr>
        <w:t xml:space="preserve"> en </w:t>
      </w:r>
      <w:r w:rsidR="001C6723" w:rsidRPr="00715703">
        <w:rPr>
          <w:rFonts w:ascii="Verdana" w:hAnsi="Verdana"/>
          <w:sz w:val="24"/>
          <w:szCs w:val="24"/>
        </w:rPr>
        <w:t xml:space="preserve">ciento treinta y siete (137) </w:t>
      </w:r>
      <w:r w:rsidR="00582BB2" w:rsidRPr="00715703">
        <w:rPr>
          <w:rFonts w:ascii="Verdana" w:hAnsi="Verdana"/>
          <w:sz w:val="24"/>
          <w:szCs w:val="24"/>
        </w:rPr>
        <w:t>intervenciones. Sin embargo, des</w:t>
      </w:r>
      <w:r w:rsidRPr="00715703">
        <w:rPr>
          <w:rFonts w:ascii="Verdana" w:hAnsi="Verdana" w:cs="ArialNarrow"/>
          <w:color w:val="000000"/>
          <w:sz w:val="24"/>
          <w:szCs w:val="24"/>
        </w:rPr>
        <w:t xml:space="preserve">pués de depurar la información </w:t>
      </w:r>
      <w:r w:rsidR="00582BB2" w:rsidRPr="00715703">
        <w:rPr>
          <w:rFonts w:ascii="Verdana" w:hAnsi="Verdana" w:cs="ArialNarrow"/>
          <w:color w:val="000000"/>
          <w:sz w:val="24"/>
          <w:szCs w:val="24"/>
        </w:rPr>
        <w:t xml:space="preserve">recibida del DAFP, los </w:t>
      </w:r>
      <w:r w:rsidRPr="00715703">
        <w:rPr>
          <w:rFonts w:ascii="Verdana" w:hAnsi="Verdana" w:cs="ArialNarrow"/>
          <w:color w:val="000000"/>
          <w:sz w:val="24"/>
          <w:szCs w:val="24"/>
        </w:rPr>
        <w:t>equ</w:t>
      </w:r>
      <w:r w:rsidR="00953247">
        <w:rPr>
          <w:rFonts w:ascii="Verdana" w:hAnsi="Verdana" w:cs="ArialNarrow"/>
          <w:color w:val="000000"/>
          <w:sz w:val="24"/>
          <w:szCs w:val="24"/>
        </w:rPr>
        <w:t>ipos de trabajo de cada entidad</w:t>
      </w:r>
      <w:r w:rsidRPr="00715703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="00582BB2" w:rsidRPr="00715703">
        <w:rPr>
          <w:rFonts w:ascii="Verdana" w:hAnsi="Verdana" w:cs="ArialNarrow"/>
          <w:color w:val="000000"/>
          <w:sz w:val="24"/>
          <w:szCs w:val="24"/>
        </w:rPr>
        <w:t xml:space="preserve">identificaron que solo </w:t>
      </w:r>
      <w:r w:rsidR="001C6723" w:rsidRPr="00715703">
        <w:rPr>
          <w:rFonts w:ascii="Verdana" w:hAnsi="Verdana" w:cs="ArialNarrow"/>
          <w:color w:val="000000"/>
          <w:sz w:val="24"/>
          <w:szCs w:val="24"/>
        </w:rPr>
        <w:t xml:space="preserve">72 intervenciones </w:t>
      </w:r>
      <w:r w:rsidR="00582BB2" w:rsidRPr="00715703">
        <w:rPr>
          <w:rFonts w:ascii="Verdana" w:hAnsi="Verdana" w:cs="ArialNarrow"/>
          <w:color w:val="000000"/>
          <w:sz w:val="24"/>
          <w:szCs w:val="24"/>
        </w:rPr>
        <w:t>competían al sector. Estas se distribuyeron de la siguiente manera:</w:t>
      </w:r>
    </w:p>
    <w:p w:rsidR="000F0447" w:rsidRPr="00715703" w:rsidRDefault="000F0447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</w:p>
    <w:p w:rsidR="00582BB2" w:rsidRPr="00715703" w:rsidRDefault="00582BB2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86"/>
        <w:gridCol w:w="795"/>
        <w:gridCol w:w="889"/>
        <w:gridCol w:w="1134"/>
        <w:gridCol w:w="1389"/>
        <w:gridCol w:w="2129"/>
      </w:tblGrid>
      <w:tr w:rsidR="00582BB2" w:rsidRPr="00715703" w:rsidTr="00204AD0">
        <w:trPr>
          <w:trHeight w:val="518"/>
        </w:trPr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Tabla 1. Intervenciones ciudada</w:t>
            </w:r>
            <w:r w:rsidR="0095324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nas Directiva Presidencial 07  O</w:t>
            </w: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ct. 2018 </w:t>
            </w:r>
            <w:r w:rsidR="00953247"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C</w:t>
            </w: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ampaña "Estado Simple Colombia Ágil"</w:t>
            </w:r>
          </w:p>
        </w:tc>
      </w:tr>
      <w:tr w:rsidR="00582BB2" w:rsidRPr="00715703" w:rsidTr="00204AD0">
        <w:trPr>
          <w:trHeight w:val="68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Formularios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FNA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CRA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MVCT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Sector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Para traslados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Total intervenciones</w:t>
            </w:r>
          </w:p>
        </w:tc>
      </w:tr>
      <w:tr w:rsidR="00582BB2" w:rsidRPr="00715703" w:rsidTr="00204AD0">
        <w:trPr>
          <w:trHeight w:val="553"/>
        </w:trPr>
        <w:tc>
          <w:tcPr>
            <w:tcW w:w="0" w:type="auto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CO"/>
              </w:rPr>
              <w:t>¿Cuáles son los trámites más difíciles de llevar acabo?</w:t>
            </w:r>
          </w:p>
        </w:tc>
        <w:tc>
          <w:tcPr>
            <w:tcW w:w="641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795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764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  <w:t>17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1276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es-CO"/>
              </w:rPr>
              <w:t>55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95</w:t>
            </w:r>
          </w:p>
        </w:tc>
      </w:tr>
      <w:tr w:rsidR="00582BB2" w:rsidRPr="00715703" w:rsidTr="00204AD0">
        <w:trPr>
          <w:trHeight w:val="406"/>
        </w:trPr>
        <w:tc>
          <w:tcPr>
            <w:tcW w:w="0" w:type="auto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CO"/>
              </w:rPr>
              <w:t>¿Cuáles normas se deben revisar para hacerlas más eficientes?</w:t>
            </w:r>
          </w:p>
        </w:tc>
        <w:tc>
          <w:tcPr>
            <w:tcW w:w="641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795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764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  <w:t>24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32</w:t>
            </w:r>
          </w:p>
        </w:tc>
        <w:tc>
          <w:tcPr>
            <w:tcW w:w="1276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41</w:t>
            </w:r>
          </w:p>
        </w:tc>
      </w:tr>
      <w:tr w:rsidR="00582BB2" w:rsidRPr="00715703" w:rsidTr="00204AD0">
        <w:trPr>
          <w:trHeight w:val="612"/>
        </w:trPr>
        <w:tc>
          <w:tcPr>
            <w:tcW w:w="0" w:type="auto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es-CO"/>
              </w:rPr>
              <w:t>¿Cuáles normas se debería eliminar por obsoletas?</w:t>
            </w:r>
          </w:p>
        </w:tc>
        <w:tc>
          <w:tcPr>
            <w:tcW w:w="641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795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76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276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134" w:type="dxa"/>
            <w:tcBorders>
              <w:top w:val="single" w:sz="4" w:space="0" w:color="9BC2E6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582BB2" w:rsidRPr="00715703" w:rsidTr="00204AD0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CO"/>
              </w:rPr>
              <w:t>Total entidad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Cs/>
                <w:color w:val="000000"/>
                <w:sz w:val="24"/>
                <w:szCs w:val="24"/>
                <w:lang w:eastAsia="es-CO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B2" w:rsidRPr="00715703" w:rsidRDefault="00582BB2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137</w:t>
            </w:r>
          </w:p>
        </w:tc>
      </w:tr>
    </w:tbl>
    <w:p w:rsidR="00582BB2" w:rsidRPr="00715703" w:rsidRDefault="00582BB2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  <w:r w:rsidRPr="00715703">
        <w:rPr>
          <w:rFonts w:ascii="Verdana" w:hAnsi="Verdana" w:cs="ArialNarrow"/>
          <w:color w:val="000000"/>
          <w:sz w:val="24"/>
          <w:szCs w:val="24"/>
        </w:rPr>
        <w:lastRenderedPageBreak/>
        <w:t xml:space="preserve">La participación </w:t>
      </w:r>
      <w:r w:rsidR="00393A40" w:rsidRPr="00715703">
        <w:rPr>
          <w:rFonts w:ascii="Verdana" w:hAnsi="Verdana" w:cs="ArialNarrow"/>
          <w:color w:val="000000"/>
          <w:sz w:val="24"/>
          <w:szCs w:val="24"/>
        </w:rPr>
        <w:t xml:space="preserve">ciudadana en temas relacionados con trámites, se descompone en los siguientes grupos de interés: </w:t>
      </w:r>
    </w:p>
    <w:p w:rsidR="00393A40" w:rsidRPr="00715703" w:rsidRDefault="00393A40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W w:w="7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276"/>
        <w:gridCol w:w="1134"/>
        <w:gridCol w:w="1345"/>
        <w:gridCol w:w="1348"/>
      </w:tblGrid>
      <w:tr w:rsidR="001C6723" w:rsidRPr="00715703" w:rsidTr="00204AD0">
        <w:trPr>
          <w:trHeight w:val="300"/>
          <w:jc w:val="center"/>
        </w:trPr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Tabla 2. Intervenciones participación en tramite</w:t>
            </w:r>
          </w:p>
        </w:tc>
      </w:tr>
      <w:tr w:rsidR="001C6723" w:rsidRPr="00715703" w:rsidTr="00204AD0">
        <w:trPr>
          <w:trHeight w:val="30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Participaciones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FNA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CRA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MVCT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Totales</w:t>
            </w:r>
          </w:p>
        </w:tc>
      </w:tr>
      <w:tr w:rsidR="001C6723" w:rsidRPr="00715703" w:rsidTr="00204AD0">
        <w:trPr>
          <w:trHeight w:val="36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Ciudadanos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22</w:t>
            </w:r>
          </w:p>
        </w:tc>
      </w:tr>
      <w:tr w:rsidR="001C6723" w:rsidRPr="00715703" w:rsidTr="00204AD0">
        <w:trPr>
          <w:trHeight w:val="39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Empresarios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4</w:t>
            </w:r>
          </w:p>
        </w:tc>
      </w:tr>
      <w:tr w:rsidR="001C6723" w:rsidRPr="00715703" w:rsidTr="00204AD0">
        <w:trPr>
          <w:trHeight w:val="40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Gremios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14</w:t>
            </w:r>
          </w:p>
        </w:tc>
      </w:tr>
      <w:tr w:rsidR="001C6723" w:rsidRPr="00715703" w:rsidTr="00204AD0">
        <w:trPr>
          <w:trHeight w:val="30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40</w:t>
            </w:r>
          </w:p>
        </w:tc>
      </w:tr>
    </w:tbl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93A40" w:rsidRPr="00715703" w:rsidRDefault="00393A40" w:rsidP="00715703">
      <w:pPr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  <w:r w:rsidRPr="00715703">
        <w:rPr>
          <w:rFonts w:ascii="Verdana" w:hAnsi="Verdana" w:cs="ArialNarrow"/>
          <w:color w:val="000000"/>
          <w:sz w:val="24"/>
          <w:szCs w:val="24"/>
        </w:rPr>
        <w:t xml:space="preserve">La participación ciudadana en temas relacionados con normas de alto impacto, se descompone en los siguientes grupos de interés: </w:t>
      </w:r>
    </w:p>
    <w:p w:rsidR="001C6723" w:rsidRPr="00715703" w:rsidRDefault="001C6723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</w:p>
    <w:tbl>
      <w:tblPr>
        <w:tblW w:w="7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134"/>
        <w:gridCol w:w="1201"/>
        <w:gridCol w:w="1094"/>
        <w:gridCol w:w="1431"/>
      </w:tblGrid>
      <w:tr w:rsidR="001C6723" w:rsidRPr="00715703" w:rsidTr="00204AD0">
        <w:trPr>
          <w:trHeight w:val="315"/>
          <w:jc w:val="center"/>
        </w:trPr>
        <w:tc>
          <w:tcPr>
            <w:tcW w:w="7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Tabla 3. Intervenciones participación alto impacto</w:t>
            </w:r>
          </w:p>
        </w:tc>
      </w:tr>
      <w:tr w:rsidR="001C6723" w:rsidRPr="00715703" w:rsidTr="00204AD0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Participaciones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FNA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CRA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MVCT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CO"/>
              </w:rPr>
              <w:t>Totales</w:t>
            </w:r>
          </w:p>
        </w:tc>
      </w:tr>
      <w:tr w:rsidR="001C6723" w:rsidRPr="00715703" w:rsidTr="00204AD0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Ciudadanos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5</w:t>
            </w:r>
          </w:p>
        </w:tc>
      </w:tr>
      <w:tr w:rsidR="001C6723" w:rsidRPr="00715703" w:rsidTr="00204AD0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Empresarios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5</w:t>
            </w:r>
          </w:p>
        </w:tc>
      </w:tr>
      <w:tr w:rsidR="001C6723" w:rsidRPr="00715703" w:rsidTr="00204AD0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Gremios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22</w:t>
            </w:r>
          </w:p>
        </w:tc>
      </w:tr>
      <w:tr w:rsidR="001C6723" w:rsidRPr="00715703" w:rsidTr="00204AD0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723" w:rsidRPr="00715703" w:rsidRDefault="001C6723" w:rsidP="0071570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</w:pPr>
            <w:r w:rsidRPr="00715703">
              <w:rPr>
                <w:rFonts w:ascii="Verdana" w:eastAsia="Times New Roman" w:hAnsi="Verdana" w:cs="Times New Roman"/>
                <w:sz w:val="24"/>
                <w:szCs w:val="24"/>
                <w:lang w:eastAsia="es-CO"/>
              </w:rPr>
              <w:t>32</w:t>
            </w:r>
          </w:p>
        </w:tc>
      </w:tr>
    </w:tbl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C6723" w:rsidRPr="00715703" w:rsidRDefault="00393A40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  <w:r w:rsidRPr="00715703">
        <w:rPr>
          <w:rFonts w:ascii="Verdana" w:hAnsi="Verdana" w:cs="ArialNarrow"/>
          <w:color w:val="000000"/>
          <w:sz w:val="24"/>
          <w:szCs w:val="24"/>
        </w:rPr>
        <w:t>La mayor participació</w:t>
      </w:r>
      <w:r w:rsidR="001C6723" w:rsidRPr="00715703">
        <w:rPr>
          <w:rFonts w:ascii="Verdana" w:hAnsi="Verdana" w:cs="ArialNarrow"/>
          <w:color w:val="000000"/>
          <w:sz w:val="24"/>
          <w:szCs w:val="24"/>
        </w:rPr>
        <w:t xml:space="preserve">n </w:t>
      </w:r>
      <w:r w:rsidRPr="00715703">
        <w:rPr>
          <w:rFonts w:ascii="Verdana" w:hAnsi="Verdana" w:cs="ArialNarrow"/>
          <w:color w:val="000000"/>
          <w:sz w:val="24"/>
          <w:szCs w:val="24"/>
        </w:rPr>
        <w:t xml:space="preserve">se concentra en </w:t>
      </w:r>
      <w:r w:rsidR="001C6723" w:rsidRPr="00715703">
        <w:rPr>
          <w:rFonts w:ascii="Verdana" w:hAnsi="Verdana" w:cs="ArialNarrow"/>
          <w:color w:val="000000"/>
          <w:sz w:val="24"/>
          <w:szCs w:val="24"/>
        </w:rPr>
        <w:t xml:space="preserve">los gremios con un total de 36, le sigue ciudadanos con 27 </w:t>
      </w:r>
      <w:r w:rsidRPr="00715703">
        <w:rPr>
          <w:rFonts w:ascii="Verdana" w:hAnsi="Verdana" w:cs="ArialNarrow"/>
          <w:color w:val="000000"/>
          <w:sz w:val="24"/>
          <w:szCs w:val="24"/>
        </w:rPr>
        <w:t xml:space="preserve">y los </w:t>
      </w:r>
      <w:r w:rsidR="001C6723" w:rsidRPr="00715703">
        <w:rPr>
          <w:rFonts w:ascii="Verdana" w:hAnsi="Verdana" w:cs="ArialNarrow"/>
          <w:color w:val="000000"/>
          <w:sz w:val="24"/>
          <w:szCs w:val="24"/>
        </w:rPr>
        <w:t xml:space="preserve">empresarios con 9 intervenciones. </w:t>
      </w:r>
    </w:p>
    <w:p w:rsidR="001C6723" w:rsidRPr="00715703" w:rsidRDefault="001C6723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</w:p>
    <w:p w:rsidR="001C6723" w:rsidRPr="00715703" w:rsidRDefault="00393A40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  <w:r w:rsidRPr="00715703">
        <w:rPr>
          <w:rFonts w:ascii="Verdana" w:hAnsi="Verdana" w:cs="ArialNarrow"/>
          <w:color w:val="000000"/>
          <w:sz w:val="24"/>
          <w:szCs w:val="24"/>
        </w:rPr>
        <w:t xml:space="preserve">Por otra parte, el sector no contó con participación relacionada con </w:t>
      </w:r>
      <w:r w:rsidR="001C6723" w:rsidRPr="00715703">
        <w:rPr>
          <w:rFonts w:ascii="Verdana" w:hAnsi="Verdana" w:cs="ArialNarrow"/>
          <w:color w:val="000000"/>
          <w:sz w:val="24"/>
          <w:szCs w:val="24"/>
        </w:rPr>
        <w:t xml:space="preserve">normas </w:t>
      </w:r>
      <w:r w:rsidRPr="00715703">
        <w:rPr>
          <w:rFonts w:ascii="Verdana" w:hAnsi="Verdana" w:cs="ArialNarrow"/>
          <w:color w:val="000000"/>
          <w:sz w:val="24"/>
          <w:szCs w:val="24"/>
        </w:rPr>
        <w:t xml:space="preserve">que </w:t>
      </w:r>
      <w:r w:rsidR="001C6723" w:rsidRPr="00715703">
        <w:rPr>
          <w:rFonts w:ascii="Verdana" w:hAnsi="Verdana" w:cs="ArialNarrow"/>
          <w:color w:val="000000"/>
          <w:sz w:val="24"/>
          <w:szCs w:val="24"/>
        </w:rPr>
        <w:t>se debería eliminar por obsoletas</w:t>
      </w:r>
      <w:r w:rsidR="00DA2AE8">
        <w:rPr>
          <w:rFonts w:ascii="Verdana" w:hAnsi="Verdana" w:cs="ArialNarrow"/>
          <w:color w:val="000000"/>
          <w:sz w:val="24"/>
          <w:szCs w:val="24"/>
        </w:rPr>
        <w:t>, la única contenida en la matriz remitida por el DAFP,</w:t>
      </w:r>
      <w:r w:rsidRPr="00715703">
        <w:rPr>
          <w:rFonts w:ascii="Verdana" w:hAnsi="Verdana" w:cs="ArialNarrow"/>
          <w:color w:val="000000"/>
          <w:sz w:val="24"/>
          <w:szCs w:val="24"/>
        </w:rPr>
        <w:t xml:space="preserve"> se debe trasladar </w:t>
      </w:r>
      <w:r w:rsidR="001C6723" w:rsidRPr="00715703">
        <w:rPr>
          <w:rFonts w:ascii="Verdana" w:hAnsi="Verdana" w:cs="ArialNarrow"/>
          <w:color w:val="000000"/>
          <w:sz w:val="24"/>
          <w:szCs w:val="24"/>
        </w:rPr>
        <w:t>por no ser competen</w:t>
      </w:r>
      <w:r w:rsidR="00DA2AE8">
        <w:rPr>
          <w:rFonts w:ascii="Verdana" w:hAnsi="Verdana" w:cs="ArialNarrow"/>
          <w:color w:val="000000"/>
          <w:sz w:val="24"/>
          <w:szCs w:val="24"/>
        </w:rPr>
        <w:t>cia del sector pues pertenece al Ministerio de S</w:t>
      </w:r>
      <w:r w:rsidR="001C6723" w:rsidRPr="00715703">
        <w:rPr>
          <w:rFonts w:ascii="Verdana" w:hAnsi="Verdana" w:cs="ArialNarrow"/>
          <w:color w:val="000000"/>
          <w:sz w:val="24"/>
          <w:szCs w:val="24"/>
        </w:rPr>
        <w:t xml:space="preserve">alud. </w:t>
      </w:r>
    </w:p>
    <w:p w:rsidR="001C6723" w:rsidRPr="00715703" w:rsidRDefault="001C6723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</w:p>
    <w:p w:rsidR="001C6723" w:rsidRPr="00715703" w:rsidRDefault="00393A40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  <w:r w:rsidRPr="00715703">
        <w:rPr>
          <w:rFonts w:ascii="Verdana" w:hAnsi="Verdana" w:cs="ArialNarrow"/>
          <w:color w:val="000000"/>
          <w:sz w:val="24"/>
          <w:szCs w:val="24"/>
        </w:rPr>
        <w:t>Igualmente, de</w:t>
      </w:r>
      <w:r w:rsidR="001C6723" w:rsidRPr="00715703">
        <w:rPr>
          <w:rFonts w:ascii="Verdana" w:hAnsi="Verdana" w:cs="ArialNarrow"/>
          <w:color w:val="000000"/>
          <w:sz w:val="24"/>
          <w:szCs w:val="24"/>
        </w:rPr>
        <w:t xml:space="preserve">l formulario 1 </w:t>
      </w:r>
      <w:r w:rsidRPr="00715703">
        <w:rPr>
          <w:rFonts w:ascii="Verdana" w:hAnsi="Verdana" w:cs="ArialNarrow"/>
          <w:color w:val="000000"/>
          <w:sz w:val="24"/>
          <w:szCs w:val="24"/>
        </w:rPr>
        <w:t xml:space="preserve">es necesario trasladar </w:t>
      </w:r>
      <w:r w:rsidR="001C6723" w:rsidRPr="00715703">
        <w:rPr>
          <w:rFonts w:ascii="Verdana" w:hAnsi="Verdana" w:cs="ArialNarrow"/>
          <w:color w:val="000000"/>
          <w:sz w:val="24"/>
          <w:szCs w:val="24"/>
        </w:rPr>
        <w:t>55 interven</w:t>
      </w:r>
      <w:r w:rsidR="00DA2AE8">
        <w:rPr>
          <w:rFonts w:ascii="Verdana" w:hAnsi="Verdana" w:cs="ArialNarrow"/>
          <w:color w:val="000000"/>
          <w:sz w:val="24"/>
          <w:szCs w:val="24"/>
        </w:rPr>
        <w:t xml:space="preserve">ciones </w:t>
      </w:r>
      <w:r w:rsidR="001C6723" w:rsidRPr="00715703">
        <w:rPr>
          <w:rFonts w:ascii="Verdana" w:hAnsi="Verdana" w:cs="ArialNarrow"/>
          <w:color w:val="000000"/>
          <w:sz w:val="24"/>
          <w:szCs w:val="24"/>
        </w:rPr>
        <w:t>y del formulario 2 un total de 9 intervenciones</w:t>
      </w:r>
      <w:r w:rsidR="00DA2AE8">
        <w:rPr>
          <w:rFonts w:ascii="Verdana" w:hAnsi="Verdana" w:cs="ArialNarrow"/>
          <w:color w:val="000000"/>
          <w:sz w:val="24"/>
          <w:szCs w:val="24"/>
        </w:rPr>
        <w:t xml:space="preserve"> a otros Ministerios</w:t>
      </w:r>
      <w:r w:rsidR="00715703" w:rsidRPr="00715703">
        <w:rPr>
          <w:rFonts w:ascii="Verdana" w:hAnsi="Verdana" w:cs="ArialNarrow"/>
          <w:color w:val="000000"/>
          <w:sz w:val="24"/>
          <w:szCs w:val="24"/>
        </w:rPr>
        <w:t>.</w:t>
      </w:r>
      <w:r w:rsidR="001C6723" w:rsidRPr="00715703">
        <w:rPr>
          <w:rFonts w:ascii="Verdana" w:hAnsi="Verdana" w:cs="ArialNarrow"/>
          <w:color w:val="000000"/>
          <w:sz w:val="24"/>
          <w:szCs w:val="24"/>
        </w:rPr>
        <w:t xml:space="preserve"> </w:t>
      </w:r>
    </w:p>
    <w:p w:rsidR="001C6723" w:rsidRDefault="001C6723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</w:p>
    <w:p w:rsidR="00A169B0" w:rsidRDefault="00C63C84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  <w:r w:rsidRPr="00B46CEE">
        <w:rPr>
          <w:rFonts w:ascii="Verdana" w:hAnsi="Verdana" w:cs="ArialNarrow"/>
          <w:color w:val="000000"/>
          <w:sz w:val="24"/>
          <w:szCs w:val="24"/>
        </w:rPr>
        <w:t xml:space="preserve">Por </w:t>
      </w:r>
      <w:r w:rsidR="003B6214" w:rsidRPr="00B46CEE">
        <w:rPr>
          <w:rFonts w:ascii="Verdana" w:hAnsi="Verdana" w:cs="ArialNarrow"/>
          <w:color w:val="000000"/>
          <w:sz w:val="24"/>
          <w:szCs w:val="24"/>
        </w:rPr>
        <w:t>otro lado</w:t>
      </w:r>
      <w:r w:rsidRPr="00B46CEE">
        <w:rPr>
          <w:rFonts w:ascii="Verdana" w:hAnsi="Verdana" w:cs="ArialNarrow"/>
          <w:color w:val="000000"/>
          <w:sz w:val="24"/>
          <w:szCs w:val="24"/>
        </w:rPr>
        <w:t xml:space="preserve">, </w:t>
      </w:r>
      <w:r w:rsidR="003B6214" w:rsidRPr="00B46CEE">
        <w:rPr>
          <w:rFonts w:ascii="Verdana" w:hAnsi="Verdana" w:cs="ArialNarrow"/>
          <w:color w:val="000000"/>
          <w:sz w:val="24"/>
          <w:szCs w:val="24"/>
        </w:rPr>
        <w:t xml:space="preserve">22 de las </w:t>
      </w:r>
      <w:r w:rsidRPr="00B46CEE">
        <w:rPr>
          <w:rFonts w:ascii="Verdana" w:hAnsi="Verdana" w:cs="ArialNarrow"/>
          <w:color w:val="000000"/>
          <w:sz w:val="24"/>
          <w:szCs w:val="24"/>
        </w:rPr>
        <w:t>40</w:t>
      </w:r>
      <w:r w:rsidR="009C382C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Pr="00B46CEE">
        <w:rPr>
          <w:rFonts w:ascii="Verdana" w:hAnsi="Verdana" w:cs="ArialNarrow"/>
          <w:color w:val="000000"/>
          <w:sz w:val="24"/>
          <w:szCs w:val="24"/>
        </w:rPr>
        <w:t xml:space="preserve">intervenciones </w:t>
      </w:r>
      <w:r w:rsidR="00A169B0">
        <w:rPr>
          <w:rFonts w:ascii="Verdana" w:hAnsi="Verdana" w:cs="ArialNarrow"/>
          <w:color w:val="000000"/>
          <w:sz w:val="24"/>
          <w:szCs w:val="24"/>
        </w:rPr>
        <w:t xml:space="preserve">no tenían que ver con </w:t>
      </w:r>
      <w:r w:rsidRPr="00B46CEE">
        <w:rPr>
          <w:rFonts w:ascii="Verdana" w:hAnsi="Verdana" w:cs="ArialNarrow"/>
          <w:color w:val="000000"/>
          <w:sz w:val="24"/>
          <w:szCs w:val="24"/>
        </w:rPr>
        <w:t>trámite</w:t>
      </w:r>
      <w:r w:rsidR="00A169B0">
        <w:rPr>
          <w:rFonts w:ascii="Verdana" w:hAnsi="Verdana" w:cs="ArialNarrow"/>
          <w:color w:val="000000"/>
          <w:sz w:val="24"/>
          <w:szCs w:val="24"/>
        </w:rPr>
        <w:t>,</w:t>
      </w:r>
      <w:r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="00A169B0">
        <w:rPr>
          <w:rFonts w:ascii="Verdana" w:hAnsi="Verdana" w:cs="ArialNarrow"/>
          <w:color w:val="000000"/>
          <w:sz w:val="24"/>
          <w:szCs w:val="24"/>
        </w:rPr>
        <w:t xml:space="preserve">si no con aspectos relacionados </w:t>
      </w:r>
      <w:r w:rsidR="00294206" w:rsidRPr="00B46CEE">
        <w:rPr>
          <w:rFonts w:ascii="Verdana" w:hAnsi="Verdana" w:cs="ArialNarrow"/>
          <w:color w:val="000000"/>
          <w:sz w:val="24"/>
          <w:szCs w:val="24"/>
        </w:rPr>
        <w:t>con</w:t>
      </w:r>
      <w:r w:rsidR="009C382C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="00A169B0">
        <w:rPr>
          <w:rFonts w:ascii="Verdana" w:hAnsi="Verdana" w:cs="ArialNarrow"/>
          <w:color w:val="000000"/>
          <w:sz w:val="24"/>
          <w:szCs w:val="24"/>
        </w:rPr>
        <w:t xml:space="preserve">la </w:t>
      </w:r>
      <w:r w:rsidR="005A291B" w:rsidRPr="00B46CEE">
        <w:rPr>
          <w:rFonts w:ascii="Verdana" w:hAnsi="Verdana" w:cs="ArialNarrow"/>
          <w:color w:val="000000"/>
          <w:sz w:val="24"/>
          <w:szCs w:val="24"/>
        </w:rPr>
        <w:t>atención</w:t>
      </w:r>
      <w:r w:rsidR="009874C6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="00A169B0">
        <w:rPr>
          <w:rFonts w:ascii="Verdana" w:hAnsi="Verdana" w:cs="ArialNarrow"/>
          <w:color w:val="000000"/>
          <w:sz w:val="24"/>
          <w:szCs w:val="24"/>
        </w:rPr>
        <w:t>recibida o la</w:t>
      </w:r>
      <w:r w:rsidR="009874C6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="005A291B" w:rsidRPr="00B46CEE">
        <w:rPr>
          <w:rFonts w:ascii="Verdana" w:hAnsi="Verdana" w:cs="ArialNarrow"/>
          <w:color w:val="000000"/>
          <w:sz w:val="24"/>
          <w:szCs w:val="24"/>
        </w:rPr>
        <w:t>información</w:t>
      </w:r>
      <w:r w:rsidR="009874C6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="00A169B0">
        <w:rPr>
          <w:rFonts w:ascii="Verdana" w:hAnsi="Verdana" w:cs="ArialNarrow"/>
          <w:color w:val="000000"/>
          <w:sz w:val="24"/>
          <w:szCs w:val="24"/>
        </w:rPr>
        <w:t xml:space="preserve">entregada </w:t>
      </w:r>
      <w:r w:rsidR="009874C6" w:rsidRPr="00B46CEE">
        <w:rPr>
          <w:rFonts w:ascii="Verdana" w:hAnsi="Verdana" w:cs="ArialNarrow"/>
          <w:color w:val="000000"/>
          <w:sz w:val="24"/>
          <w:szCs w:val="24"/>
        </w:rPr>
        <w:t>a usu</w:t>
      </w:r>
      <w:r w:rsidR="00922D2C" w:rsidRPr="00B46CEE">
        <w:rPr>
          <w:rFonts w:ascii="Verdana" w:hAnsi="Verdana" w:cs="ArialNarrow"/>
          <w:color w:val="000000"/>
          <w:sz w:val="24"/>
          <w:szCs w:val="24"/>
        </w:rPr>
        <w:t>arios</w:t>
      </w:r>
      <w:r w:rsidR="0035057C" w:rsidRPr="00B46CEE">
        <w:rPr>
          <w:rFonts w:ascii="Verdana" w:hAnsi="Verdana" w:cs="ArialNarrow"/>
          <w:color w:val="000000"/>
          <w:sz w:val="24"/>
          <w:szCs w:val="24"/>
        </w:rPr>
        <w:t xml:space="preserve"> en </w:t>
      </w:r>
      <w:r w:rsidR="005A291B" w:rsidRPr="00B46CEE">
        <w:rPr>
          <w:rFonts w:ascii="Verdana" w:hAnsi="Verdana" w:cs="ArialNarrow"/>
          <w:color w:val="000000"/>
          <w:sz w:val="24"/>
          <w:szCs w:val="24"/>
        </w:rPr>
        <w:t>temáticas</w:t>
      </w:r>
      <w:r w:rsidR="00922D2C" w:rsidRPr="00B46CEE">
        <w:rPr>
          <w:rFonts w:ascii="Verdana" w:hAnsi="Verdana" w:cs="ArialNarrow"/>
          <w:color w:val="000000"/>
          <w:sz w:val="24"/>
          <w:szCs w:val="24"/>
        </w:rPr>
        <w:t xml:space="preserve"> de </w:t>
      </w:r>
      <w:r w:rsidR="005A291B" w:rsidRPr="00B46CEE">
        <w:rPr>
          <w:rFonts w:ascii="Verdana" w:hAnsi="Verdana" w:cs="ArialNarrow"/>
          <w:color w:val="000000"/>
          <w:sz w:val="24"/>
          <w:szCs w:val="24"/>
        </w:rPr>
        <w:t>crédito</w:t>
      </w:r>
      <w:r w:rsidR="00922D2C" w:rsidRPr="00B46CEE">
        <w:rPr>
          <w:rFonts w:ascii="Verdana" w:hAnsi="Verdana" w:cs="ArialNarrow"/>
          <w:color w:val="000000"/>
          <w:sz w:val="24"/>
          <w:szCs w:val="24"/>
        </w:rPr>
        <w:t xml:space="preserve"> y programas ofertados</w:t>
      </w:r>
      <w:r w:rsidR="00A169B0">
        <w:rPr>
          <w:rFonts w:ascii="Verdana" w:hAnsi="Verdana" w:cs="ArialNarrow"/>
          <w:color w:val="000000"/>
          <w:sz w:val="24"/>
          <w:szCs w:val="24"/>
        </w:rPr>
        <w:t>.</w:t>
      </w:r>
      <w:r w:rsidR="003B6214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="00635F4B" w:rsidRPr="00B46CEE">
        <w:rPr>
          <w:rFonts w:ascii="Verdana" w:hAnsi="Verdana" w:cs="ArialNarrow"/>
          <w:color w:val="000000"/>
          <w:sz w:val="24"/>
          <w:szCs w:val="24"/>
        </w:rPr>
        <w:t xml:space="preserve">7 </w:t>
      </w:r>
      <w:r w:rsidR="00635F4B">
        <w:rPr>
          <w:rFonts w:ascii="Verdana" w:hAnsi="Verdana" w:cs="ArialNarrow"/>
          <w:color w:val="000000"/>
          <w:sz w:val="24"/>
          <w:szCs w:val="24"/>
        </w:rPr>
        <w:t xml:space="preserve">intervenciones relacionadas con aspectos que podrían propiciar </w:t>
      </w:r>
      <w:r w:rsidR="00635F4B" w:rsidRPr="00B46CEE">
        <w:rPr>
          <w:rFonts w:ascii="Verdana" w:hAnsi="Verdana" w:cs="ArialNarrow"/>
          <w:color w:val="000000"/>
          <w:sz w:val="24"/>
          <w:szCs w:val="24"/>
        </w:rPr>
        <w:t xml:space="preserve">hechos de corrupción (dadivas, sobornos, influencia y falta de información). </w:t>
      </w:r>
      <w:r w:rsidR="00A169B0">
        <w:rPr>
          <w:rFonts w:ascii="Verdana" w:hAnsi="Verdana" w:cs="ArialNarrow"/>
          <w:color w:val="000000"/>
          <w:sz w:val="24"/>
          <w:szCs w:val="24"/>
        </w:rPr>
        <w:t>Por lo anterior</w:t>
      </w:r>
      <w:r w:rsidR="00A169B0" w:rsidRPr="00B46CEE">
        <w:rPr>
          <w:rFonts w:ascii="Verdana" w:hAnsi="Verdana" w:cs="ArialNarrow"/>
          <w:color w:val="000000"/>
          <w:sz w:val="24"/>
          <w:szCs w:val="24"/>
        </w:rPr>
        <w:t xml:space="preserve">, las </w:t>
      </w:r>
      <w:r w:rsidR="00A169B0">
        <w:rPr>
          <w:rFonts w:ascii="Verdana" w:hAnsi="Verdana" w:cs="ArialNarrow"/>
          <w:color w:val="000000"/>
          <w:sz w:val="24"/>
          <w:szCs w:val="24"/>
        </w:rPr>
        <w:t xml:space="preserve">acciones definidas por las </w:t>
      </w:r>
      <w:r w:rsidR="00A169B0" w:rsidRPr="00B46CEE">
        <w:rPr>
          <w:rFonts w:ascii="Verdana" w:hAnsi="Verdana" w:cs="ArialNarrow"/>
          <w:color w:val="000000"/>
          <w:sz w:val="24"/>
          <w:szCs w:val="24"/>
        </w:rPr>
        <w:t xml:space="preserve">entidades del sector, </w:t>
      </w:r>
      <w:r w:rsidR="00A169B0">
        <w:rPr>
          <w:rFonts w:ascii="Verdana" w:hAnsi="Verdana" w:cs="ArialNarrow"/>
          <w:color w:val="000000"/>
          <w:sz w:val="24"/>
          <w:szCs w:val="24"/>
        </w:rPr>
        <w:t xml:space="preserve">están enfocadas en fortalecer la información y medios que se utilizan para divulgar información sobre su </w:t>
      </w:r>
      <w:r w:rsidR="00A169B0" w:rsidRPr="00B46CEE">
        <w:rPr>
          <w:rFonts w:ascii="Verdana" w:hAnsi="Verdana" w:cs="ArialNarrow"/>
          <w:color w:val="000000"/>
          <w:sz w:val="24"/>
          <w:szCs w:val="24"/>
        </w:rPr>
        <w:t>oferta</w:t>
      </w:r>
      <w:r w:rsidR="00A169B0">
        <w:rPr>
          <w:rFonts w:ascii="Verdana" w:hAnsi="Verdana" w:cs="ArialNarrow"/>
          <w:color w:val="000000"/>
          <w:sz w:val="24"/>
          <w:szCs w:val="24"/>
        </w:rPr>
        <w:t xml:space="preserve"> institucional</w:t>
      </w:r>
      <w:r w:rsidR="00A169B0">
        <w:rPr>
          <w:rFonts w:ascii="Verdana" w:hAnsi="Verdana" w:cs="ArialNarrow"/>
          <w:color w:val="000000"/>
          <w:sz w:val="24"/>
          <w:szCs w:val="24"/>
        </w:rPr>
        <w:t>.</w:t>
      </w:r>
    </w:p>
    <w:p w:rsidR="00A169B0" w:rsidRDefault="00A169B0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</w:p>
    <w:p w:rsidR="00A169B0" w:rsidRDefault="00A169B0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  <w:r>
        <w:rPr>
          <w:rFonts w:ascii="Verdana" w:hAnsi="Verdana" w:cs="ArialNarrow"/>
          <w:color w:val="000000"/>
          <w:sz w:val="24"/>
          <w:szCs w:val="24"/>
        </w:rPr>
        <w:t xml:space="preserve">Adicionalmente, </w:t>
      </w:r>
      <w:r w:rsidR="00660243" w:rsidRPr="00B46CEE">
        <w:rPr>
          <w:rFonts w:ascii="Verdana" w:hAnsi="Verdana" w:cs="ArialNarrow"/>
          <w:color w:val="000000"/>
          <w:sz w:val="24"/>
          <w:szCs w:val="24"/>
        </w:rPr>
        <w:t xml:space="preserve">se </w:t>
      </w:r>
      <w:r w:rsidR="0035057C" w:rsidRPr="00B46CEE">
        <w:rPr>
          <w:rFonts w:ascii="Verdana" w:hAnsi="Verdana" w:cs="ArialNarrow"/>
          <w:color w:val="000000"/>
          <w:sz w:val="24"/>
          <w:szCs w:val="24"/>
        </w:rPr>
        <w:t>registra</w:t>
      </w:r>
      <w:r w:rsidR="00660243" w:rsidRPr="00B46CEE">
        <w:rPr>
          <w:rFonts w:ascii="Verdana" w:hAnsi="Verdana" w:cs="ArialNarrow"/>
          <w:color w:val="000000"/>
          <w:sz w:val="24"/>
          <w:szCs w:val="24"/>
        </w:rPr>
        <w:t>ron</w:t>
      </w:r>
      <w:r w:rsidR="0035057C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="00294206" w:rsidRPr="00B46CEE">
        <w:rPr>
          <w:rFonts w:ascii="Verdana" w:hAnsi="Verdana" w:cs="ArialNarrow"/>
          <w:color w:val="000000"/>
          <w:sz w:val="24"/>
          <w:szCs w:val="24"/>
        </w:rPr>
        <w:t>10</w:t>
      </w:r>
      <w:r w:rsidR="000C484F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>
        <w:rPr>
          <w:rFonts w:ascii="Verdana" w:hAnsi="Verdana" w:cs="ArialNarrow"/>
          <w:color w:val="000000"/>
          <w:sz w:val="24"/>
          <w:szCs w:val="24"/>
        </w:rPr>
        <w:t xml:space="preserve">intervenciones </w:t>
      </w:r>
      <w:r w:rsidR="000C484F" w:rsidRPr="00B46CEE">
        <w:rPr>
          <w:rFonts w:ascii="Verdana" w:hAnsi="Verdana" w:cs="ArialNarrow"/>
          <w:color w:val="000000"/>
          <w:sz w:val="24"/>
          <w:szCs w:val="24"/>
        </w:rPr>
        <w:t xml:space="preserve">de la ciudadanía </w:t>
      </w:r>
      <w:r w:rsidR="00290F30" w:rsidRPr="00B46CEE">
        <w:rPr>
          <w:rFonts w:ascii="Verdana" w:hAnsi="Verdana" w:cs="ArialNarrow"/>
          <w:color w:val="000000"/>
          <w:sz w:val="24"/>
          <w:szCs w:val="24"/>
        </w:rPr>
        <w:t>que busca</w:t>
      </w:r>
      <w:r>
        <w:rPr>
          <w:rFonts w:ascii="Verdana" w:hAnsi="Verdana" w:cs="ArialNarrow"/>
          <w:color w:val="000000"/>
          <w:sz w:val="24"/>
          <w:szCs w:val="24"/>
        </w:rPr>
        <w:t>ba</w:t>
      </w:r>
      <w:r w:rsidR="00290F30" w:rsidRPr="00B46CEE">
        <w:rPr>
          <w:rFonts w:ascii="Verdana" w:hAnsi="Verdana" w:cs="ArialNarrow"/>
          <w:color w:val="000000"/>
          <w:sz w:val="24"/>
          <w:szCs w:val="24"/>
        </w:rPr>
        <w:t xml:space="preserve">n </w:t>
      </w:r>
      <w:r w:rsidR="00922D2C" w:rsidRPr="00B46CEE">
        <w:rPr>
          <w:rFonts w:ascii="Verdana" w:hAnsi="Verdana" w:cs="ArialNarrow"/>
          <w:color w:val="000000"/>
          <w:sz w:val="24"/>
          <w:szCs w:val="24"/>
        </w:rPr>
        <w:t>unifi</w:t>
      </w:r>
      <w:r>
        <w:rPr>
          <w:rFonts w:ascii="Verdana" w:hAnsi="Verdana" w:cs="ArialNarrow"/>
          <w:color w:val="000000"/>
          <w:sz w:val="24"/>
          <w:szCs w:val="24"/>
        </w:rPr>
        <w:t>car algunos</w:t>
      </w:r>
      <w:r w:rsidR="00FF1D0C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="00922D2C" w:rsidRPr="00B46CEE">
        <w:rPr>
          <w:rFonts w:ascii="Verdana" w:hAnsi="Verdana" w:cs="ArialNarrow"/>
          <w:color w:val="000000"/>
          <w:sz w:val="24"/>
          <w:szCs w:val="24"/>
        </w:rPr>
        <w:t>criterios</w:t>
      </w:r>
      <w:r w:rsidR="00294206" w:rsidRPr="00B46CEE">
        <w:rPr>
          <w:rFonts w:ascii="Verdana" w:hAnsi="Verdana" w:cs="ArialNarrow"/>
          <w:color w:val="000000"/>
          <w:sz w:val="24"/>
          <w:szCs w:val="24"/>
        </w:rPr>
        <w:t xml:space="preserve"> exigidos</w:t>
      </w:r>
      <w:r w:rsidR="00426F55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="00E37CF8" w:rsidRPr="00B46CEE">
        <w:rPr>
          <w:rFonts w:ascii="Verdana" w:hAnsi="Verdana" w:cs="ArialNarrow"/>
          <w:color w:val="000000"/>
          <w:sz w:val="24"/>
          <w:szCs w:val="24"/>
        </w:rPr>
        <w:t xml:space="preserve">por entes territoriales y otras entidades del orden nacional </w:t>
      </w:r>
      <w:r w:rsidR="00426F55" w:rsidRPr="00B46CEE">
        <w:rPr>
          <w:rFonts w:ascii="Verdana" w:hAnsi="Verdana" w:cs="ArialNarrow"/>
          <w:color w:val="000000"/>
          <w:sz w:val="24"/>
          <w:szCs w:val="24"/>
        </w:rPr>
        <w:t>en</w:t>
      </w:r>
      <w:r w:rsidR="00922D2C" w:rsidRPr="00B46CEE">
        <w:rPr>
          <w:rFonts w:ascii="Verdana" w:hAnsi="Verdana" w:cs="ArialNarrow"/>
          <w:color w:val="000000"/>
          <w:sz w:val="24"/>
          <w:szCs w:val="24"/>
        </w:rPr>
        <w:t xml:space="preserve"> p</w:t>
      </w:r>
      <w:r w:rsidR="00CC0CBA" w:rsidRPr="00B46CEE">
        <w:rPr>
          <w:rFonts w:ascii="Verdana" w:hAnsi="Verdana" w:cs="ArialNarrow"/>
          <w:color w:val="000000"/>
          <w:sz w:val="24"/>
          <w:szCs w:val="24"/>
        </w:rPr>
        <w:t>lanes de ordenamiento territorial</w:t>
      </w:r>
      <w:r w:rsidR="00922D2C" w:rsidRPr="00B46CEE">
        <w:rPr>
          <w:rFonts w:ascii="Verdana" w:hAnsi="Verdana" w:cs="ArialNarrow"/>
          <w:color w:val="000000"/>
          <w:sz w:val="24"/>
          <w:szCs w:val="24"/>
        </w:rPr>
        <w:t xml:space="preserve"> y</w:t>
      </w:r>
      <w:r w:rsidR="00CC0CBA" w:rsidRPr="00B46CEE">
        <w:rPr>
          <w:rFonts w:ascii="Verdana" w:hAnsi="Verdana" w:cs="ArialNarrow"/>
          <w:color w:val="000000"/>
          <w:sz w:val="24"/>
          <w:szCs w:val="24"/>
        </w:rPr>
        <w:t xml:space="preserve"> planes parciales</w:t>
      </w:r>
      <w:r>
        <w:rPr>
          <w:rFonts w:ascii="Verdana" w:hAnsi="Verdana" w:cs="ArialNarrow"/>
          <w:color w:val="000000"/>
          <w:sz w:val="24"/>
          <w:szCs w:val="24"/>
        </w:rPr>
        <w:t>, lo cual no es competencia de ninguna del sector</w:t>
      </w:r>
      <w:r w:rsidR="000C484F" w:rsidRPr="00B46CEE">
        <w:rPr>
          <w:rFonts w:ascii="Verdana" w:hAnsi="Verdana" w:cs="ArialNarrow"/>
          <w:color w:val="000000"/>
          <w:sz w:val="24"/>
          <w:szCs w:val="24"/>
        </w:rPr>
        <w:t>.</w:t>
      </w:r>
      <w:r w:rsidR="00290F30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>
        <w:rPr>
          <w:rFonts w:ascii="Verdana" w:hAnsi="Verdana" w:cs="ArialNarrow"/>
          <w:color w:val="000000"/>
          <w:sz w:val="24"/>
          <w:szCs w:val="24"/>
        </w:rPr>
        <w:t xml:space="preserve">Este </w:t>
      </w:r>
      <w:r w:rsidRPr="00B46CEE">
        <w:rPr>
          <w:rFonts w:ascii="Verdana" w:hAnsi="Verdana" w:cs="ArialNarrow"/>
          <w:color w:val="000000"/>
          <w:sz w:val="24"/>
          <w:szCs w:val="24"/>
        </w:rPr>
        <w:t>aspecto</w:t>
      </w:r>
      <w:r>
        <w:rPr>
          <w:rFonts w:ascii="Verdana" w:hAnsi="Verdana" w:cs="ArialNarrow"/>
          <w:color w:val="000000"/>
          <w:sz w:val="24"/>
          <w:szCs w:val="24"/>
        </w:rPr>
        <w:t xml:space="preserve">, se adelantarán </w:t>
      </w:r>
      <w:r w:rsidRPr="00B46CEE">
        <w:rPr>
          <w:rFonts w:ascii="Verdana" w:hAnsi="Verdana" w:cs="ArialNarrow"/>
          <w:color w:val="000000"/>
          <w:sz w:val="24"/>
          <w:szCs w:val="24"/>
        </w:rPr>
        <w:t xml:space="preserve">mesas de trabajo </w:t>
      </w:r>
      <w:r>
        <w:rPr>
          <w:rFonts w:ascii="Verdana" w:hAnsi="Verdana" w:cs="ArialNarrow"/>
          <w:color w:val="000000"/>
          <w:sz w:val="24"/>
          <w:szCs w:val="24"/>
        </w:rPr>
        <w:t xml:space="preserve">para </w:t>
      </w:r>
      <w:r w:rsidRPr="00B46CEE">
        <w:rPr>
          <w:rFonts w:ascii="Verdana" w:hAnsi="Verdana" w:cs="ArialNarrow"/>
          <w:color w:val="000000"/>
          <w:sz w:val="24"/>
          <w:szCs w:val="24"/>
        </w:rPr>
        <w:t>que</w:t>
      </w:r>
      <w:r>
        <w:rPr>
          <w:rFonts w:ascii="Verdana" w:hAnsi="Verdana" w:cs="ArialNarrow"/>
          <w:color w:val="000000"/>
          <w:sz w:val="24"/>
          <w:szCs w:val="24"/>
        </w:rPr>
        <w:t xml:space="preserve"> se</w:t>
      </w:r>
      <w:r w:rsidRPr="00B46CEE">
        <w:rPr>
          <w:rFonts w:ascii="Verdana" w:hAnsi="Verdana" w:cs="ArialNarrow"/>
          <w:color w:val="000000"/>
          <w:sz w:val="24"/>
          <w:szCs w:val="24"/>
        </w:rPr>
        <w:t xml:space="preserve"> revise y precise pertinencia y los alcances relacionados en temas constitucionales, leyes y decretos.</w:t>
      </w:r>
    </w:p>
    <w:p w:rsidR="00A169B0" w:rsidRDefault="00A169B0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</w:p>
    <w:p w:rsidR="00CC0CBA" w:rsidRPr="00B46CEE" w:rsidRDefault="003B6214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  <w:r w:rsidRPr="00B46CEE">
        <w:rPr>
          <w:rFonts w:ascii="Verdana" w:hAnsi="Verdana" w:cs="ArialNarrow"/>
          <w:color w:val="000000"/>
          <w:sz w:val="24"/>
          <w:szCs w:val="24"/>
        </w:rPr>
        <w:t xml:space="preserve">En cuanto a las </w:t>
      </w:r>
      <w:r w:rsidR="00A44BA8" w:rsidRPr="00B46CEE">
        <w:rPr>
          <w:rFonts w:ascii="Verdana" w:hAnsi="Verdana" w:cs="ArialNarrow"/>
          <w:color w:val="000000"/>
          <w:sz w:val="24"/>
          <w:szCs w:val="24"/>
        </w:rPr>
        <w:t xml:space="preserve">normas de alto impacto, </w:t>
      </w:r>
      <w:r w:rsidRPr="00B46CEE">
        <w:rPr>
          <w:rFonts w:ascii="Verdana" w:hAnsi="Verdana" w:cs="ArialNarrow"/>
          <w:color w:val="000000"/>
          <w:sz w:val="24"/>
          <w:szCs w:val="24"/>
        </w:rPr>
        <w:t xml:space="preserve">las principales intervenciones </w:t>
      </w:r>
      <w:r w:rsidR="00F50E88" w:rsidRPr="00B46CEE">
        <w:rPr>
          <w:rFonts w:ascii="Verdana" w:hAnsi="Verdana" w:cs="ArialNarrow"/>
          <w:color w:val="000000"/>
          <w:sz w:val="24"/>
          <w:szCs w:val="24"/>
        </w:rPr>
        <w:t>están</w:t>
      </w:r>
      <w:r w:rsidR="006956B0" w:rsidRPr="00B46CEE">
        <w:rPr>
          <w:rFonts w:ascii="Verdana" w:hAnsi="Verdana" w:cs="ArialNarrow"/>
          <w:color w:val="000000"/>
          <w:sz w:val="24"/>
          <w:szCs w:val="24"/>
        </w:rPr>
        <w:t xml:space="preserve"> asociadas a </w:t>
      </w:r>
      <w:r w:rsidR="00A44BA8" w:rsidRPr="00B46CEE">
        <w:rPr>
          <w:rFonts w:ascii="Verdana" w:hAnsi="Verdana" w:cs="ArialNarrow"/>
          <w:color w:val="000000"/>
          <w:sz w:val="24"/>
          <w:szCs w:val="24"/>
        </w:rPr>
        <w:t>temas de propiedad horizontal</w:t>
      </w:r>
      <w:r w:rsidR="00F50E88" w:rsidRPr="00B46CEE">
        <w:rPr>
          <w:rFonts w:ascii="Verdana" w:hAnsi="Verdana" w:cs="ArialNarrow"/>
          <w:color w:val="000000"/>
          <w:sz w:val="24"/>
          <w:szCs w:val="24"/>
        </w:rPr>
        <w:t xml:space="preserve"> y tiempos para expedición de licencias, </w:t>
      </w:r>
      <w:r w:rsidR="00635F4B">
        <w:rPr>
          <w:rFonts w:ascii="Verdana" w:hAnsi="Verdana" w:cs="ArialNarrow"/>
          <w:color w:val="000000"/>
          <w:sz w:val="24"/>
          <w:szCs w:val="24"/>
        </w:rPr>
        <w:t>s</w:t>
      </w:r>
      <w:r w:rsidR="00F50E88" w:rsidRPr="00B46CEE">
        <w:rPr>
          <w:rFonts w:ascii="Verdana" w:hAnsi="Verdana" w:cs="ArialNarrow"/>
          <w:color w:val="000000"/>
          <w:sz w:val="24"/>
          <w:szCs w:val="24"/>
        </w:rPr>
        <w:t xml:space="preserve">ervidumbre, temáticas de </w:t>
      </w:r>
      <w:r w:rsidR="00A44BA8" w:rsidRPr="00B46CEE">
        <w:rPr>
          <w:rFonts w:ascii="Verdana" w:hAnsi="Verdana" w:cs="ArialNarrow"/>
          <w:color w:val="000000"/>
          <w:sz w:val="24"/>
          <w:szCs w:val="24"/>
        </w:rPr>
        <w:t xml:space="preserve">redes de acueducto; información sobre variaciones de tarifas de servicios públicos; Facturación conjunta servicio prepago; Requisitos para para la presentación de Proyectos; </w:t>
      </w:r>
      <w:r w:rsidR="00F50E88" w:rsidRPr="00B46CEE">
        <w:rPr>
          <w:rFonts w:ascii="Verdana" w:hAnsi="Verdana" w:cs="ArialNarrow"/>
          <w:color w:val="000000"/>
          <w:sz w:val="24"/>
          <w:szCs w:val="24"/>
        </w:rPr>
        <w:t>Reporte de información; Control social</w:t>
      </w:r>
      <w:r w:rsidR="00A44BA8" w:rsidRPr="00B46CEE">
        <w:rPr>
          <w:rFonts w:ascii="Verdana" w:hAnsi="Verdana" w:cs="ArialNarrow"/>
          <w:color w:val="000000"/>
          <w:sz w:val="24"/>
          <w:szCs w:val="24"/>
        </w:rPr>
        <w:t>; Desviaciones significativas</w:t>
      </w:r>
      <w:r w:rsidR="00F50E88" w:rsidRPr="00B46CEE">
        <w:rPr>
          <w:rFonts w:ascii="Verdana" w:hAnsi="Verdana" w:cs="ArialNarrow"/>
          <w:color w:val="000000"/>
          <w:sz w:val="24"/>
          <w:szCs w:val="24"/>
        </w:rPr>
        <w:t>, Cedula catastral</w:t>
      </w:r>
      <w:r w:rsidR="00635F4B">
        <w:rPr>
          <w:rFonts w:ascii="Verdana" w:hAnsi="Verdana" w:cs="ArialNarrow"/>
          <w:color w:val="000000"/>
          <w:sz w:val="24"/>
          <w:szCs w:val="24"/>
        </w:rPr>
        <w:t xml:space="preserve">, </w:t>
      </w:r>
      <w:r w:rsidR="00635F4B">
        <w:rPr>
          <w:rFonts w:ascii="Verdana" w:hAnsi="Verdana" w:cs="ArialNarrow"/>
          <w:color w:val="000000"/>
          <w:sz w:val="24"/>
          <w:szCs w:val="24"/>
        </w:rPr>
        <w:t xml:space="preserve">aspectos que podrían propiciar </w:t>
      </w:r>
      <w:r w:rsidR="00635F4B" w:rsidRPr="00B46CEE">
        <w:rPr>
          <w:rFonts w:ascii="Verdana" w:hAnsi="Verdana" w:cs="ArialNarrow"/>
          <w:color w:val="000000"/>
          <w:sz w:val="24"/>
          <w:szCs w:val="24"/>
        </w:rPr>
        <w:t>hechos de corrupción</w:t>
      </w:r>
      <w:r w:rsidR="00635F4B">
        <w:rPr>
          <w:rFonts w:ascii="Verdana" w:hAnsi="Verdana" w:cs="ArialNarrow"/>
          <w:color w:val="000000"/>
          <w:sz w:val="24"/>
          <w:szCs w:val="24"/>
        </w:rPr>
        <w:t>, entre otras.</w:t>
      </w:r>
      <w:r w:rsidR="00F50E88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="00635F4B">
        <w:rPr>
          <w:rFonts w:ascii="Verdana" w:hAnsi="Verdana" w:cs="ArialNarrow"/>
          <w:color w:val="000000"/>
          <w:sz w:val="24"/>
          <w:szCs w:val="24"/>
        </w:rPr>
        <w:t>E</w:t>
      </w:r>
      <w:r w:rsidR="00F50E88" w:rsidRPr="00B46CEE">
        <w:rPr>
          <w:rFonts w:ascii="Verdana" w:hAnsi="Verdana" w:cs="ArialNarrow"/>
          <w:color w:val="000000"/>
          <w:sz w:val="24"/>
          <w:szCs w:val="24"/>
        </w:rPr>
        <w:t>n respuesta las entidades adelantaran mesas donde se analice la pertine</w:t>
      </w:r>
      <w:r w:rsidR="00635F4B">
        <w:rPr>
          <w:rFonts w:ascii="Verdana" w:hAnsi="Verdana" w:cs="ArialNarrow"/>
          <w:color w:val="000000"/>
          <w:sz w:val="24"/>
          <w:szCs w:val="24"/>
        </w:rPr>
        <w:t>ncia y evaluara pertinencia de</w:t>
      </w:r>
      <w:r w:rsidR="00F50E88" w:rsidRPr="00B46CEE">
        <w:rPr>
          <w:rFonts w:ascii="Verdana" w:hAnsi="Verdana" w:cs="ArialNarrow"/>
          <w:color w:val="000000"/>
          <w:sz w:val="24"/>
          <w:szCs w:val="24"/>
        </w:rPr>
        <w:t xml:space="preserve"> modifica</w:t>
      </w:r>
      <w:r w:rsidR="00635F4B">
        <w:rPr>
          <w:rFonts w:ascii="Verdana" w:hAnsi="Verdana" w:cs="ArialNarrow"/>
          <w:color w:val="000000"/>
          <w:sz w:val="24"/>
          <w:szCs w:val="24"/>
        </w:rPr>
        <w:t>r</w:t>
      </w:r>
      <w:r w:rsidR="00D71C3D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="00635F4B">
        <w:rPr>
          <w:rFonts w:ascii="Verdana" w:hAnsi="Verdana" w:cs="ArialNarrow"/>
          <w:color w:val="000000"/>
          <w:sz w:val="24"/>
          <w:szCs w:val="24"/>
        </w:rPr>
        <w:t>las normas de competencia de las entidades del sector</w:t>
      </w:r>
      <w:r w:rsidR="00D71C3D" w:rsidRPr="00B46CEE">
        <w:rPr>
          <w:rFonts w:ascii="Verdana" w:hAnsi="Verdana" w:cs="ArialNarrow"/>
          <w:color w:val="000000"/>
          <w:sz w:val="24"/>
          <w:szCs w:val="24"/>
        </w:rPr>
        <w:t>.</w:t>
      </w:r>
    </w:p>
    <w:p w:rsidR="00F50E88" w:rsidRPr="00B46CEE" w:rsidRDefault="00F50E88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</w:p>
    <w:p w:rsidR="00CC0CBA" w:rsidRDefault="006956B0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  <w:r w:rsidRPr="00B46CEE">
        <w:rPr>
          <w:rFonts w:ascii="Verdana" w:hAnsi="Verdana" w:cs="ArialNarrow"/>
          <w:color w:val="000000"/>
          <w:sz w:val="24"/>
          <w:szCs w:val="24"/>
        </w:rPr>
        <w:t>Finalmente,</w:t>
      </w:r>
      <w:r w:rsidR="00E47FB9" w:rsidRPr="00B46CEE">
        <w:rPr>
          <w:rFonts w:ascii="Verdana" w:hAnsi="Verdana" w:cs="ArialNarrow"/>
          <w:color w:val="000000"/>
          <w:sz w:val="24"/>
          <w:szCs w:val="24"/>
        </w:rPr>
        <w:t xml:space="preserve"> </w:t>
      </w:r>
      <w:r w:rsidRPr="00B46CEE">
        <w:rPr>
          <w:rFonts w:ascii="Verdana" w:hAnsi="Verdana" w:cs="ArialNarrow"/>
          <w:color w:val="000000"/>
          <w:sz w:val="24"/>
          <w:szCs w:val="24"/>
        </w:rPr>
        <w:t xml:space="preserve">de </w:t>
      </w:r>
      <w:r w:rsidR="00E47FB9" w:rsidRPr="00B46CEE">
        <w:rPr>
          <w:rFonts w:ascii="Verdana" w:hAnsi="Verdana" w:cs="ArialNarrow"/>
          <w:color w:val="000000"/>
          <w:sz w:val="24"/>
          <w:szCs w:val="24"/>
        </w:rPr>
        <w:t xml:space="preserve">las </w:t>
      </w:r>
      <w:r w:rsidR="00CC0CBA" w:rsidRPr="00B46CEE">
        <w:rPr>
          <w:rFonts w:ascii="Verdana" w:hAnsi="Verdana" w:cs="ArialNarrow"/>
          <w:color w:val="000000"/>
          <w:sz w:val="24"/>
          <w:szCs w:val="24"/>
        </w:rPr>
        <w:t>inte</w:t>
      </w:r>
      <w:r w:rsidR="00E47FB9" w:rsidRPr="00B46CEE">
        <w:rPr>
          <w:rFonts w:ascii="Verdana" w:hAnsi="Verdana" w:cs="ArialNarrow"/>
          <w:color w:val="000000"/>
          <w:sz w:val="24"/>
          <w:szCs w:val="24"/>
        </w:rPr>
        <w:t>r</w:t>
      </w:r>
      <w:r w:rsidR="00CC0CBA" w:rsidRPr="00B46CEE">
        <w:rPr>
          <w:rFonts w:ascii="Verdana" w:hAnsi="Verdana" w:cs="ArialNarrow"/>
          <w:color w:val="000000"/>
          <w:sz w:val="24"/>
          <w:szCs w:val="24"/>
        </w:rPr>
        <w:t>vencion</w:t>
      </w:r>
      <w:r w:rsidR="00E47FB9" w:rsidRPr="00B46CEE">
        <w:rPr>
          <w:rFonts w:ascii="Verdana" w:hAnsi="Verdana" w:cs="ArialNarrow"/>
          <w:color w:val="000000"/>
          <w:sz w:val="24"/>
          <w:szCs w:val="24"/>
        </w:rPr>
        <w:t xml:space="preserve">es realizadas </w:t>
      </w:r>
      <w:r w:rsidR="00635F4B">
        <w:rPr>
          <w:rFonts w:ascii="Verdana" w:hAnsi="Verdana" w:cs="ArialNarrow"/>
          <w:color w:val="000000"/>
          <w:sz w:val="24"/>
          <w:szCs w:val="24"/>
        </w:rPr>
        <w:t xml:space="preserve">con relación a </w:t>
      </w:r>
      <w:r w:rsidR="00E47FB9" w:rsidRPr="00B46CEE">
        <w:rPr>
          <w:rFonts w:ascii="Verdana" w:hAnsi="Verdana" w:cs="ArialNarrow"/>
          <w:color w:val="000000"/>
          <w:sz w:val="24"/>
          <w:szCs w:val="24"/>
        </w:rPr>
        <w:t>trámite</w:t>
      </w:r>
      <w:r w:rsidR="00635F4B">
        <w:rPr>
          <w:rFonts w:ascii="Verdana" w:hAnsi="Verdana" w:cs="ArialNarrow"/>
          <w:color w:val="000000"/>
          <w:sz w:val="24"/>
          <w:szCs w:val="24"/>
        </w:rPr>
        <w:t xml:space="preserve">s </w:t>
      </w:r>
      <w:r w:rsidR="00E47FB9" w:rsidRPr="00B46CEE">
        <w:rPr>
          <w:rFonts w:ascii="Verdana" w:hAnsi="Verdana" w:cs="ArialNarrow"/>
          <w:color w:val="000000"/>
          <w:sz w:val="24"/>
          <w:szCs w:val="24"/>
        </w:rPr>
        <w:t xml:space="preserve">no se encontraron acciones </w:t>
      </w:r>
      <w:r w:rsidR="00635F4B">
        <w:rPr>
          <w:rFonts w:ascii="Verdana" w:hAnsi="Verdana" w:cs="ArialNarrow"/>
          <w:color w:val="000000"/>
          <w:sz w:val="24"/>
          <w:szCs w:val="24"/>
        </w:rPr>
        <w:t xml:space="preserve">que tengan que ver con trámites y otros procedimientos administrativos registrados por las entidades del sector oficialmente </w:t>
      </w:r>
      <w:r w:rsidR="00E47FB9" w:rsidRPr="00B46CEE">
        <w:rPr>
          <w:rFonts w:ascii="Verdana" w:hAnsi="Verdana" w:cs="ArialNarrow"/>
          <w:color w:val="000000"/>
          <w:sz w:val="24"/>
          <w:szCs w:val="24"/>
        </w:rPr>
        <w:t>en el</w:t>
      </w:r>
      <w:r w:rsidR="00635F4B">
        <w:rPr>
          <w:rFonts w:ascii="Verdana" w:hAnsi="Verdana" w:cs="ArialNarrow"/>
          <w:color w:val="000000"/>
          <w:sz w:val="24"/>
          <w:szCs w:val="24"/>
        </w:rPr>
        <w:t xml:space="preserve"> sistema</w:t>
      </w:r>
      <w:r w:rsidR="00E47FB9" w:rsidRPr="00B46CEE">
        <w:rPr>
          <w:rFonts w:ascii="Verdana" w:hAnsi="Verdana" w:cs="ArialNarrow"/>
          <w:color w:val="000000"/>
          <w:sz w:val="24"/>
          <w:szCs w:val="24"/>
        </w:rPr>
        <w:t xml:space="preserve"> SUIT</w:t>
      </w:r>
      <w:r w:rsidR="00635F4B">
        <w:rPr>
          <w:rFonts w:ascii="Verdana" w:hAnsi="Verdana" w:cs="ArialNarrow"/>
          <w:color w:val="000000"/>
          <w:sz w:val="24"/>
          <w:szCs w:val="24"/>
        </w:rPr>
        <w:t>, salvo el trámite de crédito hipotecario del FNA.</w:t>
      </w:r>
    </w:p>
    <w:p w:rsidR="00CC0CBA" w:rsidRDefault="00CC0CBA" w:rsidP="007157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Narrow"/>
          <w:color w:val="000000"/>
          <w:sz w:val="24"/>
          <w:szCs w:val="24"/>
        </w:rPr>
      </w:pPr>
      <w:bookmarkStart w:id="0" w:name="_GoBack"/>
      <w:bookmarkEnd w:id="0"/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5703">
        <w:rPr>
          <w:rFonts w:ascii="Verdana" w:hAnsi="Verdana"/>
          <w:b/>
          <w:sz w:val="24"/>
          <w:szCs w:val="24"/>
        </w:rPr>
        <w:t>PLAN DE TRABAJO DIRECTIVA PRESIDENCIAL 07</w:t>
      </w:r>
      <w:r w:rsidR="00DA2AE8">
        <w:rPr>
          <w:rFonts w:ascii="Verdana" w:hAnsi="Verdana"/>
          <w:b/>
          <w:sz w:val="24"/>
          <w:szCs w:val="24"/>
        </w:rPr>
        <w:t xml:space="preserve"> de 2018</w:t>
      </w:r>
    </w:p>
    <w:p w:rsidR="00715703" w:rsidRPr="00715703" w:rsidRDefault="00715703" w:rsidP="0071570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5703">
        <w:rPr>
          <w:rFonts w:ascii="Verdana" w:hAnsi="Verdana"/>
          <w:sz w:val="24"/>
          <w:szCs w:val="24"/>
        </w:rPr>
        <w:t>Una vez realizados los análisis correspondientes, el equipo sectorial identificó las siguientes acciones que se implementarán en la vigencia 2019 como respuesta a la participación ciudadana recibida.</w:t>
      </w:r>
    </w:p>
    <w:p w:rsidR="00715703" w:rsidRPr="00715703" w:rsidRDefault="0071570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AE8">
        <w:rPr>
          <w:rFonts w:ascii="Verdana" w:hAnsi="Verdana"/>
          <w:b/>
          <w:sz w:val="24"/>
          <w:szCs w:val="24"/>
        </w:rPr>
        <w:t>Racionalización de Trámites:</w:t>
      </w:r>
      <w:r w:rsidRPr="00715703">
        <w:rPr>
          <w:rFonts w:ascii="Verdana" w:hAnsi="Verdana"/>
          <w:sz w:val="24"/>
          <w:szCs w:val="24"/>
        </w:rPr>
        <w:t xml:space="preserve"> se identificó la necesidad de racionalizar un trámite a cargo del FNA, el cual ya estaba identificado por la entidad, previo al ejercicio de participación ciudadana de la Directiva Presidencial 07.</w:t>
      </w:r>
    </w:p>
    <w:p w:rsidR="00715703" w:rsidRPr="00715703" w:rsidRDefault="0071570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2410"/>
      </w:tblGrid>
      <w:tr w:rsidR="001C6723" w:rsidRPr="00715703" w:rsidTr="00204AD0">
        <w:tc>
          <w:tcPr>
            <w:tcW w:w="3794" w:type="dxa"/>
            <w:vAlign w:val="center"/>
          </w:tcPr>
          <w:p w:rsidR="001C6723" w:rsidRDefault="001C672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5703">
              <w:rPr>
                <w:rFonts w:ascii="Verdana" w:hAnsi="Verdana"/>
                <w:b/>
                <w:sz w:val="20"/>
                <w:szCs w:val="20"/>
              </w:rPr>
              <w:t>ACTIVIDAD</w:t>
            </w:r>
          </w:p>
          <w:p w:rsidR="00715703" w:rsidRPr="00715703" w:rsidRDefault="0071570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5703">
              <w:rPr>
                <w:rFonts w:ascii="Verdana" w:hAnsi="Verdana"/>
                <w:b/>
                <w:sz w:val="20"/>
                <w:szCs w:val="20"/>
              </w:rPr>
              <w:t>RESPONSABLE</w:t>
            </w:r>
          </w:p>
        </w:tc>
        <w:tc>
          <w:tcPr>
            <w:tcW w:w="2410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5703">
              <w:rPr>
                <w:rFonts w:ascii="Verdana" w:hAnsi="Verdana"/>
                <w:b/>
                <w:sz w:val="20"/>
                <w:szCs w:val="20"/>
              </w:rPr>
              <w:t>FECHA MÁXIMA DE CUMPLIMIENTO</w:t>
            </w:r>
          </w:p>
        </w:tc>
      </w:tr>
      <w:tr w:rsidR="001C6723" w:rsidRPr="00715703" w:rsidTr="00204AD0">
        <w:tc>
          <w:tcPr>
            <w:tcW w:w="3794" w:type="dxa"/>
            <w:vAlign w:val="center"/>
          </w:tcPr>
          <w:p w:rsidR="001C6723" w:rsidRPr="00715703" w:rsidRDefault="001C6723" w:rsidP="00DA2AE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Racionalizar el trámite de Solicitud de crédito del FNA</w:t>
            </w:r>
            <w:r w:rsidR="00DA2AE8">
              <w:rPr>
                <w:rFonts w:ascii="Verdana" w:hAnsi="Verdana"/>
                <w:sz w:val="20"/>
                <w:szCs w:val="20"/>
              </w:rPr>
              <w:t>,</w:t>
            </w:r>
            <w:r w:rsidRPr="00715703">
              <w:rPr>
                <w:rFonts w:ascii="Verdana" w:hAnsi="Verdana"/>
                <w:sz w:val="20"/>
                <w:szCs w:val="20"/>
              </w:rPr>
              <w:t xml:space="preserve"> a través de herramientas tecnológicas que ayudarán a la optimización del proceso de crédito.</w:t>
            </w:r>
          </w:p>
        </w:tc>
        <w:tc>
          <w:tcPr>
            <w:tcW w:w="2268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FNA</w:t>
            </w:r>
          </w:p>
        </w:tc>
        <w:tc>
          <w:tcPr>
            <w:tcW w:w="2410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30/06/2019</w:t>
            </w:r>
          </w:p>
        </w:tc>
      </w:tr>
    </w:tbl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5703">
        <w:rPr>
          <w:rFonts w:ascii="Verdana" w:hAnsi="Verdana"/>
          <w:b/>
          <w:sz w:val="24"/>
          <w:szCs w:val="24"/>
        </w:rPr>
        <w:t>Agenda Regulatoria 2019:</w:t>
      </w:r>
      <w:r w:rsidR="00DA2AE8">
        <w:rPr>
          <w:rFonts w:ascii="Verdana" w:hAnsi="Verdana"/>
          <w:sz w:val="24"/>
          <w:szCs w:val="24"/>
        </w:rPr>
        <w:t xml:space="preserve"> c</w:t>
      </w:r>
      <w:r w:rsidRPr="00715703">
        <w:rPr>
          <w:rFonts w:ascii="Verdana" w:hAnsi="Verdana"/>
          <w:sz w:val="24"/>
          <w:szCs w:val="24"/>
        </w:rPr>
        <w:t xml:space="preserve">on las observaciones recibidas no se identificó la necesidad de modificar la agenda regulatoria de las entidades del sector. </w:t>
      </w: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5703">
        <w:rPr>
          <w:rFonts w:ascii="Verdana" w:hAnsi="Verdana"/>
          <w:sz w:val="24"/>
          <w:szCs w:val="24"/>
        </w:rPr>
        <w:t xml:space="preserve">En relación con las observaciones recibidas por parte de la Comisión de Regulación de Agua Potable y Saneamiento Básico – CRA, es importante </w:t>
      </w:r>
      <w:r w:rsidRPr="00715703">
        <w:rPr>
          <w:rFonts w:ascii="Verdana" w:hAnsi="Verdana"/>
          <w:sz w:val="24"/>
          <w:szCs w:val="24"/>
        </w:rPr>
        <w:lastRenderedPageBreak/>
        <w:t>aclarar que, ninguna obedece a revisión o mo</w:t>
      </w:r>
      <w:r w:rsidR="00DA2AE8">
        <w:rPr>
          <w:rFonts w:ascii="Verdana" w:hAnsi="Verdana"/>
          <w:sz w:val="24"/>
          <w:szCs w:val="24"/>
        </w:rPr>
        <w:t>dificación de algún trámite, si</w:t>
      </w:r>
      <w:r w:rsidRPr="00715703">
        <w:rPr>
          <w:rFonts w:ascii="Verdana" w:hAnsi="Verdana"/>
          <w:sz w:val="24"/>
          <w:szCs w:val="24"/>
        </w:rPr>
        <w:t>no a temas regulatorios incluidos en la Resolución CRA 151 de 2001</w:t>
      </w:r>
      <w:r w:rsidR="00DA2AE8">
        <w:rPr>
          <w:rFonts w:ascii="Verdana" w:hAnsi="Verdana"/>
          <w:sz w:val="24"/>
          <w:szCs w:val="24"/>
        </w:rPr>
        <w:t>,</w:t>
      </w:r>
      <w:r w:rsidRPr="00715703">
        <w:rPr>
          <w:rFonts w:ascii="Verdana" w:hAnsi="Verdana"/>
          <w:sz w:val="24"/>
          <w:szCs w:val="24"/>
        </w:rPr>
        <w:t xml:space="preserve"> que es una Resolución compilatoria</w:t>
      </w:r>
      <w:r w:rsidR="00DA2AE8">
        <w:rPr>
          <w:rFonts w:ascii="Verdana" w:hAnsi="Verdana"/>
          <w:sz w:val="24"/>
          <w:szCs w:val="24"/>
        </w:rPr>
        <w:t>,</w:t>
      </w:r>
      <w:r w:rsidRPr="00715703">
        <w:rPr>
          <w:rFonts w:ascii="Verdana" w:hAnsi="Verdana"/>
          <w:sz w:val="24"/>
          <w:szCs w:val="24"/>
        </w:rPr>
        <w:t xml:space="preserve"> y la Resolución CRA 800 de 2017, que es una resolución reciente sobre la cual aún no es posible medir su impacto.</w:t>
      </w: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5703">
        <w:rPr>
          <w:rFonts w:ascii="Verdana" w:hAnsi="Verdana"/>
          <w:sz w:val="24"/>
          <w:szCs w:val="24"/>
        </w:rPr>
        <w:t xml:space="preserve">Adicionalmente, es importante resaltar, que en fechas simultáneas a la participación de la Directiva </w:t>
      </w:r>
      <w:r w:rsidR="00DA2AE8">
        <w:rPr>
          <w:rFonts w:ascii="Verdana" w:hAnsi="Verdana"/>
          <w:sz w:val="24"/>
          <w:szCs w:val="24"/>
        </w:rPr>
        <w:t>Presidencial 07 de 2018, la CRA</w:t>
      </w:r>
      <w:r w:rsidRPr="00715703">
        <w:rPr>
          <w:rFonts w:ascii="Verdana" w:hAnsi="Verdana"/>
          <w:sz w:val="24"/>
          <w:szCs w:val="24"/>
        </w:rPr>
        <w:t xml:space="preserve"> se encontraba realizando el proceso de participación ciudadana de su proyecto de agenda regulatoria indicativa anual 2019. </w:t>
      </w: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5703">
        <w:rPr>
          <w:rFonts w:ascii="Verdana" w:hAnsi="Verdana"/>
          <w:sz w:val="24"/>
          <w:szCs w:val="24"/>
        </w:rPr>
        <w:t>En dicho proceso de participación, la CRA recibió observaciones de varios temas, incluidos los recibidos en virtud de la Dir</w:t>
      </w:r>
      <w:r w:rsidR="00DA2AE8">
        <w:rPr>
          <w:rFonts w:ascii="Verdana" w:hAnsi="Verdana"/>
          <w:sz w:val="24"/>
          <w:szCs w:val="24"/>
        </w:rPr>
        <w:t>ectiva Presidencial 07 de 2018.</w:t>
      </w:r>
      <w:r w:rsidRPr="00715703">
        <w:rPr>
          <w:rFonts w:ascii="Verdana" w:hAnsi="Verdana"/>
          <w:sz w:val="24"/>
          <w:szCs w:val="24"/>
        </w:rPr>
        <w:t xml:space="preserve"> Estas observaciones están siendo analizadas y revisadas para la definición de la agenda indicativa anual 20</w:t>
      </w:r>
      <w:r w:rsidR="00DA2AE8">
        <w:rPr>
          <w:rFonts w:ascii="Verdana" w:hAnsi="Verdana"/>
          <w:sz w:val="24"/>
          <w:szCs w:val="24"/>
        </w:rPr>
        <w:t>19, la cual prioriza los temas r</w:t>
      </w:r>
      <w:r w:rsidRPr="00715703">
        <w:rPr>
          <w:rFonts w:ascii="Verdana" w:hAnsi="Verdana"/>
          <w:sz w:val="24"/>
          <w:szCs w:val="24"/>
        </w:rPr>
        <w:t>egulatorios que más impacten el sector de los servicios públicos de acueducto, alcantarillado y aseo en Colombia.</w:t>
      </w: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2410"/>
      </w:tblGrid>
      <w:tr w:rsidR="001C6723" w:rsidRPr="00715703" w:rsidTr="00204AD0">
        <w:tc>
          <w:tcPr>
            <w:tcW w:w="3794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5703">
              <w:rPr>
                <w:rFonts w:ascii="Verdana" w:hAnsi="Verdana"/>
                <w:b/>
                <w:sz w:val="20"/>
                <w:szCs w:val="20"/>
              </w:rPr>
              <w:t>ACTIVIDAD</w:t>
            </w:r>
          </w:p>
        </w:tc>
        <w:tc>
          <w:tcPr>
            <w:tcW w:w="2268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5703">
              <w:rPr>
                <w:rFonts w:ascii="Verdana" w:hAnsi="Verdana"/>
                <w:b/>
                <w:sz w:val="20"/>
                <w:szCs w:val="20"/>
              </w:rPr>
              <w:t>RESPONSABLE</w:t>
            </w:r>
          </w:p>
        </w:tc>
        <w:tc>
          <w:tcPr>
            <w:tcW w:w="2410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5703">
              <w:rPr>
                <w:rFonts w:ascii="Verdana" w:hAnsi="Verdana"/>
                <w:b/>
                <w:sz w:val="20"/>
                <w:szCs w:val="20"/>
              </w:rPr>
              <w:t>FECHA MÁXIMA DE CUMPLIMIENTO</w:t>
            </w:r>
          </w:p>
        </w:tc>
      </w:tr>
      <w:tr w:rsidR="001C6723" w:rsidRPr="00715703" w:rsidTr="00204AD0">
        <w:tc>
          <w:tcPr>
            <w:tcW w:w="3794" w:type="dxa"/>
            <w:vAlign w:val="center"/>
          </w:tcPr>
          <w:p w:rsidR="001C6723" w:rsidRPr="00715703" w:rsidRDefault="001C6723" w:rsidP="00DA2AE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 xml:space="preserve">Revisión y análisis de las observaciones recibidas en la participación ciudadana, y definición de la agenda indicativa anual 2019. </w:t>
            </w:r>
          </w:p>
        </w:tc>
        <w:tc>
          <w:tcPr>
            <w:tcW w:w="2268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CRA</w:t>
            </w:r>
          </w:p>
        </w:tc>
        <w:tc>
          <w:tcPr>
            <w:tcW w:w="2410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30/12/2019</w:t>
            </w:r>
          </w:p>
        </w:tc>
      </w:tr>
    </w:tbl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5703">
        <w:rPr>
          <w:rFonts w:ascii="Verdana" w:hAnsi="Verdana"/>
          <w:sz w:val="24"/>
          <w:szCs w:val="24"/>
        </w:rPr>
        <w:t xml:space="preserve">Como complemento a la mencionada acción, a efectos de verificar la pertinencia de las acciones tendientes a la modificación del Decreto 1077 de 2015, el Ministerio de Vivienda, Ciudad y Territorio efectuará las siguientes </w:t>
      </w:r>
      <w:r w:rsidR="00DA2AE8">
        <w:rPr>
          <w:rFonts w:ascii="Verdana" w:hAnsi="Verdana"/>
          <w:sz w:val="24"/>
          <w:szCs w:val="24"/>
        </w:rPr>
        <w:t>acciones, que podría</w:t>
      </w:r>
      <w:r w:rsidRPr="00715703">
        <w:rPr>
          <w:rFonts w:ascii="Verdana" w:hAnsi="Verdana"/>
          <w:sz w:val="24"/>
          <w:szCs w:val="24"/>
        </w:rPr>
        <w:t xml:space="preserve"> conllevar la modificación de la Agenda Regulatoria 2019:</w:t>
      </w: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2410"/>
      </w:tblGrid>
      <w:tr w:rsidR="001C6723" w:rsidRPr="00715703" w:rsidTr="00204AD0">
        <w:tc>
          <w:tcPr>
            <w:tcW w:w="3794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5703">
              <w:rPr>
                <w:rFonts w:ascii="Verdana" w:hAnsi="Verdana"/>
                <w:b/>
                <w:sz w:val="20"/>
                <w:szCs w:val="20"/>
              </w:rPr>
              <w:t>ACTIVIDAD</w:t>
            </w:r>
          </w:p>
        </w:tc>
        <w:tc>
          <w:tcPr>
            <w:tcW w:w="2268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5703">
              <w:rPr>
                <w:rFonts w:ascii="Verdana" w:hAnsi="Verdana"/>
                <w:b/>
                <w:sz w:val="20"/>
                <w:szCs w:val="20"/>
              </w:rPr>
              <w:t>RESPONSABLE</w:t>
            </w:r>
          </w:p>
        </w:tc>
        <w:tc>
          <w:tcPr>
            <w:tcW w:w="2410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5703">
              <w:rPr>
                <w:rFonts w:ascii="Verdana" w:hAnsi="Verdana"/>
                <w:b/>
                <w:sz w:val="20"/>
                <w:szCs w:val="20"/>
              </w:rPr>
              <w:t>FECHA MÁXIMA DE CUMPLIMIENTO</w:t>
            </w:r>
          </w:p>
        </w:tc>
      </w:tr>
      <w:tr w:rsidR="001C6723" w:rsidRPr="00715703" w:rsidTr="00204AD0">
        <w:tc>
          <w:tcPr>
            <w:tcW w:w="3794" w:type="dxa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Mesa de trabajo con grupos de interés para explorar la pertinencia de modificar, ajustar y/ o reglamentar el Decreto 1077 de 2015. Dentro de esta actividad se validarán, en lo referente a los temas de consulta sobre Desarrollo Urbano y Territorial.</w:t>
            </w:r>
          </w:p>
        </w:tc>
        <w:tc>
          <w:tcPr>
            <w:tcW w:w="2268" w:type="dxa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MVCT - Dirección de Espacio Urbano y Territorial</w:t>
            </w:r>
          </w:p>
        </w:tc>
        <w:tc>
          <w:tcPr>
            <w:tcW w:w="2410" w:type="dxa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30/06/2019</w:t>
            </w:r>
          </w:p>
        </w:tc>
      </w:tr>
      <w:tr w:rsidR="001C6723" w:rsidRPr="00715703" w:rsidTr="00204AD0">
        <w:tc>
          <w:tcPr>
            <w:tcW w:w="3794" w:type="dxa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Mesa de trabajo con grupos de interés para explorar la pertinencia de modificar el Decreto 1077 de 2015, en lo pertinente al subsidio familiar de vivienda.</w:t>
            </w:r>
          </w:p>
        </w:tc>
        <w:tc>
          <w:tcPr>
            <w:tcW w:w="2268" w:type="dxa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 xml:space="preserve">MVCT - Dirección del Sistema Habitacional </w:t>
            </w:r>
          </w:p>
        </w:tc>
        <w:tc>
          <w:tcPr>
            <w:tcW w:w="2410" w:type="dxa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30/06/2019</w:t>
            </w:r>
          </w:p>
        </w:tc>
      </w:tr>
      <w:tr w:rsidR="001C6723" w:rsidRPr="00715703" w:rsidTr="00204AD0">
        <w:tc>
          <w:tcPr>
            <w:tcW w:w="3794" w:type="dxa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 xml:space="preserve">Mesa de trabajo con grupos de </w:t>
            </w:r>
            <w:r w:rsidRPr="00715703">
              <w:rPr>
                <w:rFonts w:ascii="Verdana" w:hAnsi="Verdana"/>
                <w:sz w:val="20"/>
                <w:szCs w:val="20"/>
              </w:rPr>
              <w:lastRenderedPageBreak/>
              <w:t>interés para explorar la pertinencia de modificar el Decreto 1077 de 2015, en lo pertinente a las temáticas solicitados en el ejercicio participación ciudadana.</w:t>
            </w:r>
          </w:p>
        </w:tc>
        <w:tc>
          <w:tcPr>
            <w:tcW w:w="2268" w:type="dxa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lastRenderedPageBreak/>
              <w:t xml:space="preserve">MVCT – Dirección </w:t>
            </w:r>
            <w:r w:rsidRPr="00715703">
              <w:rPr>
                <w:rFonts w:ascii="Verdana" w:hAnsi="Verdana"/>
                <w:sz w:val="20"/>
                <w:szCs w:val="20"/>
              </w:rPr>
              <w:lastRenderedPageBreak/>
              <w:t xml:space="preserve">de Desarrollo Sectorial </w:t>
            </w:r>
          </w:p>
        </w:tc>
        <w:tc>
          <w:tcPr>
            <w:tcW w:w="2410" w:type="dxa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lastRenderedPageBreak/>
              <w:t>30/06/2019</w:t>
            </w:r>
          </w:p>
        </w:tc>
      </w:tr>
      <w:tr w:rsidR="001C6723" w:rsidRPr="00715703" w:rsidTr="00204AD0">
        <w:tc>
          <w:tcPr>
            <w:tcW w:w="3794" w:type="dxa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lastRenderedPageBreak/>
              <w:t>Revisar el proceso de instrumentación normativa del MVCT, y evaluar la inclusión del Análisis de Impacto Normativo</w:t>
            </w:r>
          </w:p>
        </w:tc>
        <w:tc>
          <w:tcPr>
            <w:tcW w:w="2268" w:type="dxa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 xml:space="preserve">MVCT – Dirección de Desarrollo Sectorial </w:t>
            </w:r>
          </w:p>
        </w:tc>
        <w:tc>
          <w:tcPr>
            <w:tcW w:w="2410" w:type="dxa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30/06/2019</w:t>
            </w:r>
          </w:p>
        </w:tc>
      </w:tr>
    </w:tbl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2AE8">
        <w:rPr>
          <w:rFonts w:ascii="Verdana" w:hAnsi="Verdana"/>
          <w:b/>
          <w:sz w:val="24"/>
          <w:szCs w:val="24"/>
        </w:rPr>
        <w:t>Otras acciones:</w:t>
      </w:r>
      <w:r w:rsidR="00DA2AE8">
        <w:rPr>
          <w:rFonts w:ascii="Verdana" w:hAnsi="Verdana"/>
          <w:sz w:val="24"/>
          <w:szCs w:val="24"/>
        </w:rPr>
        <w:t xml:space="preserve"> de forma c</w:t>
      </w:r>
      <w:r w:rsidRPr="00715703">
        <w:rPr>
          <w:rFonts w:ascii="Verdana" w:hAnsi="Verdana"/>
          <w:sz w:val="24"/>
          <w:szCs w:val="24"/>
        </w:rPr>
        <w:t>omplementaria, las entidades del sector identificaron diferentes acciones pertinentes frente a las intervenciones de la ciudadanía, especialmente en lo relacionado con mejorar la información y comunicación, los cuales no se pueden realizar en esta vigencia.</w:t>
      </w:r>
    </w:p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2410"/>
      </w:tblGrid>
      <w:tr w:rsidR="001C6723" w:rsidRPr="00715703" w:rsidTr="00204AD0">
        <w:tc>
          <w:tcPr>
            <w:tcW w:w="3794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5703">
              <w:rPr>
                <w:rFonts w:ascii="Verdana" w:hAnsi="Verdana"/>
                <w:b/>
                <w:sz w:val="20"/>
                <w:szCs w:val="20"/>
              </w:rPr>
              <w:t>ACTIVIDAD</w:t>
            </w:r>
          </w:p>
        </w:tc>
        <w:tc>
          <w:tcPr>
            <w:tcW w:w="2268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5703">
              <w:rPr>
                <w:rFonts w:ascii="Verdana" w:hAnsi="Verdana"/>
                <w:b/>
                <w:sz w:val="20"/>
                <w:szCs w:val="20"/>
              </w:rPr>
              <w:t>RESPONSABLE</w:t>
            </w:r>
          </w:p>
        </w:tc>
        <w:tc>
          <w:tcPr>
            <w:tcW w:w="2410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15703">
              <w:rPr>
                <w:rFonts w:ascii="Verdana" w:hAnsi="Verdana"/>
                <w:b/>
                <w:sz w:val="20"/>
                <w:szCs w:val="20"/>
              </w:rPr>
              <w:t>FECHA MÁXIMA DE CUMPLIMIENTO</w:t>
            </w:r>
          </w:p>
        </w:tc>
      </w:tr>
      <w:tr w:rsidR="001C6723" w:rsidRPr="00715703" w:rsidTr="00204AD0">
        <w:tc>
          <w:tcPr>
            <w:tcW w:w="3794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 xml:space="preserve">Fortalecer los procesos de priorización de la asistencia técnica en POT. </w:t>
            </w:r>
          </w:p>
        </w:tc>
        <w:tc>
          <w:tcPr>
            <w:tcW w:w="2268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MVCT - Dirección de Espacio Urbano y Territorial</w:t>
            </w:r>
          </w:p>
        </w:tc>
        <w:tc>
          <w:tcPr>
            <w:tcW w:w="2410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30/06/2019</w:t>
            </w:r>
          </w:p>
        </w:tc>
      </w:tr>
      <w:tr w:rsidR="001C6723" w:rsidRPr="00715703" w:rsidTr="00204AD0">
        <w:tc>
          <w:tcPr>
            <w:tcW w:w="3794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Fortalecer los procesos de socialización de los programas de vivienda a través de los canales del MVCT y ferias de servicio al ciudadano.</w:t>
            </w:r>
          </w:p>
        </w:tc>
        <w:tc>
          <w:tcPr>
            <w:tcW w:w="2268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MVCT - Dirección de Inversiones en Vivienda de Interés Social</w:t>
            </w:r>
          </w:p>
        </w:tc>
        <w:tc>
          <w:tcPr>
            <w:tcW w:w="2410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30/06/2019</w:t>
            </w:r>
          </w:p>
        </w:tc>
      </w:tr>
      <w:tr w:rsidR="001C6723" w:rsidRPr="00715703" w:rsidTr="00204AD0">
        <w:tc>
          <w:tcPr>
            <w:tcW w:w="3794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 xml:space="preserve">Fortalecer los procesos de socialización de los programas de crédito a través de: </w:t>
            </w:r>
          </w:p>
          <w:p w:rsidR="001C6723" w:rsidRPr="00715703" w:rsidRDefault="001C6723" w:rsidP="0071570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Revisión de canales de comunicación FNA y ferias de servicio al ciudadano.</w:t>
            </w:r>
          </w:p>
          <w:p w:rsidR="001C6723" w:rsidRPr="00715703" w:rsidRDefault="001C6723" w:rsidP="0071570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Implementando mecanismos de guiones de respuesta predeterminados, con el fin de reducir los tiempos de espera y unificar criterios a la hora de obtener información referente a trámites.</w:t>
            </w:r>
          </w:p>
        </w:tc>
        <w:tc>
          <w:tcPr>
            <w:tcW w:w="2268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FNA</w:t>
            </w:r>
          </w:p>
        </w:tc>
        <w:tc>
          <w:tcPr>
            <w:tcW w:w="2410" w:type="dxa"/>
            <w:vAlign w:val="center"/>
          </w:tcPr>
          <w:p w:rsidR="001C6723" w:rsidRPr="00715703" w:rsidRDefault="001C6723" w:rsidP="0071570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15703">
              <w:rPr>
                <w:rFonts w:ascii="Verdana" w:hAnsi="Verdana"/>
                <w:sz w:val="20"/>
                <w:szCs w:val="20"/>
              </w:rPr>
              <w:t>30/06/2019</w:t>
            </w:r>
          </w:p>
        </w:tc>
      </w:tr>
    </w:tbl>
    <w:p w:rsidR="001C6723" w:rsidRPr="00715703" w:rsidRDefault="001C6723" w:rsidP="0071570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1C6723" w:rsidRPr="00715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457"/>
    <w:multiLevelType w:val="hybridMultilevel"/>
    <w:tmpl w:val="5950D4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3BC"/>
    <w:multiLevelType w:val="hybridMultilevel"/>
    <w:tmpl w:val="960CC1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E7830"/>
    <w:multiLevelType w:val="hybridMultilevel"/>
    <w:tmpl w:val="36364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3"/>
    <w:rsid w:val="000C484F"/>
    <w:rsid w:val="000D0331"/>
    <w:rsid w:val="000F0447"/>
    <w:rsid w:val="001B7DFD"/>
    <w:rsid w:val="001C6723"/>
    <w:rsid w:val="00290F30"/>
    <w:rsid w:val="00294206"/>
    <w:rsid w:val="002F6EC6"/>
    <w:rsid w:val="0035057C"/>
    <w:rsid w:val="00393A40"/>
    <w:rsid w:val="003B6214"/>
    <w:rsid w:val="00426F55"/>
    <w:rsid w:val="004A6D5C"/>
    <w:rsid w:val="0053018C"/>
    <w:rsid w:val="005323FC"/>
    <w:rsid w:val="00582BB2"/>
    <w:rsid w:val="005A291B"/>
    <w:rsid w:val="00635F4B"/>
    <w:rsid w:val="00654F41"/>
    <w:rsid w:val="00660243"/>
    <w:rsid w:val="006956B0"/>
    <w:rsid w:val="00715703"/>
    <w:rsid w:val="00922D2C"/>
    <w:rsid w:val="00953247"/>
    <w:rsid w:val="009874C6"/>
    <w:rsid w:val="009C382C"/>
    <w:rsid w:val="00A12F0F"/>
    <w:rsid w:val="00A169B0"/>
    <w:rsid w:val="00A44BA8"/>
    <w:rsid w:val="00B46CEE"/>
    <w:rsid w:val="00C37EF4"/>
    <w:rsid w:val="00C63C84"/>
    <w:rsid w:val="00CC0CBA"/>
    <w:rsid w:val="00D71C3D"/>
    <w:rsid w:val="00DA2AE8"/>
    <w:rsid w:val="00E05515"/>
    <w:rsid w:val="00E37CF8"/>
    <w:rsid w:val="00E47FB9"/>
    <w:rsid w:val="00EC3A34"/>
    <w:rsid w:val="00F50E88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7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6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7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6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A_x00f1_o xmlns="88577048-f00d-480e-b5cf-a47de895e93f" xsi:nil="true"/>
    <Fecha xmlns="88577048-f00d-480e-b5cf-a47de895e93f">2019-01-18T05:00:00+00:00</Fecha>
    <PublishingExpirationDate xmlns="http://schemas.microsoft.com/sharepoint/v3" xsi:nil="true"/>
    <PublishingStartDate xmlns="http://schemas.microsoft.com/sharepoint/v3" xsi:nil="true"/>
    <Tipo_x0020_de_x0020_contenido xmlns="88577048-f00d-480e-b5cf-a47de895e93f">Campaña Estado Simple, Colombia Ágil</Tipo_x0020_de_x0020_contenido>
  </documentManagement>
</p:properties>
</file>

<file path=customXml/itemProps1.xml><?xml version="1.0" encoding="utf-8"?>
<ds:datastoreItem xmlns:ds="http://schemas.openxmlformats.org/officeDocument/2006/customXml" ds:itemID="{57913AA8-BF6D-420D-8422-395D9717DB5E}"/>
</file>

<file path=customXml/itemProps2.xml><?xml version="1.0" encoding="utf-8"?>
<ds:datastoreItem xmlns:ds="http://schemas.openxmlformats.org/officeDocument/2006/customXml" ds:itemID="{20D0B01A-FE97-4865-8802-15BB3B2173AD}"/>
</file>

<file path=customXml/itemProps3.xml><?xml version="1.0" encoding="utf-8"?>
<ds:datastoreItem xmlns:ds="http://schemas.openxmlformats.org/officeDocument/2006/customXml" ds:itemID="{8203D787-9781-4580-AD18-B5AE01987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resultados participación ciudadana sector VCT 30-11-2018</dc:title>
  <dc:creator>Isidro Melquicedec Bastidas Yela</dc:creator>
  <cp:lastModifiedBy>Fredy Diaz Cordoba</cp:lastModifiedBy>
  <cp:revision>2</cp:revision>
  <dcterms:created xsi:type="dcterms:W3CDTF">2019-01-17T21:59:00Z</dcterms:created>
  <dcterms:modified xsi:type="dcterms:W3CDTF">2019-01-17T21:59:00Z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