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B3350" w:rsidRDefault="00BD354F">
      <w:pPr>
        <w:rPr>
          <w:noProof/>
          <w:lang w:eastAsia="es-CO"/>
        </w:rPr>
      </w:pPr>
      <w:r>
        <w:rPr>
          <w:noProof/>
          <w:lang w:eastAsia="es-CO"/>
        </w:rPr>
        <mc:AlternateContent>
          <mc:Choice Requires="wps">
            <w:drawing>
              <wp:anchor distT="0" distB="0" distL="114300" distR="114300" simplePos="0" relativeHeight="251795456" behindDoc="0" locked="0" layoutInCell="1" allowOverlap="1" wp14:anchorId="7CCB77B1" wp14:editId="24BBCB2C">
                <wp:simplePos x="0" y="0"/>
                <wp:positionH relativeFrom="column">
                  <wp:posOffset>3920490</wp:posOffset>
                </wp:positionH>
                <wp:positionV relativeFrom="paragraph">
                  <wp:posOffset>-641985</wp:posOffset>
                </wp:positionV>
                <wp:extent cx="4448175" cy="2114550"/>
                <wp:effectExtent l="0" t="0" r="0" b="0"/>
                <wp:wrapNone/>
                <wp:docPr id="2546" name="2546 Cuadro de texto"/>
                <wp:cNvGraphicFramePr/>
                <a:graphic xmlns:a="http://schemas.openxmlformats.org/drawingml/2006/main">
                  <a:graphicData uri="http://schemas.microsoft.com/office/word/2010/wordprocessingShape">
                    <wps:wsp>
                      <wps:cNvSpPr txBox="1"/>
                      <wps:spPr>
                        <a:xfrm>
                          <a:off x="0" y="0"/>
                          <a:ext cx="4448175" cy="211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0206" w:rsidRPr="005D63B6" w:rsidRDefault="00E30206" w:rsidP="00640AB4">
                            <w:pPr>
                              <w:jc w:val="center"/>
                              <w:rPr>
                                <w:rFonts w:ascii="FuturaStd-ExtraBold" w:hAnsi="FuturaStd-ExtraBold" w:cs="FuturaStd-ExtraBold"/>
                                <w:b/>
                                <w:bCs/>
                                <w:sz w:val="70"/>
                                <w:szCs w:val="52"/>
                                <w14:shadow w14:blurRad="63500" w14:dist="50800" w14:dir="16200000" w14:sx="0" w14:sy="0" w14:kx="0" w14:ky="0" w14:algn="none">
                                  <w14:srgbClr w14:val="000000">
                                    <w14:alpha w14:val="50000"/>
                                  </w14:srgbClr>
                                </w14:shadow>
                                <w14:textOutline w14:w="9207" w14:cap="flat" w14:cmpd="sng" w14:algn="ctr">
                                  <w14:solidFill>
                                    <w14:srgbClr w14:val="FFFFFF"/>
                                  </w14:solidFill>
                                  <w14:prstDash w14:val="solid"/>
                                  <w14:round/>
                                </w14:textOutline>
                                <w14:textFill>
                                  <w14:solidFill>
                                    <w14:srgbClr w14:val="FFFFFF"/>
                                  </w14:solidFill>
                                </w14:textFill>
                              </w:rPr>
                            </w:pPr>
                            <w:r w:rsidRPr="005D63B6">
                              <w:rPr>
                                <w:rFonts w:ascii="FuturaStd-ExtraBold" w:hAnsi="FuturaStd-ExtraBold" w:cs="FuturaStd-ExtraBold"/>
                                <w:b/>
                                <w:bCs/>
                                <w:sz w:val="70"/>
                                <w:szCs w:val="52"/>
                                <w14:shadow w14:blurRad="63500" w14:dist="50800" w14:dir="16200000" w14:sx="0" w14:sy="0" w14:kx="0" w14:ky="0" w14:algn="none">
                                  <w14:srgbClr w14:val="000000">
                                    <w14:alpha w14:val="50000"/>
                                  </w14:srgbClr>
                                </w14:shadow>
                                <w14:textOutline w14:w="9207" w14:cap="flat" w14:cmpd="sng" w14:algn="ctr">
                                  <w14:solidFill>
                                    <w14:srgbClr w14:val="FFFFFF"/>
                                  </w14:solidFill>
                                  <w14:prstDash w14:val="solid"/>
                                  <w14:round/>
                                </w14:textOutline>
                                <w14:textFill>
                                  <w14:solidFill>
                                    <w14:srgbClr w14:val="FFFFFF"/>
                                  </w14:solidFill>
                                </w14:textFill>
                              </w:rPr>
                              <w:t>MINISTERIO DE VIVIENDA, CIUDAD Y TERRITORIO</w:t>
                            </w:r>
                          </w:p>
                          <w:p w:rsidR="00E30206" w:rsidRPr="005D63B6" w:rsidRDefault="00E30206" w:rsidP="00640AB4">
                            <w:pPr>
                              <w:jc w:val="center"/>
                              <w:rPr>
                                <w:b/>
                                <w:sz w:val="56"/>
                                <w14:shadow w14:blurRad="63500" w14:dist="50800" w14:dir="16200000" w14:sx="0" w14:sy="0" w14:kx="0" w14:ky="0" w14:algn="none">
                                  <w14:srgbClr w14:val="000000">
                                    <w14:alpha w14:val="5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546 Cuadro de texto" o:spid="_x0000_s1026" type="#_x0000_t202" style="position:absolute;left:0;text-align:left;margin-left:308.7pt;margin-top:-50.55pt;width:350.25pt;height:16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" filled="f" stroked="f" strokeweight=".5pt">
                <v:textbox>
                  <w:txbxContent>
                    <w:p w:rsidR="00E30206" w:rsidRPr="005D63B6" w:rsidRDefault="00E30206" w:rsidP="00640AB4">
                      <w:pPr>
                        <w:jc w:val="center"/>
                        <w:rPr>
                          <w:rFonts w:ascii="FuturaStd-ExtraBold" w:hAnsi="FuturaStd-ExtraBold" w:cs="FuturaStd-ExtraBold"/>
                          <w:b/>
                          <w:bCs/>
                          <w:sz w:val="70"/>
                          <w:szCs w:val="52"/>
                          <w14:shadow w14:blurRad="63500" w14:dist="50800" w14:dir="16200000" w14:sx="0" w14:sy="0" w14:kx="0" w14:ky="0" w14:algn="none">
                            <w14:srgbClr w14:val="000000">
                              <w14:alpha w14:val="50000"/>
                            </w14:srgbClr>
                          </w14:shadow>
                          <w14:textOutline w14:w="9207" w14:cap="flat" w14:cmpd="sng" w14:algn="ctr">
                            <w14:solidFill>
                              <w14:srgbClr w14:val="FFFFFF"/>
                            </w14:solidFill>
                            <w14:prstDash w14:val="solid"/>
                            <w14:round/>
                          </w14:textOutline>
                          <w14:textFill>
                            <w14:solidFill>
                              <w14:srgbClr w14:val="FFFFFF"/>
                            </w14:solidFill>
                          </w14:textFill>
                        </w:rPr>
                      </w:pPr>
                      <w:r w:rsidRPr="005D63B6">
                        <w:rPr>
                          <w:rFonts w:ascii="FuturaStd-ExtraBold" w:hAnsi="FuturaStd-ExtraBold" w:cs="FuturaStd-ExtraBold"/>
                          <w:b/>
                          <w:bCs/>
                          <w:sz w:val="70"/>
                          <w:szCs w:val="52"/>
                          <w14:shadow w14:blurRad="63500" w14:dist="50800" w14:dir="16200000" w14:sx="0" w14:sy="0" w14:kx="0" w14:ky="0" w14:algn="none">
                            <w14:srgbClr w14:val="000000">
                              <w14:alpha w14:val="50000"/>
                            </w14:srgbClr>
                          </w14:shadow>
                          <w14:textOutline w14:w="9207" w14:cap="flat" w14:cmpd="sng" w14:algn="ctr">
                            <w14:solidFill>
                              <w14:srgbClr w14:val="FFFFFF"/>
                            </w14:solidFill>
                            <w14:prstDash w14:val="solid"/>
                            <w14:round/>
                          </w14:textOutline>
                          <w14:textFill>
                            <w14:solidFill>
                              <w14:srgbClr w14:val="FFFFFF"/>
                            </w14:solidFill>
                          </w14:textFill>
                        </w:rPr>
                        <w:t>MINISTERIO DE VIVIENDA, CIUDAD Y TERRITORIO</w:t>
                      </w:r>
                    </w:p>
                    <w:p w:rsidR="00E30206" w:rsidRPr="005D63B6" w:rsidRDefault="00E30206" w:rsidP="00640AB4">
                      <w:pPr>
                        <w:jc w:val="center"/>
                        <w:rPr>
                          <w:b/>
                          <w:sz w:val="56"/>
                          <w14:shadow w14:blurRad="63500" w14:dist="50800" w14:dir="16200000" w14:sx="0" w14:sy="0" w14:kx="0" w14:ky="0" w14:algn="none">
                            <w14:srgbClr w14:val="000000">
                              <w14:alpha w14:val="5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r w:rsidR="005A3648">
        <w:rPr>
          <w:noProof/>
          <w:lang w:eastAsia="es-CO"/>
        </w:rPr>
        <mc:AlternateContent>
          <mc:Choice Requires="wpg">
            <w:drawing>
              <wp:anchor distT="0" distB="0" distL="114300" distR="114300" simplePos="0" relativeHeight="251652607" behindDoc="1" locked="0" layoutInCell="1" allowOverlap="1" wp14:anchorId="536E12DA" wp14:editId="40D6140E">
                <wp:simplePos x="0" y="0"/>
                <wp:positionH relativeFrom="page">
                  <wp:posOffset>0</wp:posOffset>
                </wp:positionH>
                <wp:positionV relativeFrom="page">
                  <wp:posOffset>-9525</wp:posOffset>
                </wp:positionV>
                <wp:extent cx="10096500" cy="7800975"/>
                <wp:effectExtent l="0" t="0" r="0" b="9525"/>
                <wp:wrapNone/>
                <wp:docPr id="1235" name="Grupo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0" cy="7800975"/>
                          <a:chOff x="5796" y="9560"/>
                          <a:chExt cx="8274" cy="9299"/>
                        </a:xfrm>
                      </wpg:grpSpPr>
                      <wps:wsp>
                        <wps:cNvPr id="1236" name="Freeform 1231"/>
                        <wps:cNvSpPr>
                          <a:spLocks/>
                        </wps:cNvSpPr>
                        <wps:spPr bwMode="auto">
                          <a:xfrm>
                            <a:off x="5796" y="9560"/>
                            <a:ext cx="8274" cy="9299"/>
                          </a:xfrm>
                          <a:custGeom>
                            <a:avLst/>
                            <a:gdLst>
                              <a:gd name="T0" fmla="*/ 0 w 11339"/>
                              <a:gd name="T1" fmla="*/ 14173 h 14174"/>
                              <a:gd name="T2" fmla="*/ 11339 w 11339"/>
                              <a:gd name="T3" fmla="*/ 14173 h 14174"/>
                              <a:gd name="T4" fmla="*/ 11339 w 11339"/>
                              <a:gd name="T5" fmla="*/ 0 h 14174"/>
                              <a:gd name="T6" fmla="*/ 0 w 11339"/>
                              <a:gd name="T7" fmla="*/ 0 h 14174"/>
                              <a:gd name="T8" fmla="*/ 0 w 11339"/>
                              <a:gd name="T9" fmla="*/ 14173 h 14174"/>
                            </a:gdLst>
                            <a:ahLst/>
                            <a:cxnLst>
                              <a:cxn ang="0">
                                <a:pos x="T0" y="T1"/>
                              </a:cxn>
                              <a:cxn ang="0">
                                <a:pos x="T2" y="T3"/>
                              </a:cxn>
                              <a:cxn ang="0">
                                <a:pos x="T4" y="T5"/>
                              </a:cxn>
                              <a:cxn ang="0">
                                <a:pos x="T6" y="T7"/>
                              </a:cxn>
                              <a:cxn ang="0">
                                <a:pos x="T8" y="T9"/>
                              </a:cxn>
                            </a:cxnLst>
                            <a:rect l="0" t="0" r="r" b="b"/>
                            <a:pathLst>
                              <a:path w="11339" h="14174">
                                <a:moveTo>
                                  <a:pt x="0" y="14173"/>
                                </a:moveTo>
                                <a:lnTo>
                                  <a:pt x="11339" y="14173"/>
                                </a:lnTo>
                                <a:lnTo>
                                  <a:pt x="11339" y="0"/>
                                </a:lnTo>
                                <a:lnTo>
                                  <a:pt x="0" y="0"/>
                                </a:lnTo>
                                <a:lnTo>
                                  <a:pt x="0" y="14173"/>
                                </a:lnTo>
                                <a:close/>
                              </a:path>
                            </a:pathLst>
                          </a:custGeom>
                          <a:solidFill>
                            <a:srgbClr val="A51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35" o:spid="_x0000_s1026" style="position:absolute;margin-left:0;margin-top:-.75pt;width:795pt;height:614.25pt;z-index:-251663873;mso-position-horizontal-relative:page;mso-position-vertical-relative:page" coordorigin="5796,9560" coordsize="8274,9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">
                <v:shape id="Freeform 1231" o:spid="_x0000_s1027" style="position:absolute;left:5796;top:9560;width:8274;height:9299;visibility:visible;mso-wrap-style:square;v-text-anchor:top" coordsize="11339,1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xBcQA&#10;AADdAAAADwAAAGRycy9kb3ducmV2LnhtbERPTWvCQBC9F/wPywi96UalUqKriFoJ9FCbeuhxyI7Z&#10;tNnZkF2T9N93C0Jv83ifs94OthYdtb5yrGA2TUAQF05XXCq4fLxMnkH4gKyxdkwKfsjDdjN6WGOq&#10;Xc/v1OWhFDGEfYoKTAhNKqUvDFn0U9cQR+7qWoshwraUusU+httazpNkKS1WHBsMNrQ3VHznN6sA&#10;ux4PX6fz5XUxvD2Z8ph1u+xTqcfxsFuBCDSEf/Hdnek4f75Y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MQXEAAAA3QAAAA8AAAAAAAAAAAAAAAAAmAIAAGRycy9k&#10;b3ducmV2LnhtbFBLBQYAAAAABAAEAPUAAACJAwAAAAA=&#10;" path="m,14173r11339,l11339,,,,,14173xe" fillcolor="#a5184d" stroked="f">
                  <v:path arrowok="t" o:connecttype="custom" o:connectlocs="0,9298;8274,9298;8274,0;0,0;0,9298" o:connectangles="0,0,0,0,0"/>
                </v:shape>
                <w10:wrap anchorx="page" anchory="page"/>
              </v:group>
            </w:pict>
          </mc:Fallback>
        </mc:AlternateContent>
      </w:r>
      <w:r w:rsidR="005A3648">
        <w:rPr>
          <w:noProof/>
          <w:lang w:eastAsia="es-CO"/>
        </w:rPr>
        <w:drawing>
          <wp:anchor distT="0" distB="0" distL="114300" distR="114300" simplePos="0" relativeHeight="251792384" behindDoc="1" locked="0" layoutInCell="1" allowOverlap="1" wp14:anchorId="6FCC3546" wp14:editId="0824B69E">
            <wp:simplePos x="0" y="0"/>
            <wp:positionH relativeFrom="column">
              <wp:posOffset>-1051560</wp:posOffset>
            </wp:positionH>
            <wp:positionV relativeFrom="paragraph">
              <wp:posOffset>-513715</wp:posOffset>
            </wp:positionV>
            <wp:extent cx="4969510" cy="6495415"/>
            <wp:effectExtent l="0" t="0" r="2540" b="635"/>
            <wp:wrapNone/>
            <wp:docPr id="1238"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Picture 1233"/>
                    <pic:cNvPicPr>
                      <a:picLocks noChangeAspect="1" noChangeArrowheads="1"/>
                    </pic:cNvPicPr>
                  </pic:nvPicPr>
                  <pic:blipFill rotWithShape="1">
                    <a:blip r:embed="rId9" cstate="print">
                      <a:duotone>
                        <a:prstClr val="black"/>
                        <a:srgbClr val="993366">
                          <a:tint val="45000"/>
                          <a:satMod val="400000"/>
                        </a:srgbClr>
                      </a:duotone>
                      <a:extLst>
                        <a:ext uri="{BEBA8EAE-BF5A-486C-A8C5-ECC9F3942E4B}">
                          <a14:imgProps xmlns:a14="http://schemas.microsoft.com/office/drawing/2010/main">
                            <a14:imgLayer r:embed="rId10">
                              <a14:imgEffect>
                                <a14:sharpenSoften amount="-25000"/>
                              </a14:imgEffect>
                              <a14:imgEffect>
                                <a14:brightnessContrast bright="-6000" contrast="-23000"/>
                              </a14:imgEffect>
                            </a14:imgLayer>
                          </a14:imgProps>
                        </a:ext>
                        <a:ext uri="{28A0092B-C50C-407E-A947-70E740481C1C}">
                          <a14:useLocalDpi xmlns:a14="http://schemas.microsoft.com/office/drawing/2010/main" val="0"/>
                        </a:ext>
                      </a:extLst>
                    </a:blip>
                    <a:srcRect r="16766"/>
                    <a:stretch/>
                  </pic:blipFill>
                  <pic:spPr bwMode="auto">
                    <a:xfrm>
                      <a:off x="0" y="0"/>
                      <a:ext cx="4969510" cy="6495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3350" w:rsidRDefault="00AB3350">
      <w:pPr>
        <w:rPr>
          <w:noProof/>
          <w:lang w:eastAsia="es-CO"/>
        </w:rPr>
      </w:pPr>
    </w:p>
    <w:p w:rsidR="00AB3350" w:rsidRDefault="00AB3350">
      <w:pPr>
        <w:rPr>
          <w:noProof/>
          <w:lang w:eastAsia="es-CO"/>
        </w:rPr>
      </w:pPr>
    </w:p>
    <w:p w:rsidR="00AB3350" w:rsidRDefault="00AB3350">
      <w:pPr>
        <w:rPr>
          <w:noProof/>
          <w:lang w:eastAsia="es-CO"/>
        </w:rPr>
      </w:pPr>
    </w:p>
    <w:p w:rsidR="00AB3350" w:rsidRDefault="00AB3350">
      <w:pPr>
        <w:rPr>
          <w:noProof/>
          <w:lang w:eastAsia="es-CO"/>
        </w:rPr>
      </w:pPr>
    </w:p>
    <w:p w:rsidR="00AB3350" w:rsidRDefault="005A3648">
      <w:pPr>
        <w:rPr>
          <w:noProof/>
          <w:lang w:eastAsia="es-CO"/>
        </w:rPr>
      </w:pPr>
      <w:r>
        <w:rPr>
          <w:noProof/>
          <w:lang w:eastAsia="es-CO"/>
        </w:rPr>
        <mc:AlternateContent>
          <mc:Choice Requires="wps">
            <w:drawing>
              <wp:anchor distT="0" distB="0" distL="114300" distR="114300" simplePos="0" relativeHeight="251664384" behindDoc="0" locked="0" layoutInCell="1" allowOverlap="1" wp14:anchorId="037E8C5E" wp14:editId="28DB91C5">
                <wp:simplePos x="0" y="0"/>
                <wp:positionH relativeFrom="column">
                  <wp:posOffset>4587240</wp:posOffset>
                </wp:positionH>
                <wp:positionV relativeFrom="paragraph">
                  <wp:posOffset>71120</wp:posOffset>
                </wp:positionV>
                <wp:extent cx="3552190" cy="3703955"/>
                <wp:effectExtent l="0" t="0" r="0" b="0"/>
                <wp:wrapNone/>
                <wp:docPr id="2467" name="2467 Cuadro de texto"/>
                <wp:cNvGraphicFramePr/>
                <a:graphic xmlns:a="http://schemas.openxmlformats.org/drawingml/2006/main">
                  <a:graphicData uri="http://schemas.microsoft.com/office/word/2010/wordprocessingShape">
                    <wps:wsp>
                      <wps:cNvSpPr txBox="1"/>
                      <wps:spPr>
                        <a:xfrm>
                          <a:off x="0" y="0"/>
                          <a:ext cx="3552190" cy="3703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0206" w:rsidRPr="00AB3350" w:rsidRDefault="00E30206" w:rsidP="00640AB4">
                            <w:pPr>
                              <w:jc w:val="center"/>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B3350">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INFORME</w:t>
                            </w:r>
                          </w:p>
                          <w:p w:rsidR="00E30206" w:rsidRDefault="00E30206" w:rsidP="00640AB4">
                            <w:pPr>
                              <w:jc w:val="center"/>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TERCER</w:t>
                            </w:r>
                          </w:p>
                          <w:p w:rsidR="00E30206" w:rsidRPr="00AB3350" w:rsidRDefault="00E30206" w:rsidP="00640AB4">
                            <w:pPr>
                              <w:jc w:val="center"/>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B3350">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TRIMESTRE </w:t>
                            </w:r>
                          </w:p>
                          <w:p w:rsidR="00E30206" w:rsidRPr="00AB3350" w:rsidRDefault="00E30206" w:rsidP="00640AB4">
                            <w:pPr>
                              <w:jc w:val="center"/>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B3350">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PLAN DE</w:t>
                            </w:r>
                          </w:p>
                          <w:p w:rsidR="00E30206" w:rsidRPr="00AB3350" w:rsidRDefault="00E30206" w:rsidP="00640AB4">
                            <w:pPr>
                              <w:jc w:val="center"/>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B3350">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ACCIÓN</w:t>
                            </w:r>
                          </w:p>
                          <w:p w:rsidR="00E30206" w:rsidRPr="00AB3350" w:rsidRDefault="00E30206" w:rsidP="00640AB4">
                            <w:pPr>
                              <w:jc w:val="center"/>
                              <w:rPr>
                                <w:rFonts w:ascii="FuturaStd-ExtraBold" w:hAnsi="FuturaStd-ExtraBold" w:cs="FuturaStd-ExtraBold"/>
                                <w:b/>
                                <w:bCs/>
                                <w:color w:val="F8F8F8"/>
                                <w:spacing w:val="30"/>
                                <w:sz w:val="46"/>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B3350">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2017</w:t>
                            </w:r>
                          </w:p>
                          <w:p w:rsidR="00E30206" w:rsidRPr="00AB3350" w:rsidRDefault="00E30206" w:rsidP="00640AB4">
                            <w:pPr>
                              <w:jc w:val="center"/>
                              <w:rPr>
                                <w:b/>
                                <w:spacing w:val="10"/>
                                <w:sz w:val="1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2467 Cuadro de texto" o:spid="_x0000_s1027" type="#_x0000_t202" style="position:absolute;left:0;text-align:left;margin-left:361.2pt;margin-top:5.6pt;width:279.7pt;height:29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" filled="f" stroked="f" strokeweight=".5pt">
                <v:textbox>
                  <w:txbxContent>
                    <w:p w:rsidR="00E30206" w:rsidRPr="00AB3350" w:rsidRDefault="00E30206" w:rsidP="00640AB4">
                      <w:pPr>
                        <w:jc w:val="center"/>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B3350">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INFORME</w:t>
                      </w:r>
                    </w:p>
                    <w:p w:rsidR="00E30206" w:rsidRDefault="00E30206" w:rsidP="00640AB4">
                      <w:pPr>
                        <w:jc w:val="center"/>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TERCER</w:t>
                      </w:r>
                    </w:p>
                    <w:p w:rsidR="00E30206" w:rsidRPr="00AB3350" w:rsidRDefault="00E30206" w:rsidP="00640AB4">
                      <w:pPr>
                        <w:jc w:val="center"/>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B3350">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TRIMESTRE </w:t>
                      </w:r>
                    </w:p>
                    <w:p w:rsidR="00E30206" w:rsidRPr="00AB3350" w:rsidRDefault="00E30206" w:rsidP="00640AB4">
                      <w:pPr>
                        <w:jc w:val="center"/>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B3350">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PLAN DE</w:t>
                      </w:r>
                    </w:p>
                    <w:p w:rsidR="00E30206" w:rsidRPr="00AB3350" w:rsidRDefault="00E30206" w:rsidP="00640AB4">
                      <w:pPr>
                        <w:jc w:val="center"/>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B3350">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ACCIÓN</w:t>
                      </w:r>
                    </w:p>
                    <w:p w:rsidR="00E30206" w:rsidRPr="00AB3350" w:rsidRDefault="00E30206" w:rsidP="00640AB4">
                      <w:pPr>
                        <w:jc w:val="center"/>
                        <w:rPr>
                          <w:rFonts w:ascii="FuturaStd-ExtraBold" w:hAnsi="FuturaStd-ExtraBold" w:cs="FuturaStd-ExtraBold"/>
                          <w:b/>
                          <w:bCs/>
                          <w:color w:val="F8F8F8"/>
                          <w:spacing w:val="30"/>
                          <w:sz w:val="46"/>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B3350">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2017</w:t>
                      </w:r>
                    </w:p>
                    <w:p w:rsidR="00E30206" w:rsidRPr="00AB3350" w:rsidRDefault="00E30206" w:rsidP="00640AB4">
                      <w:pPr>
                        <w:jc w:val="center"/>
                        <w:rPr>
                          <w:b/>
                          <w:spacing w:val="10"/>
                          <w:sz w:val="1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p>
    <w:p w:rsidR="00AB3350" w:rsidRDefault="00AB3350">
      <w:pPr>
        <w:rPr>
          <w:noProof/>
          <w:lang w:eastAsia="es-CO"/>
        </w:rPr>
      </w:pPr>
    </w:p>
    <w:p w:rsidR="00AB3350" w:rsidRDefault="00AB3350">
      <w:pPr>
        <w:rPr>
          <w:noProof/>
          <w:lang w:eastAsia="es-CO"/>
        </w:rPr>
      </w:pPr>
    </w:p>
    <w:p w:rsidR="00AB3350" w:rsidRDefault="00AB3350">
      <w:pPr>
        <w:rPr>
          <w:noProof/>
          <w:lang w:eastAsia="es-CO"/>
        </w:rPr>
      </w:pPr>
    </w:p>
    <w:p w:rsidR="002B7776" w:rsidRDefault="002B7776">
      <w:pPr>
        <w:rPr>
          <w:noProof/>
          <w:lang w:eastAsia="es-CO"/>
        </w:rPr>
      </w:pP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5A3648">
      <w:pPr>
        <w:rPr>
          <w:noProof/>
          <w:lang w:eastAsia="es-CO"/>
        </w:rPr>
      </w:pPr>
      <w:r>
        <w:rPr>
          <w:noProof/>
          <w:lang w:eastAsia="es-CO"/>
        </w:rPr>
        <w:drawing>
          <wp:anchor distT="0" distB="0" distL="114300" distR="114300" simplePos="0" relativeHeight="251793408" behindDoc="0" locked="0" layoutInCell="1" allowOverlap="1" wp14:anchorId="0A73FF12" wp14:editId="1F0D1A7A">
            <wp:simplePos x="0" y="0"/>
            <wp:positionH relativeFrom="column">
              <wp:posOffset>2574290</wp:posOffset>
            </wp:positionH>
            <wp:positionV relativeFrom="paragraph">
              <wp:posOffset>125730</wp:posOffset>
            </wp:positionV>
            <wp:extent cx="2658745" cy="985520"/>
            <wp:effectExtent l="0" t="0" r="8255" b="5080"/>
            <wp:wrapNone/>
            <wp:docPr id="2545" name="Imagen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8745" cy="985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1FD" w:rsidRDefault="007B21FD">
      <w:pPr>
        <w:rPr>
          <w:noProof/>
          <w:lang w:eastAsia="es-CO"/>
        </w:rPr>
      </w:pPr>
    </w:p>
    <w:p w:rsidR="007B21FD" w:rsidRDefault="007B21FD">
      <w:pPr>
        <w:rPr>
          <w:noProof/>
          <w:lang w:eastAsia="es-CO"/>
        </w:rPr>
      </w:pPr>
    </w:p>
    <w:sdt>
      <w:sdtPr>
        <w:rPr>
          <w:rFonts w:eastAsiaTheme="minorHAnsi" w:cstheme="minorBidi"/>
          <w:b w:val="0"/>
          <w:bCs w:val="0"/>
          <w:sz w:val="24"/>
          <w:szCs w:val="22"/>
          <w:lang w:val="es-ES" w:eastAsia="en-US"/>
        </w:rPr>
        <w:id w:val="-1329819140"/>
        <w:docPartObj>
          <w:docPartGallery w:val="Table of Contents"/>
          <w:docPartUnique/>
        </w:docPartObj>
      </w:sdtPr>
      <w:sdtEndPr>
        <w:rPr>
          <w:sz w:val="20"/>
          <w:szCs w:val="20"/>
        </w:rPr>
      </w:sdtEndPr>
      <w:sdtContent>
        <w:p w:rsidR="00BD354F" w:rsidRDefault="00BD354F">
          <w:pPr>
            <w:pStyle w:val="TtulodeTDC"/>
          </w:pPr>
          <w:r>
            <w:rPr>
              <w:lang w:val="es-ES"/>
            </w:rPr>
            <w:t>Contenido</w:t>
          </w:r>
        </w:p>
        <w:p w:rsidR="00A01FBB" w:rsidRDefault="00BD354F">
          <w:pPr>
            <w:pStyle w:val="TDC1"/>
            <w:rPr>
              <w:rFonts w:asciiTheme="minorHAnsi" w:eastAsiaTheme="minorEastAsia" w:hAnsiTheme="minorHAnsi"/>
              <w:noProof/>
              <w:sz w:val="22"/>
              <w:lang w:eastAsia="es-CO"/>
            </w:rPr>
          </w:pPr>
          <w:r w:rsidRPr="00543148">
            <w:rPr>
              <w:sz w:val="20"/>
              <w:szCs w:val="20"/>
            </w:rPr>
            <w:fldChar w:fldCharType="begin"/>
          </w:r>
          <w:r w:rsidRPr="00543148">
            <w:rPr>
              <w:sz w:val="20"/>
              <w:szCs w:val="20"/>
            </w:rPr>
            <w:instrText xml:space="preserve"> TOC \o "1-3" \h \z \u </w:instrText>
          </w:r>
          <w:r w:rsidRPr="00543148">
            <w:rPr>
              <w:sz w:val="20"/>
              <w:szCs w:val="20"/>
            </w:rPr>
            <w:fldChar w:fldCharType="separate"/>
          </w:r>
          <w:hyperlink w:anchor="_Toc496861726" w:history="1">
            <w:r w:rsidR="00A01FBB" w:rsidRPr="0027387A">
              <w:rPr>
                <w:rStyle w:val="Hipervnculo"/>
                <w:noProof/>
              </w:rPr>
              <w:t>PRESENTACIÓN</w:t>
            </w:r>
            <w:r w:rsidR="00A01FBB">
              <w:rPr>
                <w:noProof/>
                <w:webHidden/>
              </w:rPr>
              <w:tab/>
            </w:r>
            <w:r w:rsidR="00A01FBB">
              <w:rPr>
                <w:noProof/>
                <w:webHidden/>
              </w:rPr>
              <w:fldChar w:fldCharType="begin"/>
            </w:r>
            <w:r w:rsidR="00A01FBB">
              <w:rPr>
                <w:noProof/>
                <w:webHidden/>
              </w:rPr>
              <w:instrText xml:space="preserve"> PAGEREF _Toc496861726 \h </w:instrText>
            </w:r>
            <w:r w:rsidR="00A01FBB">
              <w:rPr>
                <w:noProof/>
                <w:webHidden/>
              </w:rPr>
            </w:r>
            <w:r w:rsidR="00A01FBB">
              <w:rPr>
                <w:noProof/>
                <w:webHidden/>
              </w:rPr>
              <w:fldChar w:fldCharType="separate"/>
            </w:r>
            <w:r w:rsidR="00D37AC5">
              <w:rPr>
                <w:noProof/>
                <w:webHidden/>
              </w:rPr>
              <w:t>3</w:t>
            </w:r>
            <w:r w:rsidR="00A01FBB">
              <w:rPr>
                <w:noProof/>
                <w:webHidden/>
              </w:rPr>
              <w:fldChar w:fldCharType="end"/>
            </w:r>
          </w:hyperlink>
        </w:p>
        <w:p w:rsidR="00A01FBB" w:rsidRDefault="004E11A7">
          <w:pPr>
            <w:pStyle w:val="TDC1"/>
            <w:rPr>
              <w:rFonts w:asciiTheme="minorHAnsi" w:eastAsiaTheme="minorEastAsia" w:hAnsiTheme="minorHAnsi"/>
              <w:noProof/>
              <w:sz w:val="22"/>
              <w:lang w:eastAsia="es-CO"/>
            </w:rPr>
          </w:pPr>
          <w:hyperlink w:anchor="_Toc496861727" w:history="1">
            <w:r w:rsidR="00A01FBB" w:rsidRPr="0027387A">
              <w:rPr>
                <w:rStyle w:val="Hipervnculo"/>
                <w:noProof/>
              </w:rPr>
              <w:t>SEGUIMIENTO AL PLAN DE ACCIÓN</w:t>
            </w:r>
            <w:r w:rsidR="00A01FBB">
              <w:rPr>
                <w:noProof/>
                <w:webHidden/>
              </w:rPr>
              <w:tab/>
            </w:r>
            <w:r w:rsidR="00A01FBB">
              <w:rPr>
                <w:noProof/>
                <w:webHidden/>
              </w:rPr>
              <w:fldChar w:fldCharType="begin"/>
            </w:r>
            <w:r w:rsidR="00A01FBB">
              <w:rPr>
                <w:noProof/>
                <w:webHidden/>
              </w:rPr>
              <w:instrText xml:space="preserve"> PAGEREF _Toc496861727 \h </w:instrText>
            </w:r>
            <w:r w:rsidR="00A01FBB">
              <w:rPr>
                <w:noProof/>
                <w:webHidden/>
              </w:rPr>
            </w:r>
            <w:r w:rsidR="00A01FBB">
              <w:rPr>
                <w:noProof/>
                <w:webHidden/>
              </w:rPr>
              <w:fldChar w:fldCharType="separate"/>
            </w:r>
            <w:r w:rsidR="00D37AC5">
              <w:rPr>
                <w:noProof/>
                <w:webHidden/>
              </w:rPr>
              <w:t>4</w:t>
            </w:r>
            <w:r w:rsidR="00A01FBB">
              <w:rPr>
                <w:noProof/>
                <w:webHidden/>
              </w:rPr>
              <w:fldChar w:fldCharType="end"/>
            </w:r>
          </w:hyperlink>
        </w:p>
        <w:p w:rsidR="00A01FBB" w:rsidRDefault="004E11A7">
          <w:pPr>
            <w:pStyle w:val="TDC1"/>
            <w:rPr>
              <w:rFonts w:asciiTheme="minorHAnsi" w:eastAsiaTheme="minorEastAsia" w:hAnsiTheme="minorHAnsi"/>
              <w:noProof/>
              <w:sz w:val="22"/>
              <w:lang w:eastAsia="es-CO"/>
            </w:rPr>
          </w:pPr>
          <w:hyperlink w:anchor="_Toc496861728" w:history="1">
            <w:r w:rsidR="00A01FBB" w:rsidRPr="0027387A">
              <w:rPr>
                <w:rStyle w:val="Hipervnculo"/>
                <w:noProof/>
              </w:rPr>
              <w:t>1. DESPACHO  MINISTRO</w:t>
            </w:r>
            <w:r w:rsidR="00A01FBB">
              <w:rPr>
                <w:noProof/>
                <w:webHidden/>
              </w:rPr>
              <w:tab/>
            </w:r>
            <w:r w:rsidR="00A01FBB">
              <w:rPr>
                <w:noProof/>
                <w:webHidden/>
              </w:rPr>
              <w:fldChar w:fldCharType="begin"/>
            </w:r>
            <w:r w:rsidR="00A01FBB">
              <w:rPr>
                <w:noProof/>
                <w:webHidden/>
              </w:rPr>
              <w:instrText xml:space="preserve"> PAGEREF _Toc496861728 \h </w:instrText>
            </w:r>
            <w:r w:rsidR="00A01FBB">
              <w:rPr>
                <w:noProof/>
                <w:webHidden/>
              </w:rPr>
            </w:r>
            <w:r w:rsidR="00A01FBB">
              <w:rPr>
                <w:noProof/>
                <w:webHidden/>
              </w:rPr>
              <w:fldChar w:fldCharType="separate"/>
            </w:r>
            <w:r w:rsidR="00D37AC5">
              <w:rPr>
                <w:noProof/>
                <w:webHidden/>
              </w:rPr>
              <w:t>7</w:t>
            </w:r>
            <w:r w:rsidR="00A01FBB">
              <w:rPr>
                <w:noProof/>
                <w:webHidden/>
              </w:rPr>
              <w:fldChar w:fldCharType="end"/>
            </w:r>
          </w:hyperlink>
        </w:p>
        <w:p w:rsidR="00A01FBB" w:rsidRDefault="004E11A7">
          <w:pPr>
            <w:pStyle w:val="TDC1"/>
            <w:rPr>
              <w:rFonts w:asciiTheme="minorHAnsi" w:eastAsiaTheme="minorEastAsia" w:hAnsiTheme="minorHAnsi"/>
              <w:noProof/>
              <w:sz w:val="22"/>
              <w:lang w:eastAsia="es-CO"/>
            </w:rPr>
          </w:pPr>
          <w:hyperlink w:anchor="_Toc496861729" w:history="1">
            <w:r w:rsidR="00A01FBB" w:rsidRPr="0027387A">
              <w:rPr>
                <w:rStyle w:val="Hipervnculo"/>
                <w:noProof/>
              </w:rPr>
              <w:t>2. OFICINA DE TECNOLOGÍAS DE LA INFORMACIÓN Y LAS COMUNICACIONES</w:t>
            </w:r>
            <w:r w:rsidR="00A01FBB">
              <w:rPr>
                <w:noProof/>
                <w:webHidden/>
              </w:rPr>
              <w:tab/>
            </w:r>
            <w:r w:rsidR="00A01FBB">
              <w:rPr>
                <w:noProof/>
                <w:webHidden/>
              </w:rPr>
              <w:fldChar w:fldCharType="begin"/>
            </w:r>
            <w:r w:rsidR="00A01FBB">
              <w:rPr>
                <w:noProof/>
                <w:webHidden/>
              </w:rPr>
              <w:instrText xml:space="preserve"> PAGEREF _Toc496861729 \h </w:instrText>
            </w:r>
            <w:r w:rsidR="00A01FBB">
              <w:rPr>
                <w:noProof/>
                <w:webHidden/>
              </w:rPr>
            </w:r>
            <w:r w:rsidR="00A01FBB">
              <w:rPr>
                <w:noProof/>
                <w:webHidden/>
              </w:rPr>
              <w:fldChar w:fldCharType="separate"/>
            </w:r>
            <w:r w:rsidR="00D37AC5">
              <w:rPr>
                <w:noProof/>
                <w:webHidden/>
              </w:rPr>
              <w:t>10</w:t>
            </w:r>
            <w:r w:rsidR="00A01FBB">
              <w:rPr>
                <w:noProof/>
                <w:webHidden/>
              </w:rPr>
              <w:fldChar w:fldCharType="end"/>
            </w:r>
          </w:hyperlink>
        </w:p>
        <w:p w:rsidR="00A01FBB" w:rsidRDefault="004E11A7">
          <w:pPr>
            <w:pStyle w:val="TDC1"/>
            <w:rPr>
              <w:rFonts w:asciiTheme="minorHAnsi" w:eastAsiaTheme="minorEastAsia" w:hAnsiTheme="minorHAnsi"/>
              <w:noProof/>
              <w:sz w:val="22"/>
              <w:lang w:eastAsia="es-CO"/>
            </w:rPr>
          </w:pPr>
          <w:hyperlink w:anchor="_Toc496861730" w:history="1">
            <w:r w:rsidR="00A01FBB" w:rsidRPr="0027387A">
              <w:rPr>
                <w:rStyle w:val="Hipervnculo"/>
                <w:noProof/>
              </w:rPr>
              <w:t>3. OFICINA DE CONTROL INTERNO</w:t>
            </w:r>
            <w:r w:rsidR="00A01FBB">
              <w:rPr>
                <w:noProof/>
                <w:webHidden/>
              </w:rPr>
              <w:tab/>
            </w:r>
            <w:r w:rsidR="00A01FBB">
              <w:rPr>
                <w:noProof/>
                <w:webHidden/>
              </w:rPr>
              <w:fldChar w:fldCharType="begin"/>
            </w:r>
            <w:r w:rsidR="00A01FBB">
              <w:rPr>
                <w:noProof/>
                <w:webHidden/>
              </w:rPr>
              <w:instrText xml:space="preserve"> PAGEREF _Toc496861730 \h </w:instrText>
            </w:r>
            <w:r w:rsidR="00A01FBB">
              <w:rPr>
                <w:noProof/>
                <w:webHidden/>
              </w:rPr>
            </w:r>
            <w:r w:rsidR="00A01FBB">
              <w:rPr>
                <w:noProof/>
                <w:webHidden/>
              </w:rPr>
              <w:fldChar w:fldCharType="separate"/>
            </w:r>
            <w:r w:rsidR="00D37AC5">
              <w:rPr>
                <w:noProof/>
                <w:webHidden/>
              </w:rPr>
              <w:t>17</w:t>
            </w:r>
            <w:r w:rsidR="00A01FBB">
              <w:rPr>
                <w:noProof/>
                <w:webHidden/>
              </w:rPr>
              <w:fldChar w:fldCharType="end"/>
            </w:r>
          </w:hyperlink>
        </w:p>
        <w:p w:rsidR="00A01FBB" w:rsidRDefault="004E11A7">
          <w:pPr>
            <w:pStyle w:val="TDC1"/>
            <w:rPr>
              <w:rFonts w:asciiTheme="minorHAnsi" w:eastAsiaTheme="minorEastAsia" w:hAnsiTheme="minorHAnsi"/>
              <w:noProof/>
              <w:sz w:val="22"/>
              <w:lang w:eastAsia="es-CO"/>
            </w:rPr>
          </w:pPr>
          <w:hyperlink w:anchor="_Toc496861731" w:history="1">
            <w:r w:rsidR="00A01FBB" w:rsidRPr="0027387A">
              <w:rPr>
                <w:rStyle w:val="Hipervnculo"/>
                <w:noProof/>
              </w:rPr>
              <w:t>4. OFICINA ASESORA JURÍDICA</w:t>
            </w:r>
            <w:r w:rsidR="00A01FBB">
              <w:rPr>
                <w:noProof/>
                <w:webHidden/>
              </w:rPr>
              <w:tab/>
            </w:r>
            <w:r w:rsidR="00A01FBB">
              <w:rPr>
                <w:noProof/>
                <w:webHidden/>
              </w:rPr>
              <w:fldChar w:fldCharType="begin"/>
            </w:r>
            <w:r w:rsidR="00A01FBB">
              <w:rPr>
                <w:noProof/>
                <w:webHidden/>
              </w:rPr>
              <w:instrText xml:space="preserve"> PAGEREF _Toc496861731 \h </w:instrText>
            </w:r>
            <w:r w:rsidR="00A01FBB">
              <w:rPr>
                <w:noProof/>
                <w:webHidden/>
              </w:rPr>
            </w:r>
            <w:r w:rsidR="00A01FBB">
              <w:rPr>
                <w:noProof/>
                <w:webHidden/>
              </w:rPr>
              <w:fldChar w:fldCharType="separate"/>
            </w:r>
            <w:r w:rsidR="00D37AC5">
              <w:rPr>
                <w:noProof/>
                <w:webHidden/>
              </w:rPr>
              <w:t>19</w:t>
            </w:r>
            <w:r w:rsidR="00A01FBB">
              <w:rPr>
                <w:noProof/>
                <w:webHidden/>
              </w:rPr>
              <w:fldChar w:fldCharType="end"/>
            </w:r>
          </w:hyperlink>
        </w:p>
        <w:p w:rsidR="00A01FBB" w:rsidRDefault="004E11A7">
          <w:pPr>
            <w:pStyle w:val="TDC1"/>
            <w:rPr>
              <w:rFonts w:asciiTheme="minorHAnsi" w:eastAsiaTheme="minorEastAsia" w:hAnsiTheme="minorHAnsi"/>
              <w:noProof/>
              <w:sz w:val="22"/>
              <w:lang w:eastAsia="es-CO"/>
            </w:rPr>
          </w:pPr>
          <w:hyperlink w:anchor="_Toc496861732" w:history="1">
            <w:r w:rsidR="00A01FBB" w:rsidRPr="0027387A">
              <w:rPr>
                <w:rStyle w:val="Hipervnculo"/>
                <w:noProof/>
              </w:rPr>
              <w:t>5. OFICINA ASESORA DE PLANEACIÓN</w:t>
            </w:r>
            <w:r w:rsidR="00A01FBB">
              <w:rPr>
                <w:noProof/>
                <w:webHidden/>
              </w:rPr>
              <w:tab/>
            </w:r>
            <w:r w:rsidR="00A01FBB">
              <w:rPr>
                <w:noProof/>
                <w:webHidden/>
              </w:rPr>
              <w:fldChar w:fldCharType="begin"/>
            </w:r>
            <w:r w:rsidR="00A01FBB">
              <w:rPr>
                <w:noProof/>
                <w:webHidden/>
              </w:rPr>
              <w:instrText xml:space="preserve"> PAGEREF _Toc496861732 \h </w:instrText>
            </w:r>
            <w:r w:rsidR="00A01FBB">
              <w:rPr>
                <w:noProof/>
                <w:webHidden/>
              </w:rPr>
            </w:r>
            <w:r w:rsidR="00A01FBB">
              <w:rPr>
                <w:noProof/>
                <w:webHidden/>
              </w:rPr>
              <w:fldChar w:fldCharType="separate"/>
            </w:r>
            <w:r w:rsidR="00D37AC5">
              <w:rPr>
                <w:noProof/>
                <w:webHidden/>
              </w:rPr>
              <w:t>21</w:t>
            </w:r>
            <w:r w:rsidR="00A01FBB">
              <w:rPr>
                <w:noProof/>
                <w:webHidden/>
              </w:rPr>
              <w:fldChar w:fldCharType="end"/>
            </w:r>
          </w:hyperlink>
        </w:p>
        <w:p w:rsidR="00A01FBB" w:rsidRDefault="004E11A7">
          <w:pPr>
            <w:pStyle w:val="TDC1"/>
            <w:rPr>
              <w:rFonts w:asciiTheme="minorHAnsi" w:eastAsiaTheme="minorEastAsia" w:hAnsiTheme="minorHAnsi"/>
              <w:noProof/>
              <w:sz w:val="22"/>
              <w:lang w:eastAsia="es-CO"/>
            </w:rPr>
          </w:pPr>
          <w:hyperlink w:anchor="_Toc496861733" w:history="1">
            <w:r w:rsidR="00A01FBB" w:rsidRPr="0027387A">
              <w:rPr>
                <w:rStyle w:val="Hipervnculo"/>
                <w:rFonts w:eastAsia="Arial Narrow"/>
                <w:noProof/>
              </w:rPr>
              <w:t>SECRETARÍA GENERAL</w:t>
            </w:r>
            <w:r w:rsidR="00A01FBB">
              <w:rPr>
                <w:noProof/>
                <w:webHidden/>
              </w:rPr>
              <w:tab/>
            </w:r>
            <w:r w:rsidR="00A01FBB">
              <w:rPr>
                <w:noProof/>
                <w:webHidden/>
              </w:rPr>
              <w:fldChar w:fldCharType="begin"/>
            </w:r>
            <w:r w:rsidR="00A01FBB">
              <w:rPr>
                <w:noProof/>
                <w:webHidden/>
              </w:rPr>
              <w:instrText xml:space="preserve"> PAGEREF _Toc496861733 \h </w:instrText>
            </w:r>
            <w:r w:rsidR="00A01FBB">
              <w:rPr>
                <w:noProof/>
                <w:webHidden/>
              </w:rPr>
            </w:r>
            <w:r w:rsidR="00A01FBB">
              <w:rPr>
                <w:noProof/>
                <w:webHidden/>
              </w:rPr>
              <w:fldChar w:fldCharType="separate"/>
            </w:r>
            <w:r w:rsidR="00D37AC5">
              <w:rPr>
                <w:noProof/>
                <w:webHidden/>
              </w:rPr>
              <w:t>32</w:t>
            </w:r>
            <w:r w:rsidR="00A01FBB">
              <w:rPr>
                <w:noProof/>
                <w:webHidden/>
              </w:rPr>
              <w:fldChar w:fldCharType="end"/>
            </w:r>
          </w:hyperlink>
        </w:p>
        <w:p w:rsidR="00A01FBB" w:rsidRDefault="004E11A7">
          <w:pPr>
            <w:pStyle w:val="TDC2"/>
            <w:rPr>
              <w:rFonts w:asciiTheme="minorHAnsi" w:eastAsiaTheme="minorEastAsia" w:hAnsiTheme="minorHAnsi"/>
              <w:noProof/>
              <w:sz w:val="22"/>
              <w:lang w:eastAsia="es-CO"/>
            </w:rPr>
          </w:pPr>
          <w:hyperlink w:anchor="_Toc496861734" w:history="1">
            <w:r w:rsidR="00A01FBB" w:rsidRPr="0027387A">
              <w:rPr>
                <w:rStyle w:val="Hipervnculo"/>
                <w:rFonts w:eastAsia="Arial Narrow"/>
                <w:noProof/>
              </w:rPr>
              <w:t>1 GRUPO CONTROL INTERNO DISCIPLINARIO</w:t>
            </w:r>
            <w:r w:rsidR="00A01FBB">
              <w:rPr>
                <w:noProof/>
                <w:webHidden/>
              </w:rPr>
              <w:tab/>
            </w:r>
            <w:r w:rsidR="00A01FBB">
              <w:rPr>
                <w:noProof/>
                <w:webHidden/>
              </w:rPr>
              <w:fldChar w:fldCharType="begin"/>
            </w:r>
            <w:r w:rsidR="00A01FBB">
              <w:rPr>
                <w:noProof/>
                <w:webHidden/>
              </w:rPr>
              <w:instrText xml:space="preserve"> PAGEREF _Toc496861734 \h </w:instrText>
            </w:r>
            <w:r w:rsidR="00A01FBB">
              <w:rPr>
                <w:noProof/>
                <w:webHidden/>
              </w:rPr>
            </w:r>
            <w:r w:rsidR="00A01FBB">
              <w:rPr>
                <w:noProof/>
                <w:webHidden/>
              </w:rPr>
              <w:fldChar w:fldCharType="separate"/>
            </w:r>
            <w:r w:rsidR="00D37AC5">
              <w:rPr>
                <w:noProof/>
                <w:webHidden/>
              </w:rPr>
              <w:t>32</w:t>
            </w:r>
            <w:r w:rsidR="00A01FBB">
              <w:rPr>
                <w:noProof/>
                <w:webHidden/>
              </w:rPr>
              <w:fldChar w:fldCharType="end"/>
            </w:r>
          </w:hyperlink>
        </w:p>
        <w:p w:rsidR="00A01FBB" w:rsidRDefault="004E11A7">
          <w:pPr>
            <w:pStyle w:val="TDC2"/>
            <w:rPr>
              <w:rFonts w:asciiTheme="minorHAnsi" w:eastAsiaTheme="minorEastAsia" w:hAnsiTheme="minorHAnsi"/>
              <w:noProof/>
              <w:sz w:val="22"/>
              <w:lang w:eastAsia="es-CO"/>
            </w:rPr>
          </w:pPr>
          <w:hyperlink w:anchor="_Toc496861735" w:history="1">
            <w:r w:rsidR="00A01FBB" w:rsidRPr="0027387A">
              <w:rPr>
                <w:rStyle w:val="Hipervnculo"/>
                <w:rFonts w:eastAsia="Arial Narrow"/>
                <w:noProof/>
              </w:rPr>
              <w:t>2 GRUPO DE TALENTO HUMANO</w:t>
            </w:r>
            <w:r w:rsidR="00A01FBB">
              <w:rPr>
                <w:noProof/>
                <w:webHidden/>
              </w:rPr>
              <w:tab/>
            </w:r>
            <w:r w:rsidR="00A01FBB">
              <w:rPr>
                <w:noProof/>
                <w:webHidden/>
              </w:rPr>
              <w:fldChar w:fldCharType="begin"/>
            </w:r>
            <w:r w:rsidR="00A01FBB">
              <w:rPr>
                <w:noProof/>
                <w:webHidden/>
              </w:rPr>
              <w:instrText xml:space="preserve"> PAGEREF _Toc496861735 \h </w:instrText>
            </w:r>
            <w:r w:rsidR="00A01FBB">
              <w:rPr>
                <w:noProof/>
                <w:webHidden/>
              </w:rPr>
            </w:r>
            <w:r w:rsidR="00A01FBB">
              <w:rPr>
                <w:noProof/>
                <w:webHidden/>
              </w:rPr>
              <w:fldChar w:fldCharType="separate"/>
            </w:r>
            <w:r w:rsidR="00D37AC5">
              <w:rPr>
                <w:noProof/>
                <w:webHidden/>
              </w:rPr>
              <w:t>35</w:t>
            </w:r>
            <w:r w:rsidR="00A01FBB">
              <w:rPr>
                <w:noProof/>
                <w:webHidden/>
              </w:rPr>
              <w:fldChar w:fldCharType="end"/>
            </w:r>
          </w:hyperlink>
        </w:p>
        <w:p w:rsidR="00A01FBB" w:rsidRDefault="004E11A7">
          <w:pPr>
            <w:pStyle w:val="TDC2"/>
            <w:rPr>
              <w:rFonts w:asciiTheme="minorHAnsi" w:eastAsiaTheme="minorEastAsia" w:hAnsiTheme="minorHAnsi"/>
              <w:noProof/>
              <w:sz w:val="22"/>
              <w:lang w:eastAsia="es-CO"/>
            </w:rPr>
          </w:pPr>
          <w:hyperlink w:anchor="_Toc496861736" w:history="1">
            <w:r w:rsidR="00A01FBB" w:rsidRPr="0027387A">
              <w:rPr>
                <w:rStyle w:val="Hipervnculo"/>
                <w:rFonts w:eastAsia="Arial Narrow"/>
                <w:noProof/>
              </w:rPr>
              <w:t>3 SUBDIRECCIÓN DE FINANZAS Y PRESUPUESTO</w:t>
            </w:r>
            <w:r w:rsidR="00A01FBB">
              <w:rPr>
                <w:noProof/>
                <w:webHidden/>
              </w:rPr>
              <w:tab/>
            </w:r>
            <w:r w:rsidR="00A01FBB">
              <w:rPr>
                <w:noProof/>
                <w:webHidden/>
              </w:rPr>
              <w:fldChar w:fldCharType="begin"/>
            </w:r>
            <w:r w:rsidR="00A01FBB">
              <w:rPr>
                <w:noProof/>
                <w:webHidden/>
              </w:rPr>
              <w:instrText xml:space="preserve"> PAGEREF _Toc496861736 \h </w:instrText>
            </w:r>
            <w:r w:rsidR="00A01FBB">
              <w:rPr>
                <w:noProof/>
                <w:webHidden/>
              </w:rPr>
            </w:r>
            <w:r w:rsidR="00A01FBB">
              <w:rPr>
                <w:noProof/>
                <w:webHidden/>
              </w:rPr>
              <w:fldChar w:fldCharType="separate"/>
            </w:r>
            <w:r w:rsidR="00D37AC5">
              <w:rPr>
                <w:noProof/>
                <w:webHidden/>
              </w:rPr>
              <w:t>39</w:t>
            </w:r>
            <w:r w:rsidR="00A01FBB">
              <w:rPr>
                <w:noProof/>
                <w:webHidden/>
              </w:rPr>
              <w:fldChar w:fldCharType="end"/>
            </w:r>
          </w:hyperlink>
        </w:p>
        <w:p w:rsidR="00A01FBB" w:rsidRDefault="004E11A7">
          <w:pPr>
            <w:pStyle w:val="TDC2"/>
            <w:rPr>
              <w:rFonts w:asciiTheme="minorHAnsi" w:eastAsiaTheme="minorEastAsia" w:hAnsiTheme="minorHAnsi"/>
              <w:noProof/>
              <w:sz w:val="22"/>
              <w:lang w:eastAsia="es-CO"/>
            </w:rPr>
          </w:pPr>
          <w:hyperlink w:anchor="_Toc496861737" w:history="1">
            <w:r w:rsidR="00A01FBB" w:rsidRPr="0027387A">
              <w:rPr>
                <w:rStyle w:val="Hipervnculo"/>
                <w:rFonts w:eastAsia="Arial Narrow"/>
                <w:noProof/>
              </w:rPr>
              <w:t>4 SUBDIRECCIÓN DE SERVICIOS ADMINISTRATIVOS</w:t>
            </w:r>
            <w:r w:rsidR="00A01FBB">
              <w:rPr>
                <w:noProof/>
                <w:webHidden/>
              </w:rPr>
              <w:tab/>
            </w:r>
            <w:r w:rsidR="00A01FBB">
              <w:rPr>
                <w:noProof/>
                <w:webHidden/>
              </w:rPr>
              <w:fldChar w:fldCharType="begin"/>
            </w:r>
            <w:r w:rsidR="00A01FBB">
              <w:rPr>
                <w:noProof/>
                <w:webHidden/>
              </w:rPr>
              <w:instrText xml:space="preserve"> PAGEREF _Toc496861737 \h </w:instrText>
            </w:r>
            <w:r w:rsidR="00A01FBB">
              <w:rPr>
                <w:noProof/>
                <w:webHidden/>
              </w:rPr>
            </w:r>
            <w:r w:rsidR="00A01FBB">
              <w:rPr>
                <w:noProof/>
                <w:webHidden/>
              </w:rPr>
              <w:fldChar w:fldCharType="separate"/>
            </w:r>
            <w:r w:rsidR="00D37AC5">
              <w:rPr>
                <w:noProof/>
                <w:webHidden/>
              </w:rPr>
              <w:t>42</w:t>
            </w:r>
            <w:r w:rsidR="00A01FBB">
              <w:rPr>
                <w:noProof/>
                <w:webHidden/>
              </w:rPr>
              <w:fldChar w:fldCharType="end"/>
            </w:r>
          </w:hyperlink>
        </w:p>
        <w:p w:rsidR="00A01FBB" w:rsidRDefault="004E11A7">
          <w:pPr>
            <w:pStyle w:val="TDC2"/>
            <w:rPr>
              <w:rFonts w:asciiTheme="minorHAnsi" w:eastAsiaTheme="minorEastAsia" w:hAnsiTheme="minorHAnsi"/>
              <w:noProof/>
              <w:sz w:val="22"/>
              <w:lang w:eastAsia="es-CO"/>
            </w:rPr>
          </w:pPr>
          <w:hyperlink w:anchor="_Toc496861738" w:history="1">
            <w:r w:rsidR="00A01FBB" w:rsidRPr="0027387A">
              <w:rPr>
                <w:rStyle w:val="Hipervnculo"/>
                <w:rFonts w:eastAsia="Arial Narrow"/>
                <w:noProof/>
              </w:rPr>
              <w:t>5 GRUPO DE ATENCIÓN AL USUARIO Y ARCHIVO</w:t>
            </w:r>
            <w:r w:rsidR="00A01FBB">
              <w:rPr>
                <w:noProof/>
                <w:webHidden/>
              </w:rPr>
              <w:tab/>
            </w:r>
            <w:r w:rsidR="00A01FBB">
              <w:rPr>
                <w:noProof/>
                <w:webHidden/>
              </w:rPr>
              <w:fldChar w:fldCharType="begin"/>
            </w:r>
            <w:r w:rsidR="00A01FBB">
              <w:rPr>
                <w:noProof/>
                <w:webHidden/>
              </w:rPr>
              <w:instrText xml:space="preserve"> PAGEREF _Toc496861738 \h </w:instrText>
            </w:r>
            <w:r w:rsidR="00A01FBB">
              <w:rPr>
                <w:noProof/>
                <w:webHidden/>
              </w:rPr>
            </w:r>
            <w:r w:rsidR="00A01FBB">
              <w:rPr>
                <w:noProof/>
                <w:webHidden/>
              </w:rPr>
              <w:fldChar w:fldCharType="separate"/>
            </w:r>
            <w:r w:rsidR="00D37AC5">
              <w:rPr>
                <w:noProof/>
                <w:webHidden/>
              </w:rPr>
              <w:t>48</w:t>
            </w:r>
            <w:r w:rsidR="00A01FBB">
              <w:rPr>
                <w:noProof/>
                <w:webHidden/>
              </w:rPr>
              <w:fldChar w:fldCharType="end"/>
            </w:r>
          </w:hyperlink>
        </w:p>
        <w:p w:rsidR="00A01FBB" w:rsidRDefault="004E11A7">
          <w:pPr>
            <w:pStyle w:val="TDC1"/>
            <w:rPr>
              <w:rFonts w:asciiTheme="minorHAnsi" w:eastAsiaTheme="minorEastAsia" w:hAnsiTheme="minorHAnsi"/>
              <w:noProof/>
              <w:sz w:val="22"/>
              <w:lang w:eastAsia="es-CO"/>
            </w:rPr>
          </w:pPr>
          <w:hyperlink w:anchor="_Toc496861739" w:history="1">
            <w:r w:rsidR="00A01FBB" w:rsidRPr="0027387A">
              <w:rPr>
                <w:rStyle w:val="Hipervnculo"/>
                <w:rFonts w:eastAsia="Arial Narrow"/>
                <w:noProof/>
              </w:rPr>
              <w:t>VICEMINISTERIO DE VIVIENDA</w:t>
            </w:r>
            <w:r w:rsidR="00A01FBB">
              <w:rPr>
                <w:noProof/>
                <w:webHidden/>
              </w:rPr>
              <w:tab/>
            </w:r>
            <w:r w:rsidR="00A01FBB">
              <w:rPr>
                <w:noProof/>
                <w:webHidden/>
              </w:rPr>
              <w:fldChar w:fldCharType="begin"/>
            </w:r>
            <w:r w:rsidR="00A01FBB">
              <w:rPr>
                <w:noProof/>
                <w:webHidden/>
              </w:rPr>
              <w:instrText xml:space="preserve"> PAGEREF _Toc496861739 \h </w:instrText>
            </w:r>
            <w:r w:rsidR="00A01FBB">
              <w:rPr>
                <w:noProof/>
                <w:webHidden/>
              </w:rPr>
            </w:r>
            <w:r w:rsidR="00A01FBB">
              <w:rPr>
                <w:noProof/>
                <w:webHidden/>
              </w:rPr>
              <w:fldChar w:fldCharType="separate"/>
            </w:r>
            <w:r w:rsidR="00D37AC5">
              <w:rPr>
                <w:noProof/>
                <w:webHidden/>
              </w:rPr>
              <w:t>51</w:t>
            </w:r>
            <w:r w:rsidR="00A01FBB">
              <w:rPr>
                <w:noProof/>
                <w:webHidden/>
              </w:rPr>
              <w:fldChar w:fldCharType="end"/>
            </w:r>
          </w:hyperlink>
        </w:p>
        <w:p w:rsidR="00A01FBB" w:rsidRDefault="004E11A7">
          <w:pPr>
            <w:pStyle w:val="TDC2"/>
            <w:rPr>
              <w:rFonts w:asciiTheme="minorHAnsi" w:eastAsiaTheme="minorEastAsia" w:hAnsiTheme="minorHAnsi"/>
              <w:noProof/>
              <w:sz w:val="22"/>
              <w:lang w:eastAsia="es-CO"/>
            </w:rPr>
          </w:pPr>
          <w:hyperlink w:anchor="_Toc496861740" w:history="1">
            <w:r w:rsidR="00A01FBB" w:rsidRPr="0027387A">
              <w:rPr>
                <w:rStyle w:val="Hipervnculo"/>
                <w:rFonts w:eastAsia="Arial Narrow"/>
                <w:noProof/>
              </w:rPr>
              <w:t>1 DIRECCIÓN DEL SISTEMA HABITACIONAL</w:t>
            </w:r>
            <w:r w:rsidR="00A01FBB">
              <w:rPr>
                <w:noProof/>
                <w:webHidden/>
              </w:rPr>
              <w:tab/>
            </w:r>
            <w:r w:rsidR="00A01FBB">
              <w:rPr>
                <w:noProof/>
                <w:webHidden/>
              </w:rPr>
              <w:fldChar w:fldCharType="begin"/>
            </w:r>
            <w:r w:rsidR="00A01FBB">
              <w:rPr>
                <w:noProof/>
                <w:webHidden/>
              </w:rPr>
              <w:instrText xml:space="preserve"> PAGEREF _Toc496861740 \h </w:instrText>
            </w:r>
            <w:r w:rsidR="00A01FBB">
              <w:rPr>
                <w:noProof/>
                <w:webHidden/>
              </w:rPr>
            </w:r>
            <w:r w:rsidR="00A01FBB">
              <w:rPr>
                <w:noProof/>
                <w:webHidden/>
              </w:rPr>
              <w:fldChar w:fldCharType="separate"/>
            </w:r>
            <w:r w:rsidR="00D37AC5">
              <w:rPr>
                <w:noProof/>
                <w:webHidden/>
              </w:rPr>
              <w:t>51</w:t>
            </w:r>
            <w:r w:rsidR="00A01FBB">
              <w:rPr>
                <w:noProof/>
                <w:webHidden/>
              </w:rPr>
              <w:fldChar w:fldCharType="end"/>
            </w:r>
          </w:hyperlink>
        </w:p>
        <w:p w:rsidR="00A01FBB" w:rsidRDefault="004E11A7">
          <w:pPr>
            <w:pStyle w:val="TDC1"/>
            <w:rPr>
              <w:rFonts w:asciiTheme="minorHAnsi" w:eastAsiaTheme="minorEastAsia" w:hAnsiTheme="minorHAnsi"/>
              <w:noProof/>
              <w:sz w:val="22"/>
              <w:lang w:eastAsia="es-CO"/>
            </w:rPr>
          </w:pPr>
          <w:hyperlink w:anchor="_Toc496861741" w:history="1">
            <w:r w:rsidR="00A01FBB" w:rsidRPr="0027387A">
              <w:rPr>
                <w:rStyle w:val="Hipervnculo"/>
                <w:rFonts w:eastAsia="Arial Narrow"/>
                <w:noProof/>
              </w:rPr>
              <w:t>2. DIRECCIÓN DE INVERSIONES EN VIVIENDA DE INTERÉS SOCIAL</w:t>
            </w:r>
            <w:r w:rsidR="00A01FBB">
              <w:rPr>
                <w:noProof/>
                <w:webHidden/>
              </w:rPr>
              <w:tab/>
            </w:r>
            <w:r w:rsidR="00A01FBB">
              <w:rPr>
                <w:noProof/>
                <w:webHidden/>
              </w:rPr>
              <w:fldChar w:fldCharType="begin"/>
            </w:r>
            <w:r w:rsidR="00A01FBB">
              <w:rPr>
                <w:noProof/>
                <w:webHidden/>
              </w:rPr>
              <w:instrText xml:space="preserve"> PAGEREF _Toc496861741 \h </w:instrText>
            </w:r>
            <w:r w:rsidR="00A01FBB">
              <w:rPr>
                <w:noProof/>
                <w:webHidden/>
              </w:rPr>
            </w:r>
            <w:r w:rsidR="00A01FBB">
              <w:rPr>
                <w:noProof/>
                <w:webHidden/>
              </w:rPr>
              <w:fldChar w:fldCharType="separate"/>
            </w:r>
            <w:r w:rsidR="00D37AC5">
              <w:rPr>
                <w:noProof/>
                <w:webHidden/>
              </w:rPr>
              <w:t>57</w:t>
            </w:r>
            <w:r w:rsidR="00A01FBB">
              <w:rPr>
                <w:noProof/>
                <w:webHidden/>
              </w:rPr>
              <w:fldChar w:fldCharType="end"/>
            </w:r>
          </w:hyperlink>
        </w:p>
        <w:p w:rsidR="00A01FBB" w:rsidRDefault="004E11A7">
          <w:pPr>
            <w:pStyle w:val="TDC1"/>
            <w:rPr>
              <w:rFonts w:asciiTheme="minorHAnsi" w:eastAsiaTheme="minorEastAsia" w:hAnsiTheme="minorHAnsi"/>
              <w:noProof/>
              <w:sz w:val="22"/>
              <w:lang w:eastAsia="es-CO"/>
            </w:rPr>
          </w:pPr>
          <w:hyperlink w:anchor="_Toc496861742" w:history="1">
            <w:r w:rsidR="00A01FBB" w:rsidRPr="0027387A">
              <w:rPr>
                <w:rStyle w:val="Hipervnculo"/>
                <w:rFonts w:eastAsia="Arial Narrow"/>
                <w:noProof/>
              </w:rPr>
              <w:t>3. DIRECCIÓN DE ESPACIO URBANO Y TERRITORIAL</w:t>
            </w:r>
            <w:r w:rsidR="00A01FBB">
              <w:rPr>
                <w:noProof/>
                <w:webHidden/>
              </w:rPr>
              <w:tab/>
            </w:r>
            <w:r w:rsidR="00A01FBB">
              <w:rPr>
                <w:noProof/>
                <w:webHidden/>
              </w:rPr>
              <w:fldChar w:fldCharType="begin"/>
            </w:r>
            <w:r w:rsidR="00A01FBB">
              <w:rPr>
                <w:noProof/>
                <w:webHidden/>
              </w:rPr>
              <w:instrText xml:space="preserve"> PAGEREF _Toc496861742 \h </w:instrText>
            </w:r>
            <w:r w:rsidR="00A01FBB">
              <w:rPr>
                <w:noProof/>
                <w:webHidden/>
              </w:rPr>
            </w:r>
            <w:r w:rsidR="00A01FBB">
              <w:rPr>
                <w:noProof/>
                <w:webHidden/>
              </w:rPr>
              <w:fldChar w:fldCharType="separate"/>
            </w:r>
            <w:r w:rsidR="00D37AC5">
              <w:rPr>
                <w:noProof/>
                <w:webHidden/>
              </w:rPr>
              <w:t>62</w:t>
            </w:r>
            <w:r w:rsidR="00A01FBB">
              <w:rPr>
                <w:noProof/>
                <w:webHidden/>
              </w:rPr>
              <w:fldChar w:fldCharType="end"/>
            </w:r>
          </w:hyperlink>
        </w:p>
        <w:p w:rsidR="00A01FBB" w:rsidRDefault="004E11A7">
          <w:pPr>
            <w:pStyle w:val="TDC1"/>
            <w:rPr>
              <w:rFonts w:asciiTheme="minorHAnsi" w:eastAsiaTheme="minorEastAsia" w:hAnsiTheme="minorHAnsi"/>
              <w:noProof/>
              <w:sz w:val="22"/>
              <w:lang w:eastAsia="es-CO"/>
            </w:rPr>
          </w:pPr>
          <w:hyperlink w:anchor="_Toc496861743" w:history="1">
            <w:r w:rsidR="00A01FBB" w:rsidRPr="0027387A">
              <w:rPr>
                <w:rStyle w:val="Hipervnculo"/>
                <w:rFonts w:eastAsia="Arial Narrow"/>
                <w:noProof/>
              </w:rPr>
              <w:t>VICEMINISTERIO DE AGUA Y SANEAMIENTO BÁSICO</w:t>
            </w:r>
            <w:r w:rsidR="00A01FBB">
              <w:rPr>
                <w:noProof/>
                <w:webHidden/>
              </w:rPr>
              <w:tab/>
            </w:r>
            <w:r w:rsidR="00A01FBB">
              <w:rPr>
                <w:noProof/>
                <w:webHidden/>
              </w:rPr>
              <w:fldChar w:fldCharType="begin"/>
            </w:r>
            <w:r w:rsidR="00A01FBB">
              <w:rPr>
                <w:noProof/>
                <w:webHidden/>
              </w:rPr>
              <w:instrText xml:space="preserve"> PAGEREF _Toc496861743 \h </w:instrText>
            </w:r>
            <w:r w:rsidR="00A01FBB">
              <w:rPr>
                <w:noProof/>
                <w:webHidden/>
              </w:rPr>
            </w:r>
            <w:r w:rsidR="00A01FBB">
              <w:rPr>
                <w:noProof/>
                <w:webHidden/>
              </w:rPr>
              <w:fldChar w:fldCharType="separate"/>
            </w:r>
            <w:r w:rsidR="00D37AC5">
              <w:rPr>
                <w:noProof/>
                <w:webHidden/>
              </w:rPr>
              <w:t>66</w:t>
            </w:r>
            <w:r w:rsidR="00A01FBB">
              <w:rPr>
                <w:noProof/>
                <w:webHidden/>
              </w:rPr>
              <w:fldChar w:fldCharType="end"/>
            </w:r>
          </w:hyperlink>
        </w:p>
        <w:p w:rsidR="00A01FBB" w:rsidRDefault="004E11A7">
          <w:pPr>
            <w:pStyle w:val="TDC1"/>
            <w:rPr>
              <w:rFonts w:asciiTheme="minorHAnsi" w:eastAsiaTheme="minorEastAsia" w:hAnsiTheme="minorHAnsi"/>
              <w:noProof/>
              <w:sz w:val="22"/>
              <w:lang w:eastAsia="es-CO"/>
            </w:rPr>
          </w:pPr>
          <w:hyperlink w:anchor="_Toc496861745" w:history="1">
            <w:r w:rsidR="00A01FBB" w:rsidRPr="0027387A">
              <w:rPr>
                <w:rStyle w:val="Hipervnculo"/>
                <w:rFonts w:eastAsia="Arial Narrow"/>
                <w:noProof/>
              </w:rPr>
              <w:t>2. DIRECCIÓN DE PROGRAMAS</w:t>
            </w:r>
            <w:r w:rsidR="00A01FBB">
              <w:rPr>
                <w:noProof/>
                <w:webHidden/>
              </w:rPr>
              <w:tab/>
            </w:r>
            <w:r w:rsidR="00A01FBB">
              <w:rPr>
                <w:noProof/>
                <w:webHidden/>
              </w:rPr>
              <w:fldChar w:fldCharType="begin"/>
            </w:r>
            <w:r w:rsidR="00A01FBB">
              <w:rPr>
                <w:noProof/>
                <w:webHidden/>
              </w:rPr>
              <w:instrText xml:space="preserve"> PAGEREF _Toc496861745 \h </w:instrText>
            </w:r>
            <w:r w:rsidR="00A01FBB">
              <w:rPr>
                <w:noProof/>
                <w:webHidden/>
              </w:rPr>
            </w:r>
            <w:r w:rsidR="00A01FBB">
              <w:rPr>
                <w:noProof/>
                <w:webHidden/>
              </w:rPr>
              <w:fldChar w:fldCharType="separate"/>
            </w:r>
            <w:r w:rsidR="00D37AC5">
              <w:rPr>
                <w:noProof/>
                <w:webHidden/>
              </w:rPr>
              <w:t>72</w:t>
            </w:r>
            <w:r w:rsidR="00A01FBB">
              <w:rPr>
                <w:noProof/>
                <w:webHidden/>
              </w:rPr>
              <w:fldChar w:fldCharType="end"/>
            </w:r>
          </w:hyperlink>
        </w:p>
        <w:p w:rsidR="00A01FBB" w:rsidRDefault="004E11A7">
          <w:pPr>
            <w:pStyle w:val="TDC1"/>
            <w:rPr>
              <w:rFonts w:asciiTheme="minorHAnsi" w:eastAsiaTheme="minorEastAsia" w:hAnsiTheme="minorHAnsi"/>
              <w:noProof/>
              <w:sz w:val="22"/>
              <w:lang w:eastAsia="es-CO"/>
            </w:rPr>
          </w:pPr>
          <w:hyperlink w:anchor="_Toc496861746" w:history="1">
            <w:r w:rsidR="00A01FBB" w:rsidRPr="0027387A">
              <w:rPr>
                <w:rStyle w:val="Hipervnculo"/>
                <w:noProof/>
              </w:rPr>
              <w:t>EJECUCION PRESUPUESTAL  AL 30 DE SEPTIEMBRE DE 2017</w:t>
            </w:r>
            <w:r w:rsidR="00A01FBB">
              <w:rPr>
                <w:noProof/>
                <w:webHidden/>
              </w:rPr>
              <w:tab/>
            </w:r>
            <w:r w:rsidR="00A01FBB">
              <w:rPr>
                <w:noProof/>
                <w:webHidden/>
              </w:rPr>
              <w:fldChar w:fldCharType="begin"/>
            </w:r>
            <w:r w:rsidR="00A01FBB">
              <w:rPr>
                <w:noProof/>
                <w:webHidden/>
              </w:rPr>
              <w:instrText xml:space="preserve"> PAGEREF _Toc496861746 \h </w:instrText>
            </w:r>
            <w:r w:rsidR="00A01FBB">
              <w:rPr>
                <w:noProof/>
                <w:webHidden/>
              </w:rPr>
            </w:r>
            <w:r w:rsidR="00A01FBB">
              <w:rPr>
                <w:noProof/>
                <w:webHidden/>
              </w:rPr>
              <w:fldChar w:fldCharType="separate"/>
            </w:r>
            <w:r w:rsidR="00D37AC5">
              <w:rPr>
                <w:noProof/>
                <w:webHidden/>
              </w:rPr>
              <w:t>76</w:t>
            </w:r>
            <w:r w:rsidR="00A01FBB">
              <w:rPr>
                <w:noProof/>
                <w:webHidden/>
              </w:rPr>
              <w:fldChar w:fldCharType="end"/>
            </w:r>
          </w:hyperlink>
        </w:p>
        <w:p w:rsidR="00A01FBB" w:rsidRDefault="004E11A7">
          <w:pPr>
            <w:pStyle w:val="TDC1"/>
            <w:rPr>
              <w:rFonts w:asciiTheme="minorHAnsi" w:eastAsiaTheme="minorEastAsia" w:hAnsiTheme="minorHAnsi"/>
              <w:noProof/>
              <w:sz w:val="22"/>
              <w:lang w:eastAsia="es-CO"/>
            </w:rPr>
          </w:pPr>
          <w:hyperlink w:anchor="_Toc496861747" w:history="1">
            <w:r w:rsidR="00A01FBB" w:rsidRPr="0027387A">
              <w:rPr>
                <w:rStyle w:val="Hipervnculo"/>
                <w:noProof/>
              </w:rPr>
              <w:t>EJECUCIÓN PRESUPUESTAL: SECTOR DE VIVIENDA, CIUDAD Y TERRITORIO</w:t>
            </w:r>
            <w:r w:rsidR="00A01FBB">
              <w:rPr>
                <w:noProof/>
                <w:webHidden/>
              </w:rPr>
              <w:tab/>
            </w:r>
            <w:r w:rsidR="00A01FBB">
              <w:rPr>
                <w:noProof/>
                <w:webHidden/>
              </w:rPr>
              <w:fldChar w:fldCharType="begin"/>
            </w:r>
            <w:r w:rsidR="00A01FBB">
              <w:rPr>
                <w:noProof/>
                <w:webHidden/>
              </w:rPr>
              <w:instrText xml:space="preserve"> PAGEREF _Toc496861747 \h </w:instrText>
            </w:r>
            <w:r w:rsidR="00A01FBB">
              <w:rPr>
                <w:noProof/>
                <w:webHidden/>
              </w:rPr>
            </w:r>
            <w:r w:rsidR="00A01FBB">
              <w:rPr>
                <w:noProof/>
                <w:webHidden/>
              </w:rPr>
              <w:fldChar w:fldCharType="separate"/>
            </w:r>
            <w:r w:rsidR="00D37AC5">
              <w:rPr>
                <w:noProof/>
                <w:webHidden/>
              </w:rPr>
              <w:t>77</w:t>
            </w:r>
            <w:r w:rsidR="00A01FBB">
              <w:rPr>
                <w:noProof/>
                <w:webHidden/>
              </w:rPr>
              <w:fldChar w:fldCharType="end"/>
            </w:r>
          </w:hyperlink>
        </w:p>
        <w:p w:rsidR="00BD354F" w:rsidRPr="00543148" w:rsidRDefault="00BD354F" w:rsidP="00BD354F">
          <w:pPr>
            <w:rPr>
              <w:sz w:val="20"/>
              <w:szCs w:val="20"/>
            </w:rPr>
          </w:pPr>
          <w:r w:rsidRPr="00543148">
            <w:rPr>
              <w:b/>
              <w:bCs/>
              <w:sz w:val="20"/>
              <w:szCs w:val="20"/>
              <w:lang w:val="es-ES"/>
            </w:rPr>
            <w:fldChar w:fldCharType="end"/>
          </w:r>
        </w:p>
      </w:sdtContent>
    </w:sdt>
    <w:p w:rsidR="007D18EB" w:rsidRPr="00543148" w:rsidRDefault="00A25315" w:rsidP="002F2F32">
      <w:pPr>
        <w:pStyle w:val="Ttulo1"/>
        <w:spacing w:before="0" w:line="240" w:lineRule="auto"/>
      </w:pPr>
      <w:bookmarkStart w:id="1" w:name="_Toc496861726"/>
      <w:r w:rsidRPr="00543148">
        <w:lastRenderedPageBreak/>
        <w:t>PRESENTACIÓN</w:t>
      </w:r>
      <w:bookmarkEnd w:id="1"/>
      <w:r w:rsidRPr="00543148">
        <w:t xml:space="preserve"> </w:t>
      </w:r>
    </w:p>
    <w:p w:rsidR="007D18EB" w:rsidRPr="00B07BAA" w:rsidRDefault="007D18EB" w:rsidP="002F2F32">
      <w:pPr>
        <w:spacing w:after="0" w:line="240" w:lineRule="auto"/>
        <w:rPr>
          <w:rFonts w:ascii="Times New Roman" w:eastAsia="Times New Roman" w:hAnsi="Times New Roman"/>
          <w:sz w:val="22"/>
        </w:rPr>
      </w:pPr>
    </w:p>
    <w:p w:rsidR="002F2F32" w:rsidRPr="00B07BAA" w:rsidRDefault="002F2F32" w:rsidP="002F2F32">
      <w:pPr>
        <w:spacing w:after="0" w:line="240" w:lineRule="auto"/>
        <w:rPr>
          <w:rFonts w:eastAsia="Times New Roman"/>
          <w:sz w:val="22"/>
        </w:rPr>
      </w:pPr>
      <w:r w:rsidRPr="00B07BAA">
        <w:rPr>
          <w:rFonts w:eastAsia="Times New Roman"/>
          <w:sz w:val="22"/>
        </w:rPr>
        <w:t xml:space="preserve">Este informe presenta </w:t>
      </w:r>
      <w:r w:rsidR="00B40D9B" w:rsidRPr="00B07BAA">
        <w:rPr>
          <w:rFonts w:eastAsia="Times New Roman"/>
          <w:sz w:val="22"/>
        </w:rPr>
        <w:t>el avance</w:t>
      </w:r>
      <w:r w:rsidR="00873A63" w:rsidRPr="00B07BAA">
        <w:rPr>
          <w:rFonts w:eastAsia="Times New Roman"/>
          <w:sz w:val="22"/>
        </w:rPr>
        <w:t xml:space="preserve"> en e</w:t>
      </w:r>
      <w:r w:rsidRPr="00B07BAA">
        <w:rPr>
          <w:rFonts w:eastAsia="Times New Roman"/>
          <w:sz w:val="22"/>
        </w:rPr>
        <w:t xml:space="preserve">l cumplimiento de las metas del Plan de Acción </w:t>
      </w:r>
      <w:r w:rsidR="004275F7" w:rsidRPr="00B07BAA">
        <w:rPr>
          <w:rFonts w:eastAsia="Times New Roman"/>
          <w:sz w:val="22"/>
        </w:rPr>
        <w:t>d</w:t>
      </w:r>
      <w:r w:rsidRPr="00B07BAA">
        <w:rPr>
          <w:rFonts w:eastAsia="Times New Roman"/>
          <w:sz w:val="22"/>
        </w:rPr>
        <w:t xml:space="preserve">el Ministerio </w:t>
      </w:r>
      <w:r w:rsidR="00B40D9B" w:rsidRPr="00B07BAA">
        <w:rPr>
          <w:rFonts w:eastAsia="Times New Roman"/>
          <w:sz w:val="22"/>
        </w:rPr>
        <w:t xml:space="preserve">con corte a 30 de </w:t>
      </w:r>
      <w:r w:rsidR="003819DA">
        <w:rPr>
          <w:rFonts w:eastAsia="Times New Roman"/>
          <w:sz w:val="22"/>
        </w:rPr>
        <w:t>septiembre</w:t>
      </w:r>
      <w:r w:rsidR="00B40D9B" w:rsidRPr="00B07BAA">
        <w:rPr>
          <w:rFonts w:eastAsia="Times New Roman"/>
          <w:sz w:val="22"/>
        </w:rPr>
        <w:t xml:space="preserve"> de</w:t>
      </w:r>
      <w:r w:rsidRPr="00B07BAA">
        <w:rPr>
          <w:rFonts w:eastAsia="Times New Roman"/>
          <w:sz w:val="22"/>
        </w:rPr>
        <w:t xml:space="preserve"> 201</w:t>
      </w:r>
      <w:r w:rsidR="00D467DB" w:rsidRPr="00B07BAA">
        <w:rPr>
          <w:rFonts w:eastAsia="Times New Roman"/>
          <w:sz w:val="22"/>
        </w:rPr>
        <w:t>7</w:t>
      </w:r>
      <w:r w:rsidRPr="00B07BAA">
        <w:rPr>
          <w:rFonts w:eastAsia="Times New Roman"/>
          <w:sz w:val="22"/>
        </w:rPr>
        <w:t xml:space="preserve">. Los resultados corresponden a los avances reportados </w:t>
      </w:r>
      <w:r w:rsidR="00B40D9B" w:rsidRPr="00B07BAA">
        <w:rPr>
          <w:rFonts w:eastAsia="Times New Roman"/>
          <w:sz w:val="22"/>
        </w:rPr>
        <w:t>por las dependencias en l</w:t>
      </w:r>
      <w:r w:rsidRPr="00B07BAA">
        <w:rPr>
          <w:rFonts w:eastAsia="Times New Roman"/>
          <w:sz w:val="22"/>
        </w:rPr>
        <w:t>a herramienta de seguimiento al plan de acción</w:t>
      </w:r>
      <w:r w:rsidR="00B40D9B" w:rsidRPr="00B07BAA">
        <w:rPr>
          <w:rFonts w:eastAsia="Times New Roman"/>
          <w:sz w:val="22"/>
        </w:rPr>
        <w:t xml:space="preserve">, </w:t>
      </w:r>
      <w:r w:rsidRPr="00B07BAA">
        <w:rPr>
          <w:rFonts w:eastAsia="Times New Roman"/>
          <w:sz w:val="22"/>
        </w:rPr>
        <w:t xml:space="preserve">para cada una de las actividades programadas en el </w:t>
      </w:r>
      <w:r w:rsidR="00B40D9B" w:rsidRPr="00B07BAA">
        <w:rPr>
          <w:rFonts w:eastAsia="Times New Roman"/>
          <w:sz w:val="22"/>
        </w:rPr>
        <w:t xml:space="preserve">mismo. </w:t>
      </w:r>
      <w:r w:rsidRPr="00B07BAA">
        <w:rPr>
          <w:rFonts w:eastAsia="Times New Roman"/>
          <w:sz w:val="22"/>
        </w:rPr>
        <w:t xml:space="preserve"> </w:t>
      </w:r>
    </w:p>
    <w:p w:rsidR="002F2F32" w:rsidRPr="00B07BAA" w:rsidRDefault="002F2F32" w:rsidP="002F2F32">
      <w:pPr>
        <w:spacing w:after="0" w:line="240" w:lineRule="auto"/>
        <w:rPr>
          <w:rFonts w:eastAsia="Times New Roman"/>
          <w:sz w:val="22"/>
        </w:rPr>
      </w:pPr>
    </w:p>
    <w:p w:rsidR="002F2F32" w:rsidRPr="00B07BAA" w:rsidRDefault="002F2F32" w:rsidP="002F2F32">
      <w:pPr>
        <w:spacing w:after="0" w:line="240" w:lineRule="auto"/>
        <w:rPr>
          <w:rFonts w:ascii="Times New Roman" w:eastAsia="Times New Roman" w:hAnsi="Times New Roman"/>
          <w:sz w:val="22"/>
        </w:rPr>
      </w:pPr>
    </w:p>
    <w:p w:rsidR="002F2F32" w:rsidRPr="00B07BAA" w:rsidRDefault="002F2F32" w:rsidP="002F2F32">
      <w:pPr>
        <w:spacing w:after="0" w:line="240" w:lineRule="auto"/>
        <w:jc w:val="center"/>
        <w:rPr>
          <w:rFonts w:eastAsia="Times New Roman"/>
          <w:b/>
          <w:sz w:val="22"/>
        </w:rPr>
      </w:pPr>
      <w:r w:rsidRPr="00B07BAA">
        <w:rPr>
          <w:rFonts w:eastAsia="Times New Roman"/>
          <w:b/>
          <w:sz w:val="22"/>
        </w:rPr>
        <w:t>DEPENDENCIAS DEL MINISTERIO DE VIVIENDA, CIUDAD Y TERRITORIO</w:t>
      </w:r>
    </w:p>
    <w:p w:rsidR="002F2F32" w:rsidRDefault="002F2F32" w:rsidP="002F2F32">
      <w:pPr>
        <w:spacing w:after="0" w:line="240" w:lineRule="auto"/>
        <w:rPr>
          <w:rFonts w:ascii="Times New Roman" w:eastAsia="Times New Roman" w:hAnsi="Times New Roman"/>
          <w:sz w:val="22"/>
        </w:rPr>
      </w:pPr>
    </w:p>
    <w:p w:rsidR="00347591" w:rsidRPr="00B07BAA" w:rsidRDefault="00347591" w:rsidP="002F2F32">
      <w:pPr>
        <w:spacing w:after="0" w:line="240" w:lineRule="auto"/>
        <w:rPr>
          <w:rFonts w:ascii="Times New Roman" w:eastAsia="Times New Roman" w:hAnsi="Times New Roman"/>
          <w:sz w:val="22"/>
        </w:rPr>
      </w:pPr>
    </w:p>
    <w:p w:rsidR="002F2F32" w:rsidRPr="00B07BAA" w:rsidRDefault="002F2F32" w:rsidP="002F2F32">
      <w:pPr>
        <w:spacing w:after="0" w:line="240" w:lineRule="auto"/>
        <w:rPr>
          <w:rFonts w:eastAsia="Times New Roman"/>
          <w:b/>
          <w:sz w:val="22"/>
        </w:rPr>
      </w:pPr>
      <w:r w:rsidRPr="00B07BAA">
        <w:rPr>
          <w:rFonts w:eastAsia="Times New Roman"/>
          <w:b/>
          <w:sz w:val="22"/>
        </w:rPr>
        <w:t>DESPACHO DEL MINISTRO</w:t>
      </w:r>
      <w:r w:rsidRPr="00B07BAA">
        <w:rPr>
          <w:rFonts w:eastAsia="Times New Roman"/>
          <w:b/>
          <w:sz w:val="22"/>
        </w:rPr>
        <w:tab/>
      </w:r>
      <w:r w:rsidRPr="00B07BAA">
        <w:rPr>
          <w:rFonts w:eastAsia="Times New Roman"/>
          <w:b/>
          <w:sz w:val="22"/>
        </w:rPr>
        <w:tab/>
      </w:r>
      <w:r w:rsidRPr="00B07BAA">
        <w:rPr>
          <w:rFonts w:eastAsia="Times New Roman"/>
          <w:b/>
          <w:sz w:val="22"/>
        </w:rPr>
        <w:tab/>
      </w:r>
    </w:p>
    <w:p w:rsidR="002F2F32" w:rsidRPr="00B07BAA" w:rsidRDefault="002F2F32" w:rsidP="002F2F32">
      <w:pPr>
        <w:spacing w:after="0" w:line="240" w:lineRule="auto"/>
        <w:rPr>
          <w:rFonts w:eastAsia="Times New Roman"/>
          <w:sz w:val="22"/>
        </w:rPr>
      </w:pPr>
    </w:p>
    <w:p w:rsidR="002F2F32" w:rsidRPr="00B07BAA" w:rsidRDefault="002F2F32" w:rsidP="00CB3865">
      <w:pPr>
        <w:pStyle w:val="Prrafodelista"/>
        <w:numPr>
          <w:ilvl w:val="0"/>
          <w:numId w:val="1"/>
        </w:numPr>
        <w:spacing w:after="0" w:line="240" w:lineRule="auto"/>
        <w:rPr>
          <w:rFonts w:eastAsia="Times New Roman"/>
          <w:sz w:val="22"/>
        </w:rPr>
      </w:pPr>
      <w:r w:rsidRPr="00B07BAA">
        <w:rPr>
          <w:rFonts w:eastAsia="Times New Roman"/>
          <w:sz w:val="22"/>
        </w:rPr>
        <w:t>Oficina de Tecnologías de la Información y de las Comunicaciones</w:t>
      </w:r>
    </w:p>
    <w:p w:rsidR="002F2F32" w:rsidRPr="00B07BAA" w:rsidRDefault="002F2F32" w:rsidP="00CB3865">
      <w:pPr>
        <w:pStyle w:val="Prrafodelista"/>
        <w:numPr>
          <w:ilvl w:val="0"/>
          <w:numId w:val="1"/>
        </w:numPr>
        <w:spacing w:after="0" w:line="240" w:lineRule="auto"/>
        <w:rPr>
          <w:rFonts w:eastAsia="Times New Roman"/>
          <w:sz w:val="22"/>
        </w:rPr>
      </w:pPr>
      <w:r w:rsidRPr="00B07BAA">
        <w:rPr>
          <w:rFonts w:eastAsia="Times New Roman"/>
          <w:sz w:val="22"/>
        </w:rPr>
        <w:t>Oficina de Control Interno</w:t>
      </w:r>
    </w:p>
    <w:p w:rsidR="002F2F32" w:rsidRPr="00B07BAA" w:rsidRDefault="002F2F32" w:rsidP="00CB3865">
      <w:pPr>
        <w:pStyle w:val="Prrafodelista"/>
        <w:numPr>
          <w:ilvl w:val="0"/>
          <w:numId w:val="1"/>
        </w:numPr>
        <w:spacing w:after="0" w:line="240" w:lineRule="auto"/>
        <w:rPr>
          <w:rFonts w:eastAsia="Times New Roman"/>
          <w:sz w:val="22"/>
        </w:rPr>
      </w:pPr>
      <w:r w:rsidRPr="00B07BAA">
        <w:rPr>
          <w:rFonts w:eastAsia="Times New Roman"/>
          <w:sz w:val="22"/>
        </w:rPr>
        <w:t>Oficina Asesora Jurídica</w:t>
      </w:r>
    </w:p>
    <w:p w:rsidR="002F2F32" w:rsidRPr="00B07BAA" w:rsidRDefault="002F2F32" w:rsidP="00CB3865">
      <w:pPr>
        <w:pStyle w:val="Prrafodelista"/>
        <w:numPr>
          <w:ilvl w:val="0"/>
          <w:numId w:val="1"/>
        </w:numPr>
        <w:spacing w:after="0" w:line="240" w:lineRule="auto"/>
        <w:rPr>
          <w:rFonts w:eastAsia="Times New Roman"/>
          <w:sz w:val="22"/>
        </w:rPr>
      </w:pPr>
      <w:r w:rsidRPr="00B07BAA">
        <w:rPr>
          <w:rFonts w:eastAsia="Times New Roman"/>
          <w:sz w:val="22"/>
        </w:rPr>
        <w:t>Oficina Asesora de Planeación</w:t>
      </w:r>
    </w:p>
    <w:p w:rsidR="002F2F32" w:rsidRPr="00B07BAA" w:rsidRDefault="002F2F32" w:rsidP="00CB3865">
      <w:pPr>
        <w:pStyle w:val="Prrafodelista"/>
        <w:numPr>
          <w:ilvl w:val="0"/>
          <w:numId w:val="1"/>
        </w:numPr>
        <w:spacing w:after="0" w:line="240" w:lineRule="auto"/>
        <w:rPr>
          <w:rFonts w:eastAsia="Times New Roman"/>
          <w:sz w:val="22"/>
        </w:rPr>
      </w:pPr>
      <w:r w:rsidRPr="00B07BAA">
        <w:rPr>
          <w:rFonts w:eastAsia="Times New Roman"/>
          <w:sz w:val="22"/>
        </w:rPr>
        <w:t>Grupo de Comunicaciones Estratégicas</w:t>
      </w:r>
    </w:p>
    <w:p w:rsidR="002F2F32" w:rsidRPr="00B07BAA" w:rsidRDefault="002F2F32" w:rsidP="002F2F32">
      <w:pPr>
        <w:spacing w:after="0" w:line="240" w:lineRule="auto"/>
        <w:rPr>
          <w:rFonts w:eastAsia="Times New Roman"/>
          <w:b/>
          <w:sz w:val="22"/>
        </w:rPr>
      </w:pPr>
    </w:p>
    <w:p w:rsidR="00347591" w:rsidRDefault="00347591" w:rsidP="002F2F32">
      <w:pPr>
        <w:spacing w:after="0" w:line="240" w:lineRule="auto"/>
        <w:rPr>
          <w:rFonts w:eastAsia="Times New Roman"/>
          <w:b/>
          <w:sz w:val="22"/>
        </w:rPr>
      </w:pPr>
    </w:p>
    <w:p w:rsidR="002F2F32" w:rsidRPr="00B07BAA" w:rsidRDefault="00C35CC6" w:rsidP="002F2F32">
      <w:pPr>
        <w:spacing w:after="0" w:line="240" w:lineRule="auto"/>
        <w:rPr>
          <w:rFonts w:eastAsia="Times New Roman"/>
          <w:b/>
          <w:sz w:val="22"/>
        </w:rPr>
      </w:pPr>
      <w:r w:rsidRPr="00B07BAA">
        <w:rPr>
          <w:rFonts w:eastAsia="Times New Roman"/>
          <w:b/>
          <w:sz w:val="22"/>
        </w:rPr>
        <w:t>SECRETARÍA GENERAL</w:t>
      </w:r>
    </w:p>
    <w:p w:rsidR="002F2F32" w:rsidRPr="00B07BAA" w:rsidRDefault="002F2F32" w:rsidP="002F2F32">
      <w:pPr>
        <w:spacing w:after="0" w:line="240" w:lineRule="auto"/>
        <w:rPr>
          <w:rFonts w:eastAsia="Times New Roman"/>
          <w:b/>
          <w:sz w:val="22"/>
        </w:rPr>
      </w:pPr>
    </w:p>
    <w:p w:rsidR="004F63D9" w:rsidRPr="00B07BAA" w:rsidRDefault="004F63D9" w:rsidP="00CB3865">
      <w:pPr>
        <w:pStyle w:val="Prrafodelista"/>
        <w:numPr>
          <w:ilvl w:val="0"/>
          <w:numId w:val="1"/>
        </w:numPr>
        <w:spacing w:after="0" w:line="240" w:lineRule="auto"/>
        <w:rPr>
          <w:rFonts w:eastAsia="Times New Roman"/>
          <w:sz w:val="22"/>
        </w:rPr>
      </w:pPr>
      <w:r w:rsidRPr="00B07BAA">
        <w:rPr>
          <w:rFonts w:eastAsia="Times New Roman"/>
          <w:sz w:val="22"/>
        </w:rPr>
        <w:t>Grupo de Control Interno Disciplinario</w:t>
      </w:r>
    </w:p>
    <w:p w:rsidR="004F63D9" w:rsidRPr="00B07BAA" w:rsidRDefault="004F63D9" w:rsidP="00CB3865">
      <w:pPr>
        <w:pStyle w:val="Prrafodelista"/>
        <w:numPr>
          <w:ilvl w:val="0"/>
          <w:numId w:val="1"/>
        </w:numPr>
        <w:spacing w:after="0" w:line="240" w:lineRule="auto"/>
        <w:rPr>
          <w:rFonts w:eastAsia="Times New Roman"/>
          <w:sz w:val="22"/>
        </w:rPr>
      </w:pPr>
      <w:r w:rsidRPr="00B07BAA">
        <w:rPr>
          <w:rFonts w:eastAsia="Times New Roman"/>
          <w:sz w:val="22"/>
        </w:rPr>
        <w:t>Grupo de Talento Humano</w:t>
      </w:r>
    </w:p>
    <w:p w:rsidR="004F63D9" w:rsidRPr="00B07BAA" w:rsidRDefault="004F63D9" w:rsidP="00CB3865">
      <w:pPr>
        <w:pStyle w:val="Prrafodelista"/>
        <w:numPr>
          <w:ilvl w:val="0"/>
          <w:numId w:val="1"/>
        </w:numPr>
        <w:spacing w:after="0" w:line="240" w:lineRule="auto"/>
        <w:rPr>
          <w:rFonts w:eastAsia="Times New Roman"/>
          <w:sz w:val="22"/>
        </w:rPr>
      </w:pPr>
      <w:r w:rsidRPr="00B07BAA">
        <w:rPr>
          <w:rFonts w:eastAsia="Times New Roman"/>
          <w:sz w:val="22"/>
        </w:rPr>
        <w:t>Subdirección de Finanzas y Presupuesto</w:t>
      </w:r>
    </w:p>
    <w:p w:rsidR="004F63D9" w:rsidRPr="00B07BAA" w:rsidRDefault="004F63D9" w:rsidP="00CB3865">
      <w:pPr>
        <w:pStyle w:val="Prrafodelista"/>
        <w:numPr>
          <w:ilvl w:val="0"/>
          <w:numId w:val="1"/>
        </w:numPr>
        <w:spacing w:after="0" w:line="240" w:lineRule="auto"/>
        <w:rPr>
          <w:rFonts w:eastAsia="Times New Roman"/>
          <w:sz w:val="22"/>
        </w:rPr>
      </w:pPr>
      <w:r w:rsidRPr="00B07BAA">
        <w:rPr>
          <w:rFonts w:eastAsia="Times New Roman"/>
          <w:sz w:val="22"/>
        </w:rPr>
        <w:t>Subdirección de Servicios Administrativos</w:t>
      </w:r>
    </w:p>
    <w:p w:rsidR="004F63D9" w:rsidRPr="00B07BAA" w:rsidRDefault="004F63D9" w:rsidP="00CB3865">
      <w:pPr>
        <w:pStyle w:val="Prrafodelista"/>
        <w:numPr>
          <w:ilvl w:val="0"/>
          <w:numId w:val="1"/>
        </w:numPr>
        <w:spacing w:after="0" w:line="240" w:lineRule="auto"/>
        <w:rPr>
          <w:rFonts w:eastAsia="Times New Roman"/>
          <w:sz w:val="22"/>
        </w:rPr>
      </w:pPr>
      <w:r w:rsidRPr="00B07BAA">
        <w:rPr>
          <w:rFonts w:eastAsia="Times New Roman"/>
          <w:sz w:val="22"/>
        </w:rPr>
        <w:t>Grupo de Atención al Usuario y Archivo</w:t>
      </w:r>
    </w:p>
    <w:p w:rsidR="004F63D9" w:rsidRPr="00B07BAA" w:rsidRDefault="004F63D9" w:rsidP="004F63D9">
      <w:pPr>
        <w:spacing w:line="26" w:lineRule="exact"/>
        <w:rPr>
          <w:sz w:val="22"/>
        </w:rPr>
      </w:pPr>
    </w:p>
    <w:p w:rsidR="00347591" w:rsidRDefault="00347591" w:rsidP="002F2F32">
      <w:pPr>
        <w:spacing w:after="0" w:line="240" w:lineRule="auto"/>
        <w:rPr>
          <w:rFonts w:eastAsia="Times New Roman"/>
          <w:b/>
          <w:sz w:val="22"/>
        </w:rPr>
      </w:pPr>
    </w:p>
    <w:p w:rsidR="002F2F32" w:rsidRPr="00B07BAA" w:rsidRDefault="00AB5AEE" w:rsidP="002F2F32">
      <w:pPr>
        <w:spacing w:after="0" w:line="240" w:lineRule="auto"/>
        <w:rPr>
          <w:rFonts w:eastAsia="Times New Roman"/>
          <w:b/>
          <w:sz w:val="22"/>
        </w:rPr>
      </w:pPr>
      <w:r w:rsidRPr="00B07BAA">
        <w:rPr>
          <w:rFonts w:eastAsia="Times New Roman"/>
          <w:b/>
          <w:sz w:val="22"/>
        </w:rPr>
        <w:t>VICEMINISTERIO DE VIVIENDA</w:t>
      </w:r>
    </w:p>
    <w:p w:rsidR="002F2F32" w:rsidRPr="00B07BAA" w:rsidRDefault="002F2F32" w:rsidP="002F2F32">
      <w:pPr>
        <w:spacing w:after="0" w:line="240" w:lineRule="auto"/>
        <w:rPr>
          <w:rFonts w:eastAsia="Times New Roman"/>
          <w:sz w:val="22"/>
        </w:rPr>
      </w:pPr>
    </w:p>
    <w:p w:rsidR="002F2F32" w:rsidRPr="00B07BAA" w:rsidRDefault="002F2F32" w:rsidP="00CB3865">
      <w:pPr>
        <w:pStyle w:val="Prrafodelista"/>
        <w:numPr>
          <w:ilvl w:val="0"/>
          <w:numId w:val="2"/>
        </w:numPr>
        <w:spacing w:after="0" w:line="240" w:lineRule="auto"/>
        <w:rPr>
          <w:rFonts w:eastAsia="Times New Roman"/>
          <w:i/>
          <w:sz w:val="22"/>
        </w:rPr>
      </w:pPr>
      <w:r w:rsidRPr="00B07BAA">
        <w:rPr>
          <w:rFonts w:eastAsia="Times New Roman"/>
          <w:i/>
          <w:sz w:val="22"/>
        </w:rPr>
        <w:t>Dirección del Sistema Habitacional</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Grupo de Titulación y Saneamiento Predial</w:t>
      </w:r>
    </w:p>
    <w:p w:rsidR="002F2F32" w:rsidRPr="00B07BAA" w:rsidRDefault="002F2F32" w:rsidP="00CB3865">
      <w:pPr>
        <w:pStyle w:val="Prrafodelista"/>
        <w:numPr>
          <w:ilvl w:val="0"/>
          <w:numId w:val="2"/>
        </w:numPr>
        <w:spacing w:after="0" w:line="240" w:lineRule="auto"/>
        <w:rPr>
          <w:rFonts w:eastAsia="Times New Roman"/>
          <w:i/>
          <w:sz w:val="22"/>
        </w:rPr>
      </w:pPr>
      <w:r w:rsidRPr="00B07BAA">
        <w:rPr>
          <w:rFonts w:eastAsia="Times New Roman"/>
          <w:i/>
          <w:sz w:val="22"/>
        </w:rPr>
        <w:t>Dirección de Inversiones en Vivienda de Interés Social</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Subdirección de Subsidio Familiar de Vivienda</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Subdirección de Promoción y Apoyo Técnico</w:t>
      </w:r>
    </w:p>
    <w:p w:rsidR="002F2F32" w:rsidRPr="00B07BAA" w:rsidRDefault="002F2F32" w:rsidP="00CB3865">
      <w:pPr>
        <w:pStyle w:val="Prrafodelista"/>
        <w:numPr>
          <w:ilvl w:val="0"/>
          <w:numId w:val="2"/>
        </w:numPr>
        <w:spacing w:after="0" w:line="240" w:lineRule="auto"/>
        <w:rPr>
          <w:rFonts w:eastAsia="Times New Roman"/>
          <w:i/>
          <w:sz w:val="22"/>
        </w:rPr>
      </w:pPr>
      <w:r w:rsidRPr="00B07BAA">
        <w:rPr>
          <w:rFonts w:eastAsia="Times New Roman"/>
          <w:i/>
          <w:sz w:val="22"/>
        </w:rPr>
        <w:lastRenderedPageBreak/>
        <w:t>Dirección de Espacio Urbano y Territorial</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Subdirección de Políticas de Desarrollo Urbano y Territorial</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Subdirección de Asistencia Técnica y Operaciones Urbanas Integrales</w:t>
      </w:r>
    </w:p>
    <w:p w:rsidR="002F2F32" w:rsidRPr="00B07BAA" w:rsidRDefault="002F2F32" w:rsidP="002F2F32">
      <w:pPr>
        <w:spacing w:after="0" w:line="240" w:lineRule="auto"/>
        <w:rPr>
          <w:rFonts w:eastAsia="Times New Roman"/>
          <w:sz w:val="22"/>
        </w:rPr>
      </w:pPr>
    </w:p>
    <w:p w:rsidR="002F2F32" w:rsidRPr="00B07BAA" w:rsidRDefault="00AB5AEE" w:rsidP="002F2F32">
      <w:pPr>
        <w:spacing w:after="0" w:line="240" w:lineRule="auto"/>
        <w:rPr>
          <w:rFonts w:eastAsia="Times New Roman"/>
          <w:b/>
          <w:sz w:val="22"/>
        </w:rPr>
      </w:pPr>
      <w:r w:rsidRPr="00B07BAA">
        <w:rPr>
          <w:rFonts w:eastAsia="Times New Roman"/>
          <w:b/>
          <w:sz w:val="22"/>
        </w:rPr>
        <w:t>VICEMINISTERIO DE AGUA Y SANEAMIENTO BÁSICO</w:t>
      </w:r>
    </w:p>
    <w:p w:rsidR="002F2F32" w:rsidRPr="00B07BAA" w:rsidRDefault="002F2F32" w:rsidP="002F2F32">
      <w:pPr>
        <w:spacing w:after="0" w:line="240" w:lineRule="auto"/>
        <w:rPr>
          <w:rFonts w:eastAsia="Times New Roman"/>
          <w:sz w:val="22"/>
        </w:rPr>
      </w:pPr>
    </w:p>
    <w:p w:rsidR="002F2F32" w:rsidRPr="00B07BAA" w:rsidRDefault="002F2F32" w:rsidP="00CB3865">
      <w:pPr>
        <w:pStyle w:val="Prrafodelista"/>
        <w:numPr>
          <w:ilvl w:val="0"/>
          <w:numId w:val="2"/>
        </w:numPr>
        <w:spacing w:after="0" w:line="240" w:lineRule="auto"/>
        <w:rPr>
          <w:rFonts w:eastAsia="Times New Roman"/>
          <w:i/>
          <w:sz w:val="22"/>
        </w:rPr>
      </w:pPr>
      <w:r w:rsidRPr="00B07BAA">
        <w:rPr>
          <w:rFonts w:eastAsia="Times New Roman"/>
          <w:i/>
          <w:sz w:val="22"/>
        </w:rPr>
        <w:t>Dirección de Desarrollo Sectorial</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Grupo de Política Sectorial</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Grupo de Monitoreo del Sistema General de Participaciones de Agua Potable y Saneamiento Básico</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Grupo de Desarrollo Sostenible</w:t>
      </w:r>
    </w:p>
    <w:p w:rsidR="002F2F32" w:rsidRPr="00B07BAA" w:rsidRDefault="002F2F32" w:rsidP="00CB3865">
      <w:pPr>
        <w:pStyle w:val="Prrafodelista"/>
        <w:numPr>
          <w:ilvl w:val="0"/>
          <w:numId w:val="2"/>
        </w:numPr>
        <w:spacing w:after="0" w:line="240" w:lineRule="auto"/>
        <w:rPr>
          <w:rFonts w:eastAsia="Times New Roman"/>
          <w:i/>
          <w:sz w:val="22"/>
        </w:rPr>
      </w:pPr>
      <w:r w:rsidRPr="00B07BAA">
        <w:rPr>
          <w:rFonts w:eastAsia="Times New Roman"/>
          <w:i/>
          <w:sz w:val="22"/>
        </w:rPr>
        <w:t>Dirección de Programas</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Subdirección de Proyectos</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Grupo de Evaluación de Proyectos</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Subdirección de Gestión Empresarial</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Subdirección de Estructuración de Programas</w:t>
      </w:r>
    </w:p>
    <w:p w:rsidR="007D18EB" w:rsidRPr="00B07BAA" w:rsidRDefault="00347591" w:rsidP="00A91B3A">
      <w:pPr>
        <w:pStyle w:val="Ttulo1"/>
        <w:rPr>
          <w:sz w:val="22"/>
          <w:szCs w:val="22"/>
        </w:rPr>
      </w:pPr>
      <w:bookmarkStart w:id="2" w:name="_Toc496861727"/>
      <w:r w:rsidRPr="00B07BAA">
        <w:rPr>
          <w:noProof/>
          <w:sz w:val="22"/>
          <w:lang w:eastAsia="es-CO"/>
        </w:rPr>
        <w:drawing>
          <wp:anchor distT="0" distB="0" distL="114300" distR="114300" simplePos="0" relativeHeight="251802624" behindDoc="1" locked="0" layoutInCell="0" allowOverlap="1" wp14:anchorId="54BD71FE" wp14:editId="02CAF58B">
            <wp:simplePos x="0" y="0"/>
            <wp:positionH relativeFrom="page">
              <wp:posOffset>1088390</wp:posOffset>
            </wp:positionH>
            <wp:positionV relativeFrom="page">
              <wp:posOffset>4232910</wp:posOffset>
            </wp:positionV>
            <wp:extent cx="735330" cy="1658620"/>
            <wp:effectExtent l="0" t="0" r="7620" b="0"/>
            <wp:wrapSquare wrapText="bothSides"/>
            <wp:docPr id="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l="13098" t="23223" r="80398" b="65536"/>
                    <a:stretch/>
                  </pic:blipFill>
                  <pic:spPr bwMode="auto">
                    <a:xfrm>
                      <a:off x="0" y="0"/>
                      <a:ext cx="735330" cy="1658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315" w:rsidRPr="00B07BAA">
        <w:rPr>
          <w:sz w:val="22"/>
          <w:szCs w:val="22"/>
        </w:rPr>
        <w:t>SEGUIMIENTO AL PLAN DE ACCIÓN</w:t>
      </w:r>
      <w:bookmarkEnd w:id="2"/>
    </w:p>
    <w:p w:rsidR="007D18EB" w:rsidRPr="00B07BAA" w:rsidRDefault="007D18EB" w:rsidP="007D18EB">
      <w:pPr>
        <w:spacing w:line="326" w:lineRule="exact"/>
        <w:rPr>
          <w:rFonts w:ascii="Times New Roman" w:eastAsia="Times New Roman" w:hAnsi="Times New Roman"/>
          <w:sz w:val="22"/>
        </w:rPr>
      </w:pPr>
    </w:p>
    <w:p w:rsidR="007D18EB" w:rsidRPr="00B07BAA" w:rsidRDefault="007D18EB" w:rsidP="00873A63">
      <w:pPr>
        <w:spacing w:after="0" w:line="240" w:lineRule="auto"/>
        <w:rPr>
          <w:rFonts w:eastAsia="Times New Roman"/>
          <w:sz w:val="22"/>
        </w:rPr>
      </w:pPr>
      <w:r w:rsidRPr="00B07BAA">
        <w:rPr>
          <w:rFonts w:eastAsia="Times New Roman"/>
          <w:sz w:val="22"/>
        </w:rPr>
        <w:t>El Plan de Acción 201</w:t>
      </w:r>
      <w:r w:rsidR="00873A63" w:rsidRPr="00B07BAA">
        <w:rPr>
          <w:rFonts w:eastAsia="Times New Roman"/>
          <w:sz w:val="22"/>
        </w:rPr>
        <w:t>7</w:t>
      </w:r>
      <w:r w:rsidRPr="00B07BAA">
        <w:rPr>
          <w:rFonts w:eastAsia="Times New Roman"/>
          <w:sz w:val="22"/>
        </w:rPr>
        <w:t xml:space="preserve"> </w:t>
      </w:r>
      <w:r w:rsidR="00A25315" w:rsidRPr="00B07BAA">
        <w:rPr>
          <w:rFonts w:eastAsia="Times New Roman"/>
          <w:sz w:val="22"/>
        </w:rPr>
        <w:t xml:space="preserve">del Ministerio de Vivienda, Ciudad y Territorio </w:t>
      </w:r>
      <w:r w:rsidRPr="00B07BAA">
        <w:rPr>
          <w:rFonts w:eastAsia="Times New Roman"/>
          <w:sz w:val="22"/>
        </w:rPr>
        <w:t>es una herramienta del Proceso de Direccionamiento Estratégico</w:t>
      </w:r>
      <w:r w:rsidR="00A25315" w:rsidRPr="00B07BAA">
        <w:rPr>
          <w:rFonts w:eastAsia="Times New Roman"/>
          <w:sz w:val="22"/>
        </w:rPr>
        <w:t xml:space="preserve">, que </w:t>
      </w:r>
      <w:r w:rsidRPr="00B07BAA">
        <w:rPr>
          <w:rFonts w:eastAsia="Times New Roman"/>
          <w:sz w:val="22"/>
        </w:rPr>
        <w:t xml:space="preserve"> permite evaluar </w:t>
      </w:r>
      <w:r w:rsidR="001B5C19" w:rsidRPr="00B07BAA">
        <w:rPr>
          <w:rFonts w:eastAsia="Times New Roman"/>
          <w:sz w:val="22"/>
        </w:rPr>
        <w:t xml:space="preserve">la gestión de </w:t>
      </w:r>
      <w:r w:rsidRPr="00B07BAA">
        <w:rPr>
          <w:rFonts w:eastAsia="Times New Roman"/>
          <w:sz w:val="22"/>
        </w:rPr>
        <w:t xml:space="preserve"> la entidad, confrontando de manera periódica sus </w:t>
      </w:r>
      <w:r w:rsidR="00B40D9B" w:rsidRPr="00B07BAA">
        <w:rPr>
          <w:rFonts w:eastAsia="Times New Roman"/>
          <w:sz w:val="22"/>
        </w:rPr>
        <w:t xml:space="preserve">avances, midiendo </w:t>
      </w:r>
      <w:r w:rsidRPr="00B07BAA">
        <w:rPr>
          <w:rFonts w:eastAsia="Times New Roman"/>
          <w:sz w:val="22"/>
        </w:rPr>
        <w:t>l</w:t>
      </w:r>
      <w:r w:rsidR="001B5C19" w:rsidRPr="00B07BAA">
        <w:rPr>
          <w:rFonts w:eastAsia="Times New Roman"/>
          <w:sz w:val="22"/>
        </w:rPr>
        <w:t>o</w:t>
      </w:r>
      <w:r w:rsidRPr="00B07BAA">
        <w:rPr>
          <w:rFonts w:eastAsia="Times New Roman"/>
          <w:sz w:val="22"/>
        </w:rPr>
        <w:t>s</w:t>
      </w:r>
      <w:r w:rsidR="001B5C19" w:rsidRPr="00B07BAA">
        <w:rPr>
          <w:rFonts w:eastAsia="Times New Roman"/>
          <w:sz w:val="22"/>
        </w:rPr>
        <w:t xml:space="preserve"> </w:t>
      </w:r>
      <w:r w:rsidR="00873A63" w:rsidRPr="00B07BAA">
        <w:rPr>
          <w:rFonts w:eastAsia="Times New Roman"/>
          <w:sz w:val="22"/>
        </w:rPr>
        <w:t>indicadores e iniciativas estratégicas es</w:t>
      </w:r>
      <w:r w:rsidRPr="00B07BAA">
        <w:rPr>
          <w:rFonts w:eastAsia="Times New Roman"/>
          <w:sz w:val="22"/>
        </w:rPr>
        <w:t xml:space="preserve">tablecidas </w:t>
      </w:r>
      <w:r w:rsidR="00B40D9B" w:rsidRPr="00B07BAA">
        <w:rPr>
          <w:rFonts w:eastAsia="Times New Roman"/>
          <w:sz w:val="22"/>
        </w:rPr>
        <w:t>para la vigencia</w:t>
      </w:r>
      <w:r w:rsidR="001B5C19" w:rsidRPr="00B07BAA">
        <w:rPr>
          <w:rFonts w:eastAsia="Times New Roman"/>
          <w:sz w:val="22"/>
        </w:rPr>
        <w:t>.</w:t>
      </w:r>
    </w:p>
    <w:p w:rsidR="00873A63" w:rsidRPr="00B07BAA" w:rsidRDefault="00873A63" w:rsidP="00873A63">
      <w:pPr>
        <w:spacing w:after="0" w:line="240" w:lineRule="auto"/>
        <w:rPr>
          <w:rFonts w:eastAsia="Times New Roman"/>
          <w:sz w:val="22"/>
        </w:rPr>
      </w:pPr>
    </w:p>
    <w:p w:rsidR="00873A63" w:rsidRPr="00B07BAA" w:rsidRDefault="00B40D9B" w:rsidP="00873A63">
      <w:pPr>
        <w:spacing w:after="0" w:line="240" w:lineRule="auto"/>
        <w:rPr>
          <w:rFonts w:eastAsia="Times New Roman"/>
          <w:sz w:val="22"/>
        </w:rPr>
      </w:pPr>
      <w:r w:rsidRPr="00B07BAA">
        <w:rPr>
          <w:rFonts w:eastAsia="Times New Roman"/>
          <w:sz w:val="22"/>
        </w:rPr>
        <w:t>A continuación se</w:t>
      </w:r>
      <w:r w:rsidR="00873A63" w:rsidRPr="00B07BAA">
        <w:rPr>
          <w:rFonts w:eastAsia="Times New Roman"/>
          <w:sz w:val="22"/>
        </w:rPr>
        <w:t xml:space="preserve"> presenta el avance de</w:t>
      </w:r>
      <w:r w:rsidRPr="00B07BAA">
        <w:rPr>
          <w:rFonts w:eastAsia="Times New Roman"/>
          <w:sz w:val="22"/>
        </w:rPr>
        <w:t>l</w:t>
      </w:r>
      <w:r w:rsidR="00873A63" w:rsidRPr="00B07BAA">
        <w:rPr>
          <w:rFonts w:eastAsia="Times New Roman"/>
          <w:sz w:val="22"/>
        </w:rPr>
        <w:t xml:space="preserve"> Plan de Acción con </w:t>
      </w:r>
      <w:r w:rsidR="00873A63" w:rsidRPr="008A3BCC">
        <w:rPr>
          <w:rFonts w:eastAsia="Times New Roman"/>
          <w:sz w:val="22"/>
        </w:rPr>
        <w:t xml:space="preserve">corte </w:t>
      </w:r>
      <w:r w:rsidR="008A3BCC" w:rsidRPr="008A3BCC">
        <w:rPr>
          <w:rFonts w:eastAsia="Times New Roman"/>
          <w:sz w:val="22"/>
        </w:rPr>
        <w:t xml:space="preserve">a 30 de septiembre </w:t>
      </w:r>
      <w:r w:rsidR="00873A63" w:rsidRPr="008A3BCC">
        <w:rPr>
          <w:rFonts w:eastAsia="Times New Roman"/>
          <w:sz w:val="22"/>
        </w:rPr>
        <w:t>de 2017 , e</w:t>
      </w:r>
      <w:r w:rsidR="00873A63" w:rsidRPr="00B07BAA">
        <w:rPr>
          <w:rFonts w:eastAsia="Times New Roman"/>
          <w:sz w:val="22"/>
        </w:rPr>
        <w:t xml:space="preserve">l cual  se encuentra articulado con las cinco (5) políticas de desarrollo administrativo, desarrolladas a través de </w:t>
      </w:r>
      <w:r w:rsidR="00E95725" w:rsidRPr="00B07BAA">
        <w:rPr>
          <w:rFonts w:eastAsia="Times New Roman"/>
          <w:sz w:val="22"/>
        </w:rPr>
        <w:t>66</w:t>
      </w:r>
      <w:r w:rsidR="00873A63" w:rsidRPr="00B07BAA">
        <w:rPr>
          <w:rFonts w:eastAsia="Times New Roman"/>
          <w:sz w:val="22"/>
        </w:rPr>
        <w:t xml:space="preserve"> indicadores y 7</w:t>
      </w:r>
      <w:r w:rsidR="0069298F" w:rsidRPr="00B07BAA">
        <w:rPr>
          <w:rFonts w:eastAsia="Times New Roman"/>
          <w:sz w:val="22"/>
        </w:rPr>
        <w:t>5</w:t>
      </w:r>
      <w:r w:rsidR="00873A63" w:rsidRPr="00B07BAA">
        <w:rPr>
          <w:rFonts w:eastAsia="Times New Roman"/>
          <w:sz w:val="22"/>
        </w:rPr>
        <w:t xml:space="preserve"> iniciativas estratégicas, las cuales tuvieron un cumplimiento </w:t>
      </w:r>
      <w:r w:rsidR="00873A63" w:rsidRPr="00543148">
        <w:rPr>
          <w:rFonts w:eastAsia="Times New Roman"/>
          <w:sz w:val="22"/>
        </w:rPr>
        <w:t xml:space="preserve">consolidado del </w:t>
      </w:r>
      <w:r w:rsidR="00D94EF2" w:rsidRPr="00543148">
        <w:rPr>
          <w:rFonts w:eastAsia="Times New Roman"/>
          <w:sz w:val="22"/>
        </w:rPr>
        <w:t>66.25</w:t>
      </w:r>
      <w:r w:rsidR="00873A63" w:rsidRPr="00543148">
        <w:rPr>
          <w:rFonts w:eastAsia="Times New Roman"/>
          <w:sz w:val="22"/>
        </w:rPr>
        <w:t>%.</w:t>
      </w:r>
    </w:p>
    <w:p w:rsidR="00873A63" w:rsidRPr="00B07BAA" w:rsidRDefault="00873A63" w:rsidP="00873A63">
      <w:pPr>
        <w:spacing w:after="0" w:line="240" w:lineRule="auto"/>
        <w:rPr>
          <w:rFonts w:eastAsia="Times New Roman"/>
          <w:sz w:val="22"/>
        </w:rPr>
      </w:pPr>
    </w:p>
    <w:p w:rsidR="00873A63" w:rsidRPr="00B07BAA" w:rsidRDefault="00873A63" w:rsidP="00873A63">
      <w:pPr>
        <w:spacing w:after="0" w:line="240" w:lineRule="auto"/>
        <w:rPr>
          <w:rFonts w:eastAsia="Times New Roman"/>
          <w:sz w:val="22"/>
        </w:rPr>
      </w:pPr>
      <w:r w:rsidRPr="00B07BAA">
        <w:rPr>
          <w:rFonts w:eastAsia="Times New Roman"/>
          <w:sz w:val="22"/>
        </w:rPr>
        <w:t>Para el seguimiento del Plan de Acción se fijó el siguiente semáforo:</w:t>
      </w:r>
    </w:p>
    <w:p w:rsidR="00873A63" w:rsidRPr="00B07BAA" w:rsidRDefault="00873A63" w:rsidP="00873A63">
      <w:pPr>
        <w:spacing w:after="0" w:line="240" w:lineRule="auto"/>
        <w:rPr>
          <w:noProof/>
          <w:sz w:val="22"/>
          <w:lang w:eastAsia="es-CO"/>
        </w:rPr>
      </w:pPr>
    </w:p>
    <w:p w:rsidR="00DC4857" w:rsidRPr="00B07BAA" w:rsidRDefault="00DC4857" w:rsidP="004F463E">
      <w:pPr>
        <w:spacing w:after="0" w:line="240" w:lineRule="auto"/>
        <w:rPr>
          <w:rFonts w:eastAsia="Arial Narrow"/>
          <w:sz w:val="22"/>
        </w:rPr>
      </w:pPr>
      <w:r w:rsidRPr="00B07BAA">
        <w:rPr>
          <w:rFonts w:eastAsia="Arial Narrow"/>
          <w:b/>
          <w:sz w:val="22"/>
        </w:rPr>
        <w:t xml:space="preserve">Rojo: </w:t>
      </w:r>
      <w:r w:rsidRPr="00B07BAA">
        <w:rPr>
          <w:rFonts w:eastAsia="Arial Narrow"/>
          <w:sz w:val="22"/>
        </w:rPr>
        <w:t xml:space="preserve">Corresponde a </w:t>
      </w:r>
      <w:r w:rsidR="00EC4867" w:rsidRPr="00B07BAA">
        <w:rPr>
          <w:rFonts w:eastAsia="Arial Narrow"/>
          <w:sz w:val="22"/>
        </w:rPr>
        <w:t xml:space="preserve">las </w:t>
      </w:r>
      <w:r w:rsidRPr="00B07BAA">
        <w:rPr>
          <w:rFonts w:eastAsia="Arial Narrow"/>
          <w:sz w:val="22"/>
        </w:rPr>
        <w:t>in</w:t>
      </w:r>
      <w:r w:rsidR="00EC4867" w:rsidRPr="00B07BAA">
        <w:rPr>
          <w:rFonts w:eastAsia="Arial Narrow"/>
          <w:sz w:val="22"/>
        </w:rPr>
        <w:t xml:space="preserve">iciativas estratégicas </w:t>
      </w:r>
      <w:r w:rsidRPr="00B07BAA">
        <w:rPr>
          <w:rFonts w:eastAsia="Arial Narrow"/>
          <w:sz w:val="22"/>
        </w:rPr>
        <w:t>con avance inferior al 79.99% con respecto a la meta</w:t>
      </w:r>
      <w:r w:rsidR="00B40D9B" w:rsidRPr="00B07BAA">
        <w:rPr>
          <w:rFonts w:eastAsia="Arial Narrow"/>
          <w:sz w:val="22"/>
        </w:rPr>
        <w:t xml:space="preserve"> establecida para la vigencia</w:t>
      </w:r>
      <w:r w:rsidR="00EC4867" w:rsidRPr="00B07BAA">
        <w:rPr>
          <w:rFonts w:eastAsia="Arial Narrow"/>
          <w:sz w:val="22"/>
        </w:rPr>
        <w:t xml:space="preserve"> y acorde con la fecha de corte correspondiente</w:t>
      </w:r>
      <w:r w:rsidR="00B40D9B" w:rsidRPr="00B07BAA">
        <w:rPr>
          <w:rFonts w:eastAsia="Arial Narrow"/>
          <w:sz w:val="22"/>
        </w:rPr>
        <w:t>.</w:t>
      </w:r>
    </w:p>
    <w:p w:rsidR="00B534B1" w:rsidRPr="00B07BAA" w:rsidRDefault="00B534B1" w:rsidP="00B534B1">
      <w:pPr>
        <w:spacing w:after="0" w:line="240" w:lineRule="auto"/>
        <w:rPr>
          <w:rFonts w:eastAsia="Arial Narrow"/>
          <w:sz w:val="22"/>
        </w:rPr>
      </w:pPr>
    </w:p>
    <w:p w:rsidR="00DC4857" w:rsidRPr="00B07BAA" w:rsidRDefault="00DC4857" w:rsidP="009415A8">
      <w:pPr>
        <w:spacing w:after="0" w:line="240" w:lineRule="auto"/>
        <w:ind w:right="100"/>
        <w:rPr>
          <w:rFonts w:eastAsia="Arial Narrow"/>
          <w:sz w:val="22"/>
        </w:rPr>
      </w:pPr>
      <w:r w:rsidRPr="00B07BAA">
        <w:rPr>
          <w:rFonts w:eastAsia="Arial Narrow"/>
          <w:b/>
          <w:sz w:val="22"/>
        </w:rPr>
        <w:t xml:space="preserve">Amarillo: </w:t>
      </w:r>
      <w:r w:rsidRPr="00B07BAA">
        <w:rPr>
          <w:rFonts w:eastAsia="Arial Narrow"/>
          <w:sz w:val="22"/>
        </w:rPr>
        <w:t xml:space="preserve">Corresponde a </w:t>
      </w:r>
      <w:r w:rsidR="00EC4867" w:rsidRPr="00B07BAA">
        <w:rPr>
          <w:rFonts w:eastAsia="Arial Narrow"/>
          <w:sz w:val="22"/>
        </w:rPr>
        <w:t xml:space="preserve">las iniciativas estratégicas </w:t>
      </w:r>
      <w:r w:rsidRPr="00B07BAA">
        <w:rPr>
          <w:rFonts w:eastAsia="Arial Narrow"/>
          <w:sz w:val="22"/>
        </w:rPr>
        <w:t>con avance entre el 80% y el 94,99% con respecto</w:t>
      </w:r>
      <w:r w:rsidRPr="00B07BAA">
        <w:rPr>
          <w:rFonts w:eastAsia="Arial Narrow"/>
          <w:b/>
          <w:sz w:val="22"/>
        </w:rPr>
        <w:t xml:space="preserve"> </w:t>
      </w:r>
      <w:r w:rsidRPr="00B07BAA">
        <w:rPr>
          <w:rFonts w:eastAsia="Arial Narrow"/>
          <w:sz w:val="22"/>
        </w:rPr>
        <w:t>a la meta</w:t>
      </w:r>
      <w:r w:rsidR="00B40D9B" w:rsidRPr="00B07BAA">
        <w:rPr>
          <w:rFonts w:eastAsia="Arial Narrow"/>
          <w:sz w:val="22"/>
        </w:rPr>
        <w:t xml:space="preserve"> establecida para la vigencia</w:t>
      </w:r>
      <w:r w:rsidR="00EC4867" w:rsidRPr="00B07BAA">
        <w:rPr>
          <w:rFonts w:eastAsia="Arial Narrow"/>
          <w:sz w:val="22"/>
        </w:rPr>
        <w:t xml:space="preserve"> y acorde con la fecha de corte correspondiente.</w:t>
      </w:r>
    </w:p>
    <w:p w:rsidR="00B534B1" w:rsidRPr="00B07BAA" w:rsidRDefault="00B534B1" w:rsidP="009415A8">
      <w:pPr>
        <w:spacing w:after="0" w:line="240" w:lineRule="auto"/>
        <w:ind w:right="100"/>
        <w:rPr>
          <w:rFonts w:eastAsia="Arial Narrow"/>
          <w:sz w:val="22"/>
        </w:rPr>
      </w:pPr>
    </w:p>
    <w:p w:rsidR="00DC4857" w:rsidRPr="00B07BAA" w:rsidRDefault="00DC4857" w:rsidP="009415A8">
      <w:pPr>
        <w:spacing w:after="0" w:line="240" w:lineRule="auto"/>
        <w:rPr>
          <w:rFonts w:eastAsia="Arial Narrow"/>
          <w:sz w:val="22"/>
        </w:rPr>
      </w:pPr>
      <w:r w:rsidRPr="00B07BAA">
        <w:rPr>
          <w:rFonts w:eastAsia="Arial Narrow"/>
          <w:b/>
          <w:sz w:val="22"/>
        </w:rPr>
        <w:t xml:space="preserve">Verde: </w:t>
      </w:r>
      <w:r w:rsidRPr="00B07BAA">
        <w:rPr>
          <w:rFonts w:eastAsia="Arial Narrow"/>
          <w:sz w:val="22"/>
        </w:rPr>
        <w:t xml:space="preserve">Corresponde a </w:t>
      </w:r>
      <w:r w:rsidR="00EC4867" w:rsidRPr="00B07BAA">
        <w:rPr>
          <w:rFonts w:eastAsia="Arial Narrow"/>
          <w:sz w:val="22"/>
        </w:rPr>
        <w:t xml:space="preserve">las iniciativas estratégicas </w:t>
      </w:r>
      <w:r w:rsidRPr="00B07BAA">
        <w:rPr>
          <w:rFonts w:eastAsia="Arial Narrow"/>
          <w:sz w:val="22"/>
        </w:rPr>
        <w:t>con avance superior al 95% con respecto a la meta</w:t>
      </w:r>
      <w:r w:rsidR="00B40D9B" w:rsidRPr="00B07BAA">
        <w:rPr>
          <w:rFonts w:eastAsia="Arial Narrow"/>
          <w:sz w:val="22"/>
        </w:rPr>
        <w:t xml:space="preserve"> establecida para la vigencia</w:t>
      </w:r>
      <w:r w:rsidR="00EC4867" w:rsidRPr="00B07BAA">
        <w:rPr>
          <w:rFonts w:eastAsia="Arial Narrow"/>
          <w:sz w:val="22"/>
        </w:rPr>
        <w:t xml:space="preserve"> y acorde con la fecha de corte correspondiente.</w:t>
      </w:r>
    </w:p>
    <w:p w:rsidR="00B534B1" w:rsidRPr="00B07BAA" w:rsidRDefault="00B534B1" w:rsidP="009415A8">
      <w:pPr>
        <w:spacing w:after="0" w:line="240" w:lineRule="auto"/>
        <w:rPr>
          <w:rFonts w:eastAsia="Arial Narrow"/>
          <w:sz w:val="22"/>
        </w:rPr>
      </w:pPr>
    </w:p>
    <w:p w:rsidR="00DC4857" w:rsidRPr="00B07BAA" w:rsidRDefault="00DC4857" w:rsidP="009415A8">
      <w:pPr>
        <w:spacing w:after="0" w:line="240" w:lineRule="auto"/>
        <w:rPr>
          <w:rFonts w:eastAsia="Arial Narrow"/>
          <w:sz w:val="22"/>
        </w:rPr>
      </w:pPr>
      <w:r w:rsidRPr="00B07BAA">
        <w:rPr>
          <w:rFonts w:eastAsia="Times New Roman"/>
          <w:sz w:val="22"/>
        </w:rPr>
        <w:t xml:space="preserve">El MVCT utiliza un aplicativo llamado </w:t>
      </w:r>
      <w:r w:rsidR="006E6931">
        <w:rPr>
          <w:rFonts w:eastAsia="Times New Roman"/>
          <w:sz w:val="22"/>
        </w:rPr>
        <w:t>SINAPSIS</w:t>
      </w:r>
      <w:r w:rsidRPr="00B07BAA">
        <w:rPr>
          <w:rFonts w:eastAsia="Times New Roman"/>
          <w:sz w:val="22"/>
        </w:rPr>
        <w:t>, donde cada responsable registra los avances</w:t>
      </w:r>
      <w:r w:rsidR="00EC4867" w:rsidRPr="00B07BAA">
        <w:rPr>
          <w:rFonts w:eastAsia="Times New Roman"/>
          <w:sz w:val="22"/>
        </w:rPr>
        <w:t xml:space="preserve"> y aporta </w:t>
      </w:r>
      <w:r w:rsidRPr="00B07BAA">
        <w:rPr>
          <w:rFonts w:eastAsia="Times New Roman"/>
          <w:sz w:val="22"/>
        </w:rPr>
        <w:t xml:space="preserve">las evidencias que lo soportan. El </w:t>
      </w:r>
      <w:r w:rsidRPr="00B07BAA">
        <w:rPr>
          <w:rFonts w:eastAsia="Arial Narrow"/>
          <w:sz w:val="22"/>
        </w:rPr>
        <w:t>análisis del comportamiento de</w:t>
      </w:r>
      <w:r w:rsidR="00EC4867" w:rsidRPr="00B07BAA">
        <w:rPr>
          <w:rFonts w:eastAsia="Arial Narrow"/>
          <w:sz w:val="22"/>
        </w:rPr>
        <w:t xml:space="preserve"> </w:t>
      </w:r>
      <w:r w:rsidRPr="00B07BAA">
        <w:rPr>
          <w:rFonts w:eastAsia="Arial Narrow"/>
          <w:sz w:val="22"/>
        </w:rPr>
        <w:t>l</w:t>
      </w:r>
      <w:r w:rsidR="00EC4867" w:rsidRPr="00B07BAA">
        <w:rPr>
          <w:rFonts w:eastAsia="Arial Narrow"/>
          <w:sz w:val="22"/>
        </w:rPr>
        <w:t xml:space="preserve">a iniciativa estratégica </w:t>
      </w:r>
      <w:r w:rsidRPr="00B07BAA">
        <w:rPr>
          <w:rFonts w:eastAsia="Arial Narrow"/>
          <w:sz w:val="22"/>
        </w:rPr>
        <w:t xml:space="preserve">se realiza teniendo en cuenta el cronograma de ejecución entregado por cada una de las áreas responsables.   </w:t>
      </w:r>
    </w:p>
    <w:p w:rsidR="00DC4857" w:rsidRPr="00B07BAA" w:rsidRDefault="00DC4857" w:rsidP="009415A8">
      <w:pPr>
        <w:tabs>
          <w:tab w:val="left" w:pos="9498"/>
        </w:tabs>
        <w:spacing w:after="0" w:line="240" w:lineRule="auto"/>
        <w:ind w:right="62"/>
        <w:rPr>
          <w:rFonts w:eastAsia="Arial Narrow"/>
          <w:sz w:val="22"/>
        </w:rPr>
      </w:pPr>
    </w:p>
    <w:p w:rsidR="00E95725" w:rsidRPr="00B07BAA" w:rsidRDefault="00E95725" w:rsidP="00E95725">
      <w:pPr>
        <w:tabs>
          <w:tab w:val="left" w:pos="9498"/>
        </w:tabs>
        <w:spacing w:after="0" w:line="240" w:lineRule="auto"/>
        <w:ind w:right="62"/>
        <w:rPr>
          <w:rFonts w:eastAsia="Arial Narrow"/>
          <w:sz w:val="22"/>
        </w:rPr>
      </w:pPr>
      <w:r w:rsidRPr="00F35721">
        <w:rPr>
          <w:rFonts w:eastAsia="Arial Narrow"/>
          <w:sz w:val="22"/>
        </w:rPr>
        <w:t xml:space="preserve">A La fecha, la Entidad presenta un cumplimiento en iniciativas estratégicas del </w:t>
      </w:r>
      <w:r w:rsidR="00E30206">
        <w:rPr>
          <w:rFonts w:eastAsia="Times New Roman"/>
          <w:sz w:val="22"/>
        </w:rPr>
        <w:t>82.75</w:t>
      </w:r>
      <w:r w:rsidRPr="00F35721">
        <w:rPr>
          <w:rFonts w:eastAsia="Times New Roman"/>
          <w:sz w:val="22"/>
        </w:rPr>
        <w:t xml:space="preserve">%, </w:t>
      </w:r>
      <w:r w:rsidRPr="00F35721">
        <w:rPr>
          <w:rFonts w:eastAsia="Arial Narrow"/>
          <w:sz w:val="22"/>
        </w:rPr>
        <w:t xml:space="preserve">lo que la califica con luz verde dentro del semáforo establecido, dado su avance frente a la ejecución programada a la fecha </w:t>
      </w:r>
      <w:r w:rsidR="00F71D5E" w:rsidRPr="00F35721">
        <w:rPr>
          <w:rFonts w:eastAsia="Arial Narrow"/>
          <w:sz w:val="22"/>
        </w:rPr>
        <w:t>(</w:t>
      </w:r>
      <w:r w:rsidR="00F35721" w:rsidRPr="00F35721">
        <w:rPr>
          <w:rFonts w:eastAsia="Arial Narrow"/>
          <w:sz w:val="22"/>
        </w:rPr>
        <w:t>7</w:t>
      </w:r>
      <w:r w:rsidR="00C23F28">
        <w:rPr>
          <w:rFonts w:eastAsia="Arial Narrow"/>
          <w:sz w:val="22"/>
        </w:rPr>
        <w:t>9.45</w:t>
      </w:r>
      <w:r w:rsidRPr="00F35721">
        <w:rPr>
          <w:rFonts w:eastAsia="Arial Narrow"/>
          <w:sz w:val="22"/>
        </w:rPr>
        <w:t>%)</w:t>
      </w:r>
      <w:r w:rsidR="006E6931">
        <w:rPr>
          <w:rFonts w:eastAsia="Arial Narrow"/>
          <w:sz w:val="22"/>
        </w:rPr>
        <w:t>.</w:t>
      </w:r>
    </w:p>
    <w:p w:rsidR="00E95725" w:rsidRPr="00B07BAA" w:rsidRDefault="00E95725" w:rsidP="00E95725">
      <w:pPr>
        <w:tabs>
          <w:tab w:val="left" w:pos="9498"/>
        </w:tabs>
        <w:spacing w:after="0" w:line="240" w:lineRule="auto"/>
        <w:ind w:right="62"/>
        <w:rPr>
          <w:rFonts w:eastAsia="Arial Narrow"/>
          <w:sz w:val="22"/>
        </w:rPr>
      </w:pPr>
    </w:p>
    <w:p w:rsidR="00E95725" w:rsidRPr="00B07BAA" w:rsidRDefault="00E95725" w:rsidP="00E95725">
      <w:pPr>
        <w:tabs>
          <w:tab w:val="left" w:pos="9498"/>
        </w:tabs>
        <w:spacing w:after="0" w:line="240" w:lineRule="auto"/>
        <w:ind w:right="62"/>
        <w:rPr>
          <w:rFonts w:eastAsia="Arial Narrow"/>
          <w:sz w:val="22"/>
        </w:rPr>
      </w:pPr>
      <w:r w:rsidRPr="00B07BAA">
        <w:rPr>
          <w:rFonts w:eastAsia="Arial Narrow"/>
          <w:sz w:val="22"/>
        </w:rPr>
        <w:t>Es importante aclarar que en el plan de acción se incluyen iniciativas estratégicas relacionadas con metas que son competencia de la Entidad y hacen parte del Sistema Nacional de Evaluaci</w:t>
      </w:r>
      <w:r w:rsidR="006E6931">
        <w:rPr>
          <w:rFonts w:eastAsia="Arial Narrow"/>
          <w:sz w:val="22"/>
        </w:rPr>
        <w:t>ó</w:t>
      </w:r>
      <w:r w:rsidRPr="00B07BAA">
        <w:rPr>
          <w:rFonts w:eastAsia="Arial Narrow"/>
          <w:sz w:val="22"/>
        </w:rPr>
        <w:t>n de Gestión y Resultados – S</w:t>
      </w:r>
      <w:r w:rsidR="006E6931">
        <w:rPr>
          <w:rFonts w:eastAsia="Arial Narrow"/>
          <w:sz w:val="22"/>
        </w:rPr>
        <w:t>INERGIA</w:t>
      </w:r>
      <w:r w:rsidRPr="00B07BAA">
        <w:rPr>
          <w:rFonts w:eastAsia="Arial Narrow"/>
          <w:sz w:val="22"/>
        </w:rPr>
        <w:t>, las cuales en algunos casos se presentan con un retraso en su medición. Por lo anterior, para realizar el presente análisis, se tomó en cuenta que hay iniciativas con metas establecidas para el 2017 que no pueden ser medidas en la presente vigencia</w:t>
      </w:r>
      <w:r w:rsidR="00044C69" w:rsidRPr="00B07BAA">
        <w:rPr>
          <w:rFonts w:eastAsia="Arial Narrow"/>
          <w:sz w:val="22"/>
        </w:rPr>
        <w:t xml:space="preserve"> de acuerdo a la hoja de vida de los indicadores aprobados por el DNP</w:t>
      </w:r>
      <w:r w:rsidRPr="00B07BAA">
        <w:rPr>
          <w:rFonts w:eastAsia="Arial Narrow"/>
          <w:sz w:val="22"/>
        </w:rPr>
        <w:t xml:space="preserve">, por lo tanto, para estos casos se valoraron únicamente los indicadores que miden la gestión realizada y reportada por las áreas misionales del ministerio. </w:t>
      </w:r>
    </w:p>
    <w:p w:rsidR="00E95725" w:rsidRPr="00B07BAA" w:rsidRDefault="00E95725" w:rsidP="009415A8">
      <w:pPr>
        <w:spacing w:after="0" w:line="240" w:lineRule="auto"/>
        <w:rPr>
          <w:rFonts w:eastAsia="Times New Roman"/>
          <w:sz w:val="22"/>
        </w:rPr>
      </w:pPr>
    </w:p>
    <w:p w:rsidR="00395E77" w:rsidRPr="00B07BAA" w:rsidRDefault="00DC4857" w:rsidP="009415A8">
      <w:pPr>
        <w:spacing w:after="0" w:line="240" w:lineRule="auto"/>
        <w:rPr>
          <w:rFonts w:eastAsia="Times New Roman"/>
          <w:sz w:val="22"/>
        </w:rPr>
      </w:pPr>
      <w:r w:rsidRPr="00B07BAA">
        <w:rPr>
          <w:rFonts w:eastAsia="Times New Roman"/>
          <w:sz w:val="22"/>
        </w:rPr>
        <w:t xml:space="preserve">A continuación se </w:t>
      </w:r>
      <w:r w:rsidR="00EC4867" w:rsidRPr="00B07BAA">
        <w:rPr>
          <w:rFonts w:eastAsia="Times New Roman"/>
          <w:sz w:val="22"/>
        </w:rPr>
        <w:t>presenta</w:t>
      </w:r>
      <w:r w:rsidRPr="00B07BAA">
        <w:rPr>
          <w:rFonts w:eastAsia="Times New Roman"/>
          <w:sz w:val="22"/>
        </w:rPr>
        <w:t xml:space="preserve"> el cumplimiento de cada una de las áreas frente a los compromisos fijados en el Plan de Acción </w:t>
      </w:r>
      <w:r w:rsidR="00D467DB" w:rsidRPr="00B07BAA">
        <w:rPr>
          <w:rFonts w:eastAsia="Times New Roman"/>
          <w:sz w:val="22"/>
        </w:rPr>
        <w:t xml:space="preserve">con corte a 30 de </w:t>
      </w:r>
      <w:r w:rsidR="003819DA">
        <w:rPr>
          <w:rFonts w:eastAsia="Times New Roman"/>
          <w:sz w:val="22"/>
        </w:rPr>
        <w:t>septiembre</w:t>
      </w:r>
      <w:r w:rsidR="00D467DB" w:rsidRPr="00B07BAA">
        <w:rPr>
          <w:rFonts w:eastAsia="Times New Roman"/>
          <w:sz w:val="22"/>
        </w:rPr>
        <w:t xml:space="preserve"> </w:t>
      </w:r>
      <w:r w:rsidRPr="00B07BAA">
        <w:rPr>
          <w:rFonts w:eastAsia="Times New Roman"/>
          <w:sz w:val="22"/>
        </w:rPr>
        <w:t>201</w:t>
      </w:r>
      <w:r w:rsidR="00D467DB" w:rsidRPr="00B07BAA">
        <w:rPr>
          <w:rFonts w:eastAsia="Times New Roman"/>
          <w:sz w:val="22"/>
        </w:rPr>
        <w:t>7</w:t>
      </w:r>
      <w:r w:rsidR="003E78EB" w:rsidRPr="00B07BAA">
        <w:rPr>
          <w:rFonts w:eastAsia="Times New Roman"/>
          <w:sz w:val="22"/>
        </w:rPr>
        <w:t>, el cual viene acompañado de</w:t>
      </w:r>
      <w:r w:rsidR="009F6E89" w:rsidRPr="00B07BAA">
        <w:rPr>
          <w:rFonts w:eastAsia="Times New Roman"/>
          <w:sz w:val="22"/>
        </w:rPr>
        <w:t>l</w:t>
      </w:r>
      <w:r w:rsidR="003E78EB" w:rsidRPr="00B07BAA">
        <w:rPr>
          <w:rFonts w:eastAsia="Times New Roman"/>
          <w:sz w:val="22"/>
        </w:rPr>
        <w:t xml:space="preserve"> análisis cualitativo </w:t>
      </w:r>
      <w:r w:rsidR="009F6E89" w:rsidRPr="00B07BAA">
        <w:rPr>
          <w:rFonts w:eastAsia="Times New Roman"/>
          <w:sz w:val="22"/>
        </w:rPr>
        <w:t>correspondiente</w:t>
      </w:r>
      <w:r w:rsidR="003E78EB" w:rsidRPr="00B07BAA">
        <w:rPr>
          <w:rFonts w:eastAsia="Times New Roman"/>
          <w:sz w:val="22"/>
        </w:rPr>
        <w:t>:</w:t>
      </w:r>
      <w:r w:rsidRPr="00B07BAA">
        <w:rPr>
          <w:rFonts w:eastAsia="Times New Roman"/>
          <w:sz w:val="22"/>
        </w:rPr>
        <w:t xml:space="preserve"> </w:t>
      </w:r>
    </w:p>
    <w:p w:rsidR="00E328A3" w:rsidRDefault="00973AEA" w:rsidP="0058556D">
      <w:pPr>
        <w:spacing w:after="0" w:line="240" w:lineRule="auto"/>
        <w:jc w:val="center"/>
        <w:rPr>
          <w:rFonts w:eastAsia="Times New Roman"/>
          <w:szCs w:val="24"/>
        </w:rPr>
      </w:pPr>
      <w:r w:rsidRPr="00973AEA">
        <w:rPr>
          <w:rFonts w:eastAsia="Times New Roman"/>
          <w:szCs w:val="24"/>
        </w:rPr>
        <w:lastRenderedPageBreak/>
        <w:t xml:space="preserve"> </w:t>
      </w:r>
      <w:r w:rsidR="00E30206" w:rsidRPr="00E30206">
        <w:rPr>
          <w:noProof/>
          <w:bdr w:val="single" w:sz="12" w:space="0" w:color="auto"/>
          <w:lang w:eastAsia="es-CO"/>
        </w:rPr>
        <w:drawing>
          <wp:inline distT="0" distB="0" distL="0" distR="0" wp14:anchorId="13A03EE9" wp14:editId="059A3608">
            <wp:extent cx="5471599" cy="60050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3304" cy="6006886"/>
                    </a:xfrm>
                    <a:prstGeom prst="rect">
                      <a:avLst/>
                    </a:prstGeom>
                    <a:noFill/>
                    <a:ln>
                      <a:noFill/>
                    </a:ln>
                  </pic:spPr>
                </pic:pic>
              </a:graphicData>
            </a:graphic>
          </wp:inline>
        </w:drawing>
      </w:r>
    </w:p>
    <w:p w:rsidR="00070814" w:rsidRPr="002B06FC" w:rsidRDefault="0058556D" w:rsidP="00543148">
      <w:pPr>
        <w:pStyle w:val="Ttulo1"/>
        <w:spacing w:before="0" w:line="240" w:lineRule="auto"/>
        <w:jc w:val="center"/>
      </w:pPr>
      <w:bookmarkStart w:id="3" w:name="_Toc473206232"/>
      <w:bookmarkStart w:id="4" w:name="_Toc496861728"/>
      <w:r w:rsidRPr="002B06FC">
        <w:rPr>
          <w:noProof/>
          <w:lang w:eastAsia="es-CO"/>
        </w:rPr>
        <w:lastRenderedPageBreak/>
        <w:drawing>
          <wp:anchor distT="0" distB="0" distL="114300" distR="114300" simplePos="0" relativeHeight="251653632" behindDoc="0" locked="0" layoutInCell="1" allowOverlap="1" wp14:anchorId="38D739EA" wp14:editId="33D585EC">
            <wp:simplePos x="0" y="0"/>
            <wp:positionH relativeFrom="column">
              <wp:posOffset>142875</wp:posOffset>
            </wp:positionH>
            <wp:positionV relativeFrom="paragraph">
              <wp:posOffset>-367665</wp:posOffset>
            </wp:positionV>
            <wp:extent cx="829945" cy="1471930"/>
            <wp:effectExtent l="0" t="0" r="8255" b="0"/>
            <wp:wrapSquare wrapText="bothSides"/>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4">
                      <a:extLst>
                        <a:ext uri="{28A0092B-C50C-407E-A947-70E740481C1C}">
                          <a14:useLocalDpi xmlns:a14="http://schemas.microsoft.com/office/drawing/2010/main" val="0"/>
                        </a:ext>
                      </a:extLst>
                    </a:blip>
                    <a:srcRect l="69742"/>
                    <a:stretch/>
                  </pic:blipFill>
                  <pic:spPr bwMode="auto">
                    <a:xfrm>
                      <a:off x="0" y="0"/>
                      <a:ext cx="829945" cy="1471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0A3D">
        <w:t xml:space="preserve">1. </w:t>
      </w:r>
      <w:r w:rsidR="008A3BCC">
        <w:t xml:space="preserve">DESPACHO  </w:t>
      </w:r>
      <w:r w:rsidR="00070814" w:rsidRPr="002B06FC">
        <w:t>MINISTR</w:t>
      </w:r>
      <w:bookmarkEnd w:id="3"/>
      <w:r w:rsidR="003819DA">
        <w:t>O</w:t>
      </w:r>
      <w:bookmarkEnd w:id="4"/>
    </w:p>
    <w:p w:rsidR="003819DA" w:rsidRDefault="00070814" w:rsidP="00543148">
      <w:pPr>
        <w:jc w:val="center"/>
      </w:pPr>
      <w:r w:rsidRPr="002B06FC">
        <w:t xml:space="preserve">Dr. </w:t>
      </w:r>
      <w:r w:rsidR="003819DA">
        <w:t>Jaime Alberto Pumarejo</w:t>
      </w:r>
    </w:p>
    <w:tbl>
      <w:tblPr>
        <w:tblpPr w:leftFromText="141" w:rightFromText="141" w:vertAnchor="text" w:horzAnchor="page" w:tblpX="4298" w:tblpY="111"/>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83"/>
        <w:gridCol w:w="1897"/>
        <w:gridCol w:w="2687"/>
        <w:gridCol w:w="1738"/>
      </w:tblGrid>
      <w:tr w:rsidR="0058556D" w:rsidRPr="00B1123B" w:rsidTr="0058556D">
        <w:trPr>
          <w:trHeight w:val="558"/>
        </w:trPr>
        <w:tc>
          <w:tcPr>
            <w:tcW w:w="3483" w:type="dxa"/>
            <w:shd w:val="clear" w:color="auto" w:fill="993366"/>
            <w:vAlign w:val="center"/>
          </w:tcPr>
          <w:p w:rsidR="0058556D" w:rsidRPr="0069298F" w:rsidRDefault="0058556D" w:rsidP="0058556D">
            <w:pPr>
              <w:spacing w:after="0" w:line="240" w:lineRule="auto"/>
              <w:ind w:left="120"/>
              <w:jc w:val="center"/>
              <w:rPr>
                <w:rFonts w:eastAsia="Arial Narrow"/>
                <w:b/>
                <w:sz w:val="22"/>
              </w:rPr>
            </w:pPr>
            <w:r w:rsidRPr="0069298F">
              <w:rPr>
                <w:rFonts w:eastAsia="Arial Narrow"/>
                <w:b/>
                <w:color w:val="FFFFFF" w:themeColor="background1"/>
                <w:sz w:val="22"/>
              </w:rPr>
              <w:t>Avance registrado</w:t>
            </w:r>
          </w:p>
        </w:tc>
        <w:tc>
          <w:tcPr>
            <w:tcW w:w="1897" w:type="dxa"/>
            <w:shd w:val="clear" w:color="auto" w:fill="auto"/>
            <w:vAlign w:val="center"/>
          </w:tcPr>
          <w:p w:rsidR="0058556D" w:rsidRPr="0069298F" w:rsidRDefault="0058556D" w:rsidP="0058556D">
            <w:pPr>
              <w:spacing w:after="0" w:line="240" w:lineRule="auto"/>
              <w:ind w:right="20"/>
              <w:jc w:val="center"/>
              <w:rPr>
                <w:rFonts w:eastAsia="Arial Narrow"/>
                <w:b/>
                <w:sz w:val="22"/>
              </w:rPr>
            </w:pPr>
            <w:r>
              <w:rPr>
                <w:rFonts w:eastAsia="Arial Narrow"/>
                <w:b/>
                <w:sz w:val="22"/>
              </w:rPr>
              <w:t>87,60%</w:t>
            </w:r>
          </w:p>
        </w:tc>
        <w:tc>
          <w:tcPr>
            <w:tcW w:w="2687" w:type="dxa"/>
            <w:shd w:val="clear" w:color="auto" w:fill="993366"/>
          </w:tcPr>
          <w:p w:rsidR="0058556D" w:rsidRPr="0069298F" w:rsidRDefault="0058556D" w:rsidP="0058556D">
            <w:pPr>
              <w:spacing w:after="0" w:line="240" w:lineRule="auto"/>
              <w:ind w:left="120"/>
              <w:jc w:val="center"/>
              <w:rPr>
                <w:rFonts w:eastAsia="Arial Narrow"/>
                <w:b/>
                <w:color w:val="FFFFFF" w:themeColor="background1"/>
                <w:sz w:val="22"/>
              </w:rPr>
            </w:pPr>
            <w:r w:rsidRPr="0069298F">
              <w:rPr>
                <w:rFonts w:eastAsia="Arial Narrow"/>
                <w:b/>
                <w:color w:val="FFFFFF" w:themeColor="background1"/>
                <w:sz w:val="22"/>
              </w:rPr>
              <w:t>Número de Iniciativas</w:t>
            </w:r>
          </w:p>
        </w:tc>
        <w:tc>
          <w:tcPr>
            <w:tcW w:w="1738" w:type="dxa"/>
            <w:vAlign w:val="center"/>
          </w:tcPr>
          <w:p w:rsidR="0058556D" w:rsidRPr="0069298F" w:rsidRDefault="0058556D" w:rsidP="0058556D">
            <w:pPr>
              <w:spacing w:after="0" w:line="240" w:lineRule="auto"/>
              <w:ind w:right="20"/>
              <w:jc w:val="center"/>
              <w:rPr>
                <w:rFonts w:eastAsia="Arial Narrow"/>
                <w:b/>
                <w:sz w:val="22"/>
              </w:rPr>
            </w:pPr>
            <w:r w:rsidRPr="0069298F">
              <w:rPr>
                <w:rFonts w:eastAsia="Arial Narrow"/>
                <w:b/>
                <w:sz w:val="22"/>
              </w:rPr>
              <w:t>2</w:t>
            </w:r>
          </w:p>
        </w:tc>
      </w:tr>
    </w:tbl>
    <w:p w:rsidR="00182E92" w:rsidRDefault="00182E92" w:rsidP="00070814"/>
    <w:p w:rsidR="00182E92" w:rsidRPr="002B06FC" w:rsidRDefault="00182E92" w:rsidP="00070814"/>
    <w:p w:rsidR="00182E92" w:rsidRDefault="00182E92" w:rsidP="00A86DD7">
      <w:pPr>
        <w:spacing w:after="0" w:line="240" w:lineRule="auto"/>
        <w:rPr>
          <w:rFonts w:cs="FuturaStd-ExtraBold"/>
          <w:bCs/>
          <w:sz w:val="22"/>
          <w:szCs w:val="24"/>
        </w:rPr>
      </w:pPr>
    </w:p>
    <w:p w:rsidR="0078396D" w:rsidRPr="00347591" w:rsidRDefault="00F918F0" w:rsidP="00A86DD7">
      <w:pPr>
        <w:spacing w:after="0" w:line="240" w:lineRule="auto"/>
        <w:rPr>
          <w:rFonts w:cs="FuturaStd-ExtraBold"/>
          <w:bCs/>
          <w:sz w:val="22"/>
          <w:szCs w:val="20"/>
        </w:rPr>
      </w:pPr>
      <w:r w:rsidRPr="00347591">
        <w:rPr>
          <w:rFonts w:cs="FuturaStd-ExtraBold"/>
          <w:bCs/>
          <w:sz w:val="22"/>
          <w:szCs w:val="20"/>
        </w:rPr>
        <w:t>El despacho de la Ministro</w:t>
      </w:r>
      <w:r w:rsidR="00C80BAB" w:rsidRPr="00347591">
        <w:rPr>
          <w:rFonts w:cs="FuturaStd-ExtraBold"/>
          <w:bCs/>
          <w:sz w:val="22"/>
          <w:szCs w:val="20"/>
        </w:rPr>
        <w:t xml:space="preserve"> es responsable de dos (2) </w:t>
      </w:r>
      <w:r w:rsidR="00A64A6E" w:rsidRPr="00347591">
        <w:rPr>
          <w:rFonts w:cs="FuturaStd-ExtraBold"/>
          <w:bCs/>
          <w:sz w:val="22"/>
          <w:szCs w:val="20"/>
        </w:rPr>
        <w:t xml:space="preserve">Iniciativas estratégicas </w:t>
      </w:r>
      <w:r w:rsidR="00C80BAB" w:rsidRPr="00347591">
        <w:rPr>
          <w:rFonts w:cs="FuturaStd-ExtraBold"/>
          <w:bCs/>
          <w:sz w:val="22"/>
          <w:szCs w:val="20"/>
        </w:rPr>
        <w:t>sobre los cuales se realiz</w:t>
      </w:r>
      <w:r w:rsidR="00A64A6E" w:rsidRPr="00347591">
        <w:rPr>
          <w:rFonts w:cs="FuturaStd-ExtraBold"/>
          <w:bCs/>
          <w:sz w:val="22"/>
          <w:szCs w:val="20"/>
        </w:rPr>
        <w:t>a</w:t>
      </w:r>
      <w:r w:rsidR="00C80BAB" w:rsidRPr="00347591">
        <w:rPr>
          <w:rFonts w:cs="FuturaStd-ExtraBold"/>
          <w:bCs/>
          <w:sz w:val="22"/>
          <w:szCs w:val="20"/>
        </w:rPr>
        <w:t xml:space="preserve"> la siguiente gestión:  </w:t>
      </w:r>
    </w:p>
    <w:p w:rsidR="00A86DD7" w:rsidRPr="00347591" w:rsidRDefault="00A86DD7" w:rsidP="00A86DD7">
      <w:pPr>
        <w:spacing w:after="0" w:line="240" w:lineRule="auto"/>
        <w:rPr>
          <w:rFonts w:cs="FuturaStd-ExtraBold"/>
          <w:bCs/>
          <w:sz w:val="22"/>
          <w:szCs w:val="20"/>
        </w:rPr>
      </w:pPr>
    </w:p>
    <w:p w:rsidR="0069298F" w:rsidRDefault="009C4B52" w:rsidP="009C4B52">
      <w:pPr>
        <w:pStyle w:val="Prrafodelista"/>
        <w:ind w:left="0"/>
        <w:rPr>
          <w:sz w:val="22"/>
          <w:szCs w:val="20"/>
        </w:rPr>
      </w:pPr>
      <w:r w:rsidRPr="00347591">
        <w:rPr>
          <w:b/>
          <w:i/>
          <w:sz w:val="22"/>
          <w:szCs w:val="20"/>
        </w:rPr>
        <w:t xml:space="preserve">1. </w:t>
      </w:r>
      <w:r w:rsidR="0075042C" w:rsidRPr="00347591">
        <w:rPr>
          <w:b/>
          <w:i/>
          <w:sz w:val="22"/>
          <w:szCs w:val="20"/>
        </w:rPr>
        <w:t xml:space="preserve">Agenda de acercamiento del despacho: </w:t>
      </w:r>
      <w:r w:rsidR="003819DA" w:rsidRPr="00347591">
        <w:rPr>
          <w:sz w:val="22"/>
          <w:szCs w:val="20"/>
        </w:rPr>
        <w:t xml:space="preserve">Durante el periodo comprendido entre el 1 de enero al 30 de septiembre de 2017 se han realizado 163 eventos relacionados con ferias de Mi Casa Ya, entrega de viviendas gratis, visita a familias beneficiadas con obras de reconstrucción, entrega de viviendas Mi Casa Ya – Ahorradores, firma de contratos y primera piedras de viviendas gratuitas fase II, firma de convenio construcción y puesta en marcha de acueductos regionales, firma de convenio para la construcción de plantas de Tratamiento de Aguas Residuales, entrega de colegios y Centros de Desarrollo, entre otras, con el fin de realizar el seguimiento a los proyectos de vivienda, agua potable y saneamiento básico ejecutados, en ejecución y por ejecutar en el territorio nacional. </w:t>
      </w:r>
      <w:r w:rsidR="008410CE" w:rsidRPr="00347591">
        <w:rPr>
          <w:sz w:val="22"/>
          <w:szCs w:val="20"/>
        </w:rPr>
        <w:t xml:space="preserve">Actualmente la iniciativa presenta un avance del 80.20% de la meta programada para toda la vigencia 2017, teniendo en cuenta </w:t>
      </w:r>
      <w:r w:rsidR="00347591" w:rsidRPr="00347591">
        <w:rPr>
          <w:sz w:val="22"/>
          <w:szCs w:val="20"/>
        </w:rPr>
        <w:t>que la meta para el año 2017 en</w:t>
      </w:r>
      <w:r w:rsidR="008410CE" w:rsidRPr="00347591">
        <w:rPr>
          <w:sz w:val="22"/>
          <w:szCs w:val="20"/>
        </w:rPr>
        <w:t xml:space="preserve"> garantizar la participación del Ministro a 200 eventos relacionados con  Agua y Saneamiento Básico, Vivienda y Desarrollo Territorial</w:t>
      </w:r>
      <w:r w:rsidR="00347591">
        <w:rPr>
          <w:sz w:val="22"/>
          <w:szCs w:val="20"/>
        </w:rPr>
        <w:t>.</w:t>
      </w:r>
    </w:p>
    <w:p w:rsidR="00347591" w:rsidRDefault="00347591" w:rsidP="009C4B52">
      <w:pPr>
        <w:pStyle w:val="Prrafodelista"/>
        <w:ind w:left="0"/>
        <w:rPr>
          <w:b/>
          <w:i/>
          <w:sz w:val="22"/>
          <w:szCs w:val="20"/>
        </w:rPr>
      </w:pPr>
    </w:p>
    <w:p w:rsidR="00347591" w:rsidRPr="00347591" w:rsidRDefault="00347591" w:rsidP="00347591">
      <w:pPr>
        <w:rPr>
          <w:color w:val="000000" w:themeColor="text1"/>
          <w:sz w:val="22"/>
          <w:szCs w:val="20"/>
        </w:rPr>
      </w:pPr>
      <w:r w:rsidRPr="00347591">
        <w:rPr>
          <w:b/>
          <w:i/>
          <w:color w:val="000000" w:themeColor="text1"/>
          <w:sz w:val="22"/>
          <w:szCs w:val="20"/>
        </w:rPr>
        <w:t>2. Agenda Legislativa</w:t>
      </w:r>
      <w:r w:rsidRPr="00347591">
        <w:rPr>
          <w:b/>
          <w:color w:val="000000" w:themeColor="text1"/>
          <w:sz w:val="22"/>
          <w:szCs w:val="20"/>
        </w:rPr>
        <w:t xml:space="preserve"> </w:t>
      </w:r>
      <w:r w:rsidRPr="00347591">
        <w:rPr>
          <w:color w:val="000000" w:themeColor="text1"/>
          <w:sz w:val="22"/>
          <w:szCs w:val="20"/>
        </w:rPr>
        <w:t>Durante el periodo comprendido entre el 1 de enero al 30 de septiembre de 2017, en el  marco de las actividades legales y constitucionales del Congreso de la República, el Ministerio hizo seguimiento a 56 proyectos de ley radicados en el Congreso que corresponden a materias de su competencia. De éstas, 45 son iniciativas presentadas en la legislatura 2016-2017, mientras que las restantes 11 pertenecen a iniciativas (tanto leyes ordinarias, como actos legislativos y leyes estatutarias) que hicieron tránsito de la legislatura 2015-2016.</w:t>
      </w:r>
    </w:p>
    <w:p w:rsidR="00347591" w:rsidRPr="00347591" w:rsidRDefault="00347591" w:rsidP="00347591">
      <w:pPr>
        <w:rPr>
          <w:color w:val="000000" w:themeColor="text1"/>
          <w:sz w:val="22"/>
          <w:szCs w:val="20"/>
        </w:rPr>
      </w:pPr>
      <w:r w:rsidRPr="00347591">
        <w:rPr>
          <w:color w:val="000000" w:themeColor="text1"/>
          <w:sz w:val="22"/>
          <w:szCs w:val="20"/>
        </w:rPr>
        <w:t>Ahora bien, con el inicio de la nueva legislatura (periodo que va del 20 de julio de 2017 al 20 de junio de 2018), se han radicado nuevos proyectos de ley, iniciativas a las que este Ministerio les viene haciendo seguimiento. Teniendo 43 proyectos de ley radicados en el Congreso que corresponden a materias de su competencia. De éstas, 25 son iniciativas presentadas en la legislatura 2017-2018, mientras que las restantes 18 pertenecen a iniciativas (tanto leyes ordinarias, como actos legislativos y leyes estatutarias) que hicieron tránsito de la legislatura 2016-2017.</w:t>
      </w:r>
    </w:p>
    <w:p w:rsidR="004D4903" w:rsidRDefault="004D4903" w:rsidP="004D4903">
      <w:pPr>
        <w:jc w:val="center"/>
        <w:rPr>
          <w:color w:val="000000" w:themeColor="text1"/>
          <w:sz w:val="22"/>
          <w:szCs w:val="20"/>
        </w:rPr>
      </w:pPr>
      <w:r w:rsidRPr="004C5315">
        <w:rPr>
          <w:noProof/>
          <w:bdr w:val="single" w:sz="12" w:space="0" w:color="auto"/>
          <w:lang w:eastAsia="es-CO"/>
        </w:rPr>
        <w:lastRenderedPageBreak/>
        <w:drawing>
          <wp:inline distT="0" distB="0" distL="0" distR="0" wp14:anchorId="0518738B" wp14:editId="16154CF4">
            <wp:extent cx="7656394"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96674" cy="3539646"/>
                    </a:xfrm>
                    <a:prstGeom prst="rect">
                      <a:avLst/>
                    </a:prstGeom>
                    <a:noFill/>
                    <a:ln>
                      <a:noFill/>
                    </a:ln>
                  </pic:spPr>
                </pic:pic>
              </a:graphicData>
            </a:graphic>
          </wp:inline>
        </w:drawing>
      </w:r>
    </w:p>
    <w:p w:rsidR="00347591" w:rsidRDefault="00347591" w:rsidP="004D4903">
      <w:pPr>
        <w:rPr>
          <w:color w:val="000000" w:themeColor="text1"/>
          <w:sz w:val="22"/>
          <w:szCs w:val="20"/>
        </w:rPr>
      </w:pPr>
      <w:r w:rsidRPr="00347591">
        <w:rPr>
          <w:color w:val="000000" w:themeColor="text1"/>
          <w:sz w:val="22"/>
          <w:szCs w:val="20"/>
        </w:rPr>
        <w:t xml:space="preserve">Respecto al control político que ejerce el Congreso de la República a las entidades del orden nacional, se tuvieron 69 citaciones a debate en el marco de la legislatura 2016-2017. Dado el inicio de la nueva legislatura a partir del 20 de julio de los corrientes se tienen, a la fecha, un total de 41 citaciones a debate presentadas y aprobadas por las distintas comisiones y plenarias de la corporación. Igualmente, se recibieron y atendieron 77 solicitudes de información presentadas por integrantes del Congreso de la República (Senadores y Representantes), permitiendo un acercamiento con los mismos para la profundización en los distintos temas que conciernen al Ministerio de Vivienda, Ciudad y Territorio. </w:t>
      </w:r>
    </w:p>
    <w:p w:rsidR="0058556D" w:rsidRPr="00347591" w:rsidRDefault="00347591" w:rsidP="004D4903">
      <w:pPr>
        <w:rPr>
          <w:color w:val="000000" w:themeColor="text1"/>
          <w:sz w:val="22"/>
          <w:szCs w:val="20"/>
        </w:rPr>
      </w:pPr>
      <w:r w:rsidRPr="00347591">
        <w:rPr>
          <w:color w:val="000000" w:themeColor="text1"/>
          <w:sz w:val="22"/>
          <w:szCs w:val="20"/>
        </w:rPr>
        <w:t>Por otra parte, con el propósito de fortalecer la relación del Ministerio con el sector político se diseñó e implementó una estrategia integral que contempla la asesoría, atención, acompañamiento, consolidación y divulgación de la oferta institucional  de competencia de la entidad dirigida a los miembros de dicho sector, brindando asistencia técnica, organizando procesos de capacitación y solucionando sus inquietudes para que puedan desarrollarlas e implementarlas territorialmente.</w:t>
      </w:r>
    </w:p>
    <w:p w:rsidR="003819DA" w:rsidRPr="00347591" w:rsidRDefault="0058556D" w:rsidP="00347591">
      <w:pPr>
        <w:pStyle w:val="Prrafodelista"/>
        <w:ind w:left="0"/>
        <w:jc w:val="left"/>
        <w:rPr>
          <w:color w:val="000000" w:themeColor="text1"/>
          <w:sz w:val="22"/>
          <w:szCs w:val="20"/>
        </w:rPr>
      </w:pPr>
      <w:r w:rsidRPr="004C5315">
        <w:rPr>
          <w:noProof/>
          <w:color w:val="000000" w:themeColor="text1"/>
          <w:sz w:val="22"/>
          <w:szCs w:val="20"/>
          <w:bdr w:val="single" w:sz="12" w:space="0" w:color="auto"/>
          <w:lang w:eastAsia="es-CO"/>
        </w:rPr>
        <w:lastRenderedPageBreak/>
        <w:drawing>
          <wp:inline distT="0" distB="0" distL="0" distR="0" wp14:anchorId="0F373855" wp14:editId="5478D8FD">
            <wp:extent cx="8243248" cy="432634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53308" cy="4331620"/>
                    </a:xfrm>
                    <a:prstGeom prst="rect">
                      <a:avLst/>
                    </a:prstGeom>
                    <a:noFill/>
                    <a:ln>
                      <a:noFill/>
                    </a:ln>
                  </pic:spPr>
                </pic:pic>
              </a:graphicData>
            </a:graphic>
          </wp:inline>
        </w:drawing>
      </w:r>
    </w:p>
    <w:p w:rsidR="003819DA" w:rsidRDefault="003819DA" w:rsidP="003819DA">
      <w:pPr>
        <w:pStyle w:val="Prrafodelista"/>
        <w:rPr>
          <w:color w:val="000000" w:themeColor="text1"/>
          <w:sz w:val="22"/>
        </w:rPr>
      </w:pPr>
    </w:p>
    <w:p w:rsidR="003819DA" w:rsidRPr="00347591" w:rsidRDefault="003819DA" w:rsidP="009C4B52">
      <w:pPr>
        <w:rPr>
          <w:color w:val="000000" w:themeColor="text1"/>
          <w:sz w:val="22"/>
          <w:szCs w:val="20"/>
        </w:rPr>
      </w:pPr>
      <w:r w:rsidRPr="00347591">
        <w:rPr>
          <w:color w:val="000000" w:themeColor="text1"/>
          <w:sz w:val="22"/>
          <w:szCs w:val="20"/>
        </w:rPr>
        <w:t xml:space="preserve">En este sentido, se brindó atención a 711 integrantes del sector político distribuidos así: 109 congresistas, 393 representantes de Entes Territoriales (gobernadores y alcaldes), 53 concejales y 156 personas entre asesores de congresistas, asesores de alcaldes, secretarios de planeación, representantes de </w:t>
      </w:r>
      <w:proofErr w:type="spellStart"/>
      <w:r w:rsidRPr="00347591">
        <w:rPr>
          <w:color w:val="000000" w:themeColor="text1"/>
          <w:sz w:val="22"/>
          <w:szCs w:val="20"/>
        </w:rPr>
        <w:t>ONGs</w:t>
      </w:r>
      <w:proofErr w:type="spellEnd"/>
      <w:r w:rsidRPr="00347591">
        <w:rPr>
          <w:color w:val="000000" w:themeColor="text1"/>
          <w:sz w:val="22"/>
          <w:szCs w:val="20"/>
        </w:rPr>
        <w:t xml:space="preserve"> y líderes comunitarios. Dicho acompañamiento consistió en asesorar a los solicitantes en los diferentes temas de competencia del Ministerio a través de atención personalizada, vía telefónica y vía correo electrónico, para facilitar el acceso a la oferta institucional y dar claridad sobre la manera de acceder a los programas y actividades demarcadas en la política sectorial de la entidad. </w:t>
      </w:r>
    </w:p>
    <w:p w:rsidR="00023702" w:rsidRPr="002B06FC" w:rsidRDefault="00815F90" w:rsidP="00850A3D">
      <w:pPr>
        <w:pStyle w:val="Ttulo1"/>
        <w:spacing w:before="0" w:line="240" w:lineRule="auto"/>
      </w:pPr>
      <w:bookmarkStart w:id="5" w:name="_Toc496861729"/>
      <w:r w:rsidRPr="002B06FC">
        <w:rPr>
          <w:noProof/>
          <w:lang w:eastAsia="es-CO"/>
        </w:rPr>
        <w:lastRenderedPageBreak/>
        <w:drawing>
          <wp:anchor distT="0" distB="0" distL="114300" distR="114300" simplePos="0" relativeHeight="251928576" behindDoc="0" locked="0" layoutInCell="1" allowOverlap="1" wp14:anchorId="0153B870" wp14:editId="03D75DE8">
            <wp:simplePos x="0" y="0"/>
            <wp:positionH relativeFrom="column">
              <wp:posOffset>7080885</wp:posOffset>
            </wp:positionH>
            <wp:positionV relativeFrom="paragraph">
              <wp:posOffset>142875</wp:posOffset>
            </wp:positionV>
            <wp:extent cx="988695" cy="1386205"/>
            <wp:effectExtent l="0" t="0" r="1905" b="4445"/>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4">
                      <a:extLst>
                        <a:ext uri="{28A0092B-C50C-407E-A947-70E740481C1C}">
                          <a14:useLocalDpi xmlns:a14="http://schemas.microsoft.com/office/drawing/2010/main" val="0"/>
                        </a:ext>
                      </a:extLst>
                    </a:blip>
                    <a:srcRect l="69742"/>
                    <a:stretch/>
                  </pic:blipFill>
                  <pic:spPr bwMode="auto">
                    <a:xfrm>
                      <a:off x="0" y="0"/>
                      <a:ext cx="988695"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0A3D">
        <w:t xml:space="preserve">2. </w:t>
      </w:r>
      <w:r w:rsidR="00023702" w:rsidRPr="002B06FC">
        <w:t>OFICINA DE TECNOLOGÍAS DE LA INFORMACIÓN Y LAS COMUNICACIONES</w:t>
      </w:r>
      <w:bookmarkEnd w:id="5"/>
    </w:p>
    <w:p w:rsidR="00023702" w:rsidRPr="00C80BAB" w:rsidRDefault="00023702" w:rsidP="000E0FFB">
      <w:pPr>
        <w:spacing w:after="0" w:line="240" w:lineRule="auto"/>
      </w:pPr>
      <w:r w:rsidRPr="00C80BAB">
        <w:t xml:space="preserve">Jefe de Oficina: Dr. </w:t>
      </w:r>
      <w:r w:rsidR="003A7030" w:rsidRPr="003A7030">
        <w:t xml:space="preserve">Mauricio Eduardo Fernandez Correa </w:t>
      </w:r>
    </w:p>
    <w:p w:rsidR="00B1123B" w:rsidRDefault="00B1123B" w:rsidP="000E0FFB">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tbl>
      <w:tblPr>
        <w:tblpPr w:leftFromText="141" w:rightFromText="141" w:vertAnchor="text" w:horzAnchor="margin" w:tblpY="-6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83"/>
        <w:gridCol w:w="1897"/>
        <w:gridCol w:w="2687"/>
        <w:gridCol w:w="1738"/>
      </w:tblGrid>
      <w:tr w:rsidR="006B520E" w:rsidRPr="00B1123B" w:rsidTr="00AB5BEF">
        <w:trPr>
          <w:trHeight w:val="416"/>
        </w:trPr>
        <w:tc>
          <w:tcPr>
            <w:tcW w:w="3483" w:type="dxa"/>
            <w:shd w:val="clear" w:color="auto" w:fill="993366"/>
            <w:vAlign w:val="center"/>
          </w:tcPr>
          <w:p w:rsidR="006B520E" w:rsidRPr="0069298F" w:rsidRDefault="006B520E" w:rsidP="000E0FFB">
            <w:pPr>
              <w:spacing w:after="0" w:line="240" w:lineRule="auto"/>
              <w:ind w:left="120"/>
              <w:jc w:val="center"/>
              <w:rPr>
                <w:rFonts w:eastAsia="Arial Narrow"/>
                <w:b/>
                <w:sz w:val="22"/>
                <w:highlight w:val="yellow"/>
              </w:rPr>
            </w:pPr>
            <w:r w:rsidRPr="003D39C0">
              <w:rPr>
                <w:rFonts w:eastAsia="Arial Narrow"/>
                <w:b/>
                <w:color w:val="FFFFFF" w:themeColor="background1"/>
                <w:sz w:val="22"/>
              </w:rPr>
              <w:t>Avance registrado</w:t>
            </w:r>
          </w:p>
        </w:tc>
        <w:tc>
          <w:tcPr>
            <w:tcW w:w="1897" w:type="dxa"/>
            <w:shd w:val="clear" w:color="auto" w:fill="auto"/>
            <w:vAlign w:val="center"/>
          </w:tcPr>
          <w:p w:rsidR="006B520E" w:rsidRPr="0069298F" w:rsidRDefault="00017394" w:rsidP="0086183A">
            <w:pPr>
              <w:spacing w:after="0" w:line="240" w:lineRule="auto"/>
              <w:ind w:right="20"/>
              <w:jc w:val="center"/>
              <w:rPr>
                <w:rFonts w:eastAsia="Arial Narrow"/>
                <w:b/>
                <w:sz w:val="22"/>
                <w:highlight w:val="yellow"/>
              </w:rPr>
            </w:pPr>
            <w:r>
              <w:rPr>
                <w:rFonts w:eastAsia="Arial Narrow"/>
                <w:b/>
                <w:sz w:val="22"/>
              </w:rPr>
              <w:t>7</w:t>
            </w:r>
            <w:r w:rsidR="0086183A">
              <w:rPr>
                <w:rFonts w:eastAsia="Arial Narrow"/>
                <w:b/>
                <w:sz w:val="22"/>
              </w:rPr>
              <w:t>0</w:t>
            </w:r>
            <w:r>
              <w:rPr>
                <w:rFonts w:eastAsia="Arial Narrow"/>
                <w:b/>
                <w:sz w:val="22"/>
              </w:rPr>
              <w:t>.90</w:t>
            </w:r>
            <w:r w:rsidR="00AB5BEF" w:rsidRPr="00AB5BEF">
              <w:rPr>
                <w:rFonts w:eastAsia="Arial Narrow"/>
                <w:b/>
                <w:sz w:val="22"/>
              </w:rPr>
              <w:t>%</w:t>
            </w:r>
          </w:p>
        </w:tc>
        <w:tc>
          <w:tcPr>
            <w:tcW w:w="2687" w:type="dxa"/>
            <w:shd w:val="clear" w:color="auto" w:fill="993366"/>
          </w:tcPr>
          <w:p w:rsidR="006B520E" w:rsidRPr="0069298F" w:rsidRDefault="00996B9B" w:rsidP="00996B9B">
            <w:pPr>
              <w:spacing w:after="0" w:line="240" w:lineRule="auto"/>
              <w:ind w:left="120"/>
              <w:jc w:val="center"/>
              <w:rPr>
                <w:rFonts w:eastAsia="Arial Narrow"/>
                <w:b/>
                <w:color w:val="FFFFFF" w:themeColor="background1"/>
                <w:sz w:val="22"/>
                <w:highlight w:val="yellow"/>
              </w:rPr>
            </w:pPr>
            <w:r w:rsidRPr="003D39C0">
              <w:rPr>
                <w:rFonts w:eastAsia="Arial Narrow"/>
                <w:b/>
                <w:color w:val="FFFFFF" w:themeColor="background1"/>
                <w:sz w:val="22"/>
              </w:rPr>
              <w:t>Número de Iniciativas</w:t>
            </w:r>
          </w:p>
        </w:tc>
        <w:tc>
          <w:tcPr>
            <w:tcW w:w="1738" w:type="dxa"/>
            <w:vAlign w:val="center"/>
          </w:tcPr>
          <w:p w:rsidR="004A2495" w:rsidRPr="0069298F" w:rsidRDefault="004A2495" w:rsidP="000E0FFB">
            <w:pPr>
              <w:spacing w:after="0" w:line="240" w:lineRule="auto"/>
              <w:ind w:right="20"/>
              <w:jc w:val="center"/>
              <w:rPr>
                <w:rFonts w:eastAsia="Arial Narrow"/>
                <w:b/>
                <w:sz w:val="22"/>
                <w:highlight w:val="yellow"/>
              </w:rPr>
            </w:pPr>
            <w:r w:rsidRPr="003D39C0">
              <w:rPr>
                <w:rFonts w:eastAsia="Arial Narrow"/>
                <w:b/>
                <w:sz w:val="22"/>
              </w:rPr>
              <w:t>10</w:t>
            </w:r>
          </w:p>
        </w:tc>
      </w:tr>
    </w:tbl>
    <w:p w:rsidR="008D3FF3" w:rsidRDefault="008D3FF3" w:rsidP="000E0FFB">
      <w:pPr>
        <w:spacing w:after="0" w:line="240" w:lineRule="auto"/>
        <w:rPr>
          <w:rFonts w:cs="FuturaStd-ExtraBold"/>
          <w:bCs/>
          <w:szCs w:val="24"/>
        </w:rPr>
      </w:pPr>
    </w:p>
    <w:p w:rsidR="005E4DE5" w:rsidRDefault="005E4DE5" w:rsidP="000E0FFB">
      <w:pPr>
        <w:spacing w:after="0" w:line="240" w:lineRule="auto"/>
        <w:rPr>
          <w:rFonts w:cs="FuturaStd-ExtraBold"/>
          <w:bCs/>
          <w:szCs w:val="24"/>
        </w:rPr>
      </w:pPr>
    </w:p>
    <w:p w:rsidR="005E4DE5" w:rsidRDefault="005E4DE5" w:rsidP="000E0FFB">
      <w:pPr>
        <w:spacing w:after="0" w:line="240" w:lineRule="auto"/>
        <w:rPr>
          <w:rFonts w:cs="FuturaStd-ExtraBold"/>
          <w:bCs/>
          <w:szCs w:val="24"/>
        </w:rPr>
      </w:pPr>
    </w:p>
    <w:p w:rsidR="00EB0438" w:rsidRPr="00347591" w:rsidRDefault="00070814" w:rsidP="00A86DD7">
      <w:pPr>
        <w:spacing w:after="0" w:line="240" w:lineRule="auto"/>
        <w:rPr>
          <w:color w:val="000000" w:themeColor="text1"/>
          <w:sz w:val="22"/>
          <w:szCs w:val="20"/>
        </w:rPr>
      </w:pPr>
      <w:r w:rsidRPr="00347591">
        <w:rPr>
          <w:color w:val="000000" w:themeColor="text1"/>
          <w:sz w:val="22"/>
          <w:szCs w:val="20"/>
        </w:rPr>
        <w:t>La Oficina de tecnologías es responsable de</w:t>
      </w:r>
      <w:r w:rsidR="00773142" w:rsidRPr="00347591">
        <w:rPr>
          <w:color w:val="000000" w:themeColor="text1"/>
          <w:sz w:val="22"/>
          <w:szCs w:val="20"/>
        </w:rPr>
        <w:t xml:space="preserve"> reportar su avan</w:t>
      </w:r>
      <w:r w:rsidR="00BB16C5" w:rsidRPr="00347591">
        <w:rPr>
          <w:color w:val="000000" w:themeColor="text1"/>
          <w:sz w:val="22"/>
          <w:szCs w:val="20"/>
        </w:rPr>
        <w:t xml:space="preserve">ce de gestión a </w:t>
      </w:r>
      <w:r w:rsidR="00773142" w:rsidRPr="00347591">
        <w:rPr>
          <w:color w:val="000000" w:themeColor="text1"/>
          <w:sz w:val="22"/>
          <w:szCs w:val="20"/>
        </w:rPr>
        <w:t xml:space="preserve">diez </w:t>
      </w:r>
      <w:r w:rsidRPr="00347591">
        <w:rPr>
          <w:color w:val="000000" w:themeColor="text1"/>
          <w:sz w:val="22"/>
          <w:szCs w:val="20"/>
        </w:rPr>
        <w:t xml:space="preserve"> (</w:t>
      </w:r>
      <w:r w:rsidR="00773142" w:rsidRPr="00347591">
        <w:rPr>
          <w:color w:val="000000" w:themeColor="text1"/>
          <w:sz w:val="22"/>
          <w:szCs w:val="20"/>
        </w:rPr>
        <w:t>10</w:t>
      </w:r>
      <w:r w:rsidRPr="00347591">
        <w:rPr>
          <w:color w:val="000000" w:themeColor="text1"/>
          <w:sz w:val="22"/>
          <w:szCs w:val="20"/>
        </w:rPr>
        <w:t xml:space="preserve">) </w:t>
      </w:r>
      <w:r w:rsidR="008A348A" w:rsidRPr="00347591">
        <w:rPr>
          <w:color w:val="000000" w:themeColor="text1"/>
          <w:sz w:val="22"/>
          <w:szCs w:val="20"/>
        </w:rPr>
        <w:t>i</w:t>
      </w:r>
      <w:r w:rsidRPr="00347591">
        <w:rPr>
          <w:color w:val="000000" w:themeColor="text1"/>
          <w:sz w:val="22"/>
          <w:szCs w:val="20"/>
        </w:rPr>
        <w:t xml:space="preserve">niciativas estratégicas sobre los </w:t>
      </w:r>
      <w:r w:rsidR="00BB16C5" w:rsidRPr="00347591">
        <w:rPr>
          <w:color w:val="000000" w:themeColor="text1"/>
          <w:sz w:val="22"/>
          <w:szCs w:val="20"/>
        </w:rPr>
        <w:t xml:space="preserve">que </w:t>
      </w:r>
      <w:r w:rsidRPr="00347591">
        <w:rPr>
          <w:color w:val="000000" w:themeColor="text1"/>
          <w:sz w:val="22"/>
          <w:szCs w:val="20"/>
        </w:rPr>
        <w:t>se realiz</w:t>
      </w:r>
      <w:r w:rsidR="008A348A" w:rsidRPr="00347591">
        <w:rPr>
          <w:color w:val="000000" w:themeColor="text1"/>
          <w:sz w:val="22"/>
          <w:szCs w:val="20"/>
        </w:rPr>
        <w:t>ó</w:t>
      </w:r>
      <w:r w:rsidRPr="00347591">
        <w:rPr>
          <w:color w:val="000000" w:themeColor="text1"/>
          <w:sz w:val="22"/>
          <w:szCs w:val="20"/>
        </w:rPr>
        <w:t xml:space="preserve"> la siguiente gestión:  </w:t>
      </w:r>
    </w:p>
    <w:p w:rsidR="00773142" w:rsidRPr="00347591" w:rsidRDefault="00773142" w:rsidP="00A86DD7">
      <w:pPr>
        <w:spacing w:after="0" w:line="240" w:lineRule="auto"/>
        <w:rPr>
          <w:rFonts w:cs="FuturaStd-ExtraBold"/>
          <w:b/>
          <w:bCs/>
        </w:rPr>
      </w:pPr>
    </w:p>
    <w:p w:rsidR="008F0D7D" w:rsidRPr="00347591" w:rsidRDefault="00FB3AFA" w:rsidP="008F0D7D">
      <w:pPr>
        <w:spacing w:after="0" w:line="240" w:lineRule="auto"/>
        <w:rPr>
          <w:rFonts w:eastAsia="Times New Roman" w:cs="Arial"/>
          <w:sz w:val="22"/>
          <w:szCs w:val="20"/>
          <w:lang w:val="es-ES" w:eastAsia="es-ES"/>
        </w:rPr>
      </w:pPr>
      <w:r w:rsidRPr="00347591">
        <w:rPr>
          <w:rFonts w:cs="FuturaStd-ExtraBold"/>
          <w:b/>
          <w:bCs/>
          <w:i/>
          <w:sz w:val="22"/>
          <w:szCs w:val="20"/>
        </w:rPr>
        <w:t xml:space="preserve">1. y </w:t>
      </w:r>
      <w:r w:rsidR="00F16B6A" w:rsidRPr="00347591">
        <w:rPr>
          <w:rFonts w:cs="FuturaStd-ExtraBold"/>
          <w:b/>
          <w:bCs/>
          <w:i/>
          <w:sz w:val="22"/>
          <w:szCs w:val="20"/>
        </w:rPr>
        <w:t>8</w:t>
      </w:r>
      <w:r w:rsidRPr="00347591">
        <w:rPr>
          <w:rFonts w:cs="FuturaStd-ExtraBold"/>
          <w:b/>
          <w:bCs/>
          <w:i/>
          <w:sz w:val="22"/>
          <w:szCs w:val="20"/>
        </w:rPr>
        <w:t xml:space="preserve">. </w:t>
      </w:r>
      <w:r w:rsidR="00662E96" w:rsidRPr="00347591">
        <w:rPr>
          <w:rFonts w:cs="FuturaStd-ExtraBold"/>
          <w:b/>
          <w:bCs/>
          <w:i/>
          <w:sz w:val="22"/>
          <w:szCs w:val="20"/>
        </w:rPr>
        <w:t xml:space="preserve">Articulación del SGSI con el SIG e </w:t>
      </w:r>
      <w:r w:rsidR="009C4B52" w:rsidRPr="00347591">
        <w:rPr>
          <w:rFonts w:cs="Arial"/>
          <w:b/>
          <w:i/>
          <w:sz w:val="22"/>
          <w:szCs w:val="20"/>
        </w:rPr>
        <w:t>implementación</w:t>
      </w:r>
      <w:r w:rsidR="00662E96" w:rsidRPr="00347591">
        <w:rPr>
          <w:rFonts w:cs="Arial"/>
          <w:b/>
          <w:i/>
          <w:sz w:val="22"/>
          <w:szCs w:val="20"/>
        </w:rPr>
        <w:t xml:space="preserve"> </w:t>
      </w:r>
      <w:r w:rsidR="009C4B52" w:rsidRPr="00347591">
        <w:rPr>
          <w:rFonts w:cs="Arial"/>
          <w:b/>
          <w:i/>
          <w:sz w:val="22"/>
          <w:szCs w:val="20"/>
        </w:rPr>
        <w:t>d</w:t>
      </w:r>
      <w:r w:rsidR="00662E96" w:rsidRPr="00347591">
        <w:rPr>
          <w:rFonts w:cs="Arial"/>
          <w:b/>
          <w:i/>
          <w:sz w:val="22"/>
          <w:szCs w:val="20"/>
        </w:rPr>
        <w:t>el sistema de SGSI:</w:t>
      </w:r>
      <w:r w:rsidR="00662E96" w:rsidRPr="00347591">
        <w:rPr>
          <w:rFonts w:cs="Arial"/>
          <w:b/>
          <w:sz w:val="22"/>
          <w:szCs w:val="20"/>
        </w:rPr>
        <w:t xml:space="preserve"> </w:t>
      </w:r>
      <w:r w:rsidR="008F0D7D" w:rsidRPr="00347591">
        <w:rPr>
          <w:rFonts w:eastAsia="Times New Roman" w:cs="Arial"/>
          <w:sz w:val="22"/>
          <w:szCs w:val="20"/>
          <w:lang w:val="es-ES" w:eastAsia="es-ES"/>
        </w:rPr>
        <w:t>El Gobierno Nacional en el Decreto 1078 de 2015, señala que los fundamentos de la Estrategia de Gobierno en Línea serán desarrollados a través de 4 componentes que facilitarán la masificación de la oferta y la demanda de Gobierno en Línea, dentro de los cuales se relaciona el componente de Seguridad y Privacidad de la información, que: Comprende las acciones transversales a los demás componentes enunciados en el Decreto, tendientes a proteger la información y los sistemas de información, del acceso, uso, divulgación, interrupción o destrucción no autorizada.</w:t>
      </w:r>
    </w:p>
    <w:p w:rsidR="008F0D7D" w:rsidRPr="00347591" w:rsidRDefault="008F0D7D" w:rsidP="008F0D7D">
      <w:pPr>
        <w:spacing w:after="0" w:line="240" w:lineRule="auto"/>
        <w:rPr>
          <w:rFonts w:eastAsia="Times New Roman" w:cs="Arial"/>
          <w:sz w:val="22"/>
          <w:szCs w:val="20"/>
          <w:lang w:val="es-ES" w:eastAsia="es-ES"/>
        </w:rPr>
      </w:pPr>
    </w:p>
    <w:p w:rsidR="008F0D7D" w:rsidRPr="00347591" w:rsidRDefault="008F0D7D" w:rsidP="008F0D7D">
      <w:pPr>
        <w:spacing w:after="0" w:line="240" w:lineRule="auto"/>
        <w:rPr>
          <w:rFonts w:cs="Arial"/>
          <w:sz w:val="22"/>
          <w:szCs w:val="20"/>
        </w:rPr>
      </w:pPr>
      <w:r w:rsidRPr="00347591">
        <w:rPr>
          <w:rFonts w:cs="Arial"/>
          <w:sz w:val="22"/>
          <w:szCs w:val="20"/>
        </w:rPr>
        <w:t xml:space="preserve">Para dar cumplimiento al Decreto, el Ministerio de Vivienda estableció dentro de las metas del Plan de Acción para la vigencia 2017, implementar el SGSI. Este sistema de Gestión es fundamental para el Ministerio si se tienen en cuenta, los ataques masivos de </w:t>
      </w:r>
      <w:proofErr w:type="spellStart"/>
      <w:r w:rsidRPr="00347591">
        <w:rPr>
          <w:rFonts w:cs="Arial"/>
          <w:sz w:val="22"/>
          <w:szCs w:val="20"/>
        </w:rPr>
        <w:t>Ramsomware</w:t>
      </w:r>
      <w:proofErr w:type="spellEnd"/>
      <w:r w:rsidRPr="00347591">
        <w:rPr>
          <w:rFonts w:cs="Arial"/>
          <w:sz w:val="22"/>
          <w:szCs w:val="20"/>
        </w:rPr>
        <w:t xml:space="preserve"> recientemente sucedidos contra las infraestructuras físicas de todo tipo de entidades sin distinción, tanto públicas como privadas, en más de doce países, ello hace pensar que el Ministerio debe implementar el SGSI lo antes posible a fin de efectuar los controles que se requieren para gestionar el riesgo en la seguridad de la información.</w:t>
      </w:r>
    </w:p>
    <w:p w:rsidR="008F0D7D" w:rsidRPr="00347591" w:rsidRDefault="008F0D7D" w:rsidP="008F0D7D">
      <w:pPr>
        <w:spacing w:after="0" w:line="240" w:lineRule="auto"/>
        <w:rPr>
          <w:rFonts w:cs="Arial"/>
          <w:sz w:val="22"/>
          <w:szCs w:val="20"/>
        </w:rPr>
      </w:pPr>
    </w:p>
    <w:p w:rsidR="008F0D7D" w:rsidRPr="00347591" w:rsidRDefault="008F0D7D" w:rsidP="008F0D7D">
      <w:pPr>
        <w:spacing w:after="0" w:line="240" w:lineRule="auto"/>
        <w:rPr>
          <w:rFonts w:cs="Arial"/>
          <w:sz w:val="22"/>
          <w:szCs w:val="20"/>
        </w:rPr>
      </w:pPr>
      <w:r w:rsidRPr="00347591">
        <w:rPr>
          <w:rFonts w:cs="Arial"/>
          <w:sz w:val="22"/>
          <w:szCs w:val="20"/>
        </w:rPr>
        <w:t>De igual manera, es necesario gestionar los incidentes de seguridad de la información para darle el tratamiento adecuado, en los casos en que se presenten,  estas actividades conducirán a la entidad al logro de los objetivos propuestos por la Oficina TIC, para proporcionar la seguridad que requiere el Ministerio en el manejo de su información, teniendo en cuenta que esta es el principal activo para desarrollar las operaciones diarias y se deben hacer los esfuerzos requeridos para mantener la confidencialidad, integridad y disponibilidad de la misma.</w:t>
      </w:r>
    </w:p>
    <w:p w:rsidR="008F0D7D" w:rsidRPr="00347591" w:rsidRDefault="008F0D7D" w:rsidP="008F0D7D">
      <w:pPr>
        <w:spacing w:after="0" w:line="240" w:lineRule="auto"/>
        <w:rPr>
          <w:sz w:val="22"/>
          <w:szCs w:val="20"/>
        </w:rPr>
      </w:pPr>
    </w:p>
    <w:p w:rsidR="008F0D7D" w:rsidRPr="00347591" w:rsidRDefault="008F0D7D" w:rsidP="008F0D7D">
      <w:pPr>
        <w:spacing w:after="0" w:line="240" w:lineRule="auto"/>
        <w:rPr>
          <w:rFonts w:cs="Arial"/>
          <w:sz w:val="22"/>
        </w:rPr>
      </w:pPr>
      <w:r w:rsidRPr="00347591">
        <w:rPr>
          <w:rFonts w:cs="Arial"/>
          <w:sz w:val="22"/>
          <w:szCs w:val="20"/>
        </w:rPr>
        <w:t xml:space="preserve">A fin de cumplir con los objetivos propuestos la Oficina TIC estableció en el Plan de Acción ejecutar las siguientes tareas: En enero se llevó a cabo una reunión con todos los interesados en la implementación del SGSI con la </w:t>
      </w:r>
      <w:r w:rsidRPr="00347591">
        <w:rPr>
          <w:rFonts w:cs="Arial"/>
          <w:sz w:val="22"/>
        </w:rPr>
        <w:t xml:space="preserve">presencia de ingenieros del grupo de Seguridad de la Información del Ministerio de las TIC, para dar orientación en </w:t>
      </w:r>
      <w:r w:rsidRPr="00347591">
        <w:rPr>
          <w:rFonts w:cs="Arial"/>
          <w:sz w:val="22"/>
        </w:rPr>
        <w:lastRenderedPageBreak/>
        <w:t>la forma en que se debe construir la resolución de adopción del SGSI. Las políticas de tratamiento de datos personales y de Seguridad de la información ya están elaboradas y junto con la resolución de adopción del SGSI serán presentadas al Comité Institucional para su aprobación.</w:t>
      </w:r>
    </w:p>
    <w:p w:rsidR="008F0D7D" w:rsidRPr="00347591" w:rsidRDefault="008F0D7D" w:rsidP="008F0D7D">
      <w:pPr>
        <w:spacing w:after="0" w:line="240" w:lineRule="auto"/>
        <w:rPr>
          <w:rFonts w:cs="Arial"/>
          <w:sz w:val="22"/>
        </w:rPr>
      </w:pPr>
    </w:p>
    <w:p w:rsidR="008F0D7D" w:rsidRPr="00347591" w:rsidRDefault="008F0D7D" w:rsidP="008F0D7D">
      <w:pPr>
        <w:spacing w:after="0" w:line="240" w:lineRule="auto"/>
        <w:rPr>
          <w:rFonts w:cs="Arial"/>
          <w:sz w:val="22"/>
        </w:rPr>
      </w:pPr>
      <w:r w:rsidRPr="00347591">
        <w:rPr>
          <w:rFonts w:cs="Arial"/>
          <w:sz w:val="22"/>
        </w:rPr>
        <w:t>En Abril del año en curso se presentaron al Comité Institucional todos los documentos que conforman el SGSI desarrollados hasta la fecha por la Oficina TIC, para ser revisados y aprobados por el comité. No obstante, en dicho Comité, por recomendación de la Jefe de la Oficina de Control Interno, se solicitó enviar todos los documentos a  todos los miembros del Comité para revisarlos antes de proceder a aprobarlos.</w:t>
      </w:r>
    </w:p>
    <w:p w:rsidR="008F0D7D" w:rsidRPr="00347591" w:rsidRDefault="008F0D7D" w:rsidP="008F0D7D">
      <w:pPr>
        <w:spacing w:after="0" w:line="240" w:lineRule="auto"/>
        <w:rPr>
          <w:rFonts w:cs="Arial"/>
          <w:sz w:val="22"/>
        </w:rPr>
      </w:pPr>
    </w:p>
    <w:p w:rsidR="008F0D7D" w:rsidRPr="00347591" w:rsidRDefault="008F0D7D" w:rsidP="008F0D7D">
      <w:pPr>
        <w:spacing w:after="0" w:line="240" w:lineRule="auto"/>
        <w:rPr>
          <w:rFonts w:cs="Arial"/>
          <w:sz w:val="22"/>
        </w:rPr>
      </w:pPr>
      <w:r w:rsidRPr="00347591">
        <w:rPr>
          <w:rFonts w:cs="Arial"/>
          <w:sz w:val="22"/>
        </w:rPr>
        <w:t>En relación con el tema se adelantaron las siguientes actividades:</w:t>
      </w:r>
    </w:p>
    <w:p w:rsidR="008F0D7D" w:rsidRPr="00347591" w:rsidRDefault="008F0D7D" w:rsidP="00292770">
      <w:pPr>
        <w:pStyle w:val="Prrafodelista"/>
        <w:numPr>
          <w:ilvl w:val="0"/>
          <w:numId w:val="4"/>
        </w:numPr>
        <w:spacing w:after="0" w:line="240" w:lineRule="auto"/>
        <w:ind w:left="284" w:hanging="284"/>
        <w:rPr>
          <w:rFonts w:cs="Arial"/>
          <w:sz w:val="22"/>
        </w:rPr>
      </w:pPr>
      <w:r w:rsidRPr="00347591">
        <w:rPr>
          <w:rFonts w:cs="Arial"/>
          <w:sz w:val="22"/>
        </w:rPr>
        <w:t>Copia del acta de dicha reunión y copia de cada uno de los documentos presentados al comité:</w:t>
      </w:r>
    </w:p>
    <w:p w:rsidR="008F0D7D" w:rsidRPr="00347591" w:rsidRDefault="008F0D7D" w:rsidP="00292770">
      <w:pPr>
        <w:pStyle w:val="Prrafodelista"/>
        <w:numPr>
          <w:ilvl w:val="0"/>
          <w:numId w:val="4"/>
        </w:numPr>
        <w:spacing w:after="0" w:line="240" w:lineRule="auto"/>
        <w:ind w:left="284" w:hanging="284"/>
        <w:rPr>
          <w:rFonts w:cs="Arial"/>
          <w:sz w:val="22"/>
        </w:rPr>
      </w:pPr>
      <w:r w:rsidRPr="00347591">
        <w:rPr>
          <w:rFonts w:cs="Arial"/>
          <w:sz w:val="22"/>
        </w:rPr>
        <w:t>Análisis GAP hecho por el CSIRT de la Policía Nacional</w:t>
      </w:r>
    </w:p>
    <w:p w:rsidR="008F0D7D" w:rsidRPr="00347591" w:rsidRDefault="008F0D7D" w:rsidP="00292770">
      <w:pPr>
        <w:pStyle w:val="Prrafodelista"/>
        <w:numPr>
          <w:ilvl w:val="0"/>
          <w:numId w:val="4"/>
        </w:numPr>
        <w:spacing w:after="0" w:line="240" w:lineRule="auto"/>
        <w:ind w:left="284" w:hanging="284"/>
        <w:rPr>
          <w:rFonts w:cs="Arial"/>
          <w:sz w:val="22"/>
        </w:rPr>
      </w:pPr>
      <w:r w:rsidRPr="00347591">
        <w:rPr>
          <w:rFonts w:cs="Arial"/>
          <w:sz w:val="22"/>
        </w:rPr>
        <w:t>Diagnóstico hecho por la Universidad Nacional</w:t>
      </w:r>
    </w:p>
    <w:p w:rsidR="008F0D7D" w:rsidRPr="00347591" w:rsidRDefault="008F0D7D" w:rsidP="00292770">
      <w:pPr>
        <w:pStyle w:val="Prrafodelista"/>
        <w:numPr>
          <w:ilvl w:val="0"/>
          <w:numId w:val="4"/>
        </w:numPr>
        <w:spacing w:after="0" w:line="240" w:lineRule="auto"/>
        <w:ind w:left="284" w:hanging="284"/>
        <w:rPr>
          <w:rFonts w:cs="Arial"/>
          <w:sz w:val="22"/>
        </w:rPr>
      </w:pPr>
      <w:r w:rsidRPr="00347591">
        <w:rPr>
          <w:rFonts w:cs="Arial"/>
          <w:sz w:val="22"/>
        </w:rPr>
        <w:t>Resolución de adopción del SGSI: Revisada por OAJ y SG MVCT</w:t>
      </w:r>
    </w:p>
    <w:p w:rsidR="008F0D7D" w:rsidRPr="00347591" w:rsidRDefault="008F0D7D" w:rsidP="00292770">
      <w:pPr>
        <w:pStyle w:val="Prrafodelista"/>
        <w:numPr>
          <w:ilvl w:val="0"/>
          <w:numId w:val="4"/>
        </w:numPr>
        <w:spacing w:after="0" w:line="240" w:lineRule="auto"/>
        <w:ind w:left="284" w:hanging="284"/>
        <w:rPr>
          <w:rFonts w:cs="Arial"/>
          <w:sz w:val="22"/>
        </w:rPr>
      </w:pPr>
      <w:r w:rsidRPr="00347591">
        <w:rPr>
          <w:rFonts w:cs="Arial"/>
          <w:sz w:val="22"/>
        </w:rPr>
        <w:t>Política de Seguridad de la Información: Revisada por el CSIRT, MINTIC, SG MVCT</w:t>
      </w:r>
    </w:p>
    <w:p w:rsidR="008F0D7D" w:rsidRPr="00347591" w:rsidRDefault="008F0D7D" w:rsidP="00292770">
      <w:pPr>
        <w:pStyle w:val="Prrafodelista"/>
        <w:numPr>
          <w:ilvl w:val="0"/>
          <w:numId w:val="4"/>
        </w:numPr>
        <w:spacing w:after="0" w:line="240" w:lineRule="auto"/>
        <w:ind w:left="284" w:hanging="284"/>
        <w:rPr>
          <w:rFonts w:cs="Arial"/>
          <w:sz w:val="22"/>
        </w:rPr>
      </w:pPr>
      <w:r w:rsidRPr="00347591">
        <w:rPr>
          <w:rFonts w:cs="Arial"/>
          <w:sz w:val="22"/>
        </w:rPr>
        <w:t>Manual de Políticas específicas del SGSI: Revisado por el CSIRT, MINTIC, OAJ, CID MVCT</w:t>
      </w:r>
    </w:p>
    <w:p w:rsidR="008F0D7D" w:rsidRPr="00347591" w:rsidRDefault="008F0D7D" w:rsidP="00292770">
      <w:pPr>
        <w:pStyle w:val="Prrafodelista"/>
        <w:numPr>
          <w:ilvl w:val="0"/>
          <w:numId w:val="4"/>
        </w:numPr>
        <w:spacing w:after="0" w:line="240" w:lineRule="auto"/>
        <w:ind w:left="284" w:hanging="284"/>
        <w:rPr>
          <w:rFonts w:cs="Arial"/>
          <w:sz w:val="22"/>
        </w:rPr>
      </w:pPr>
      <w:r w:rsidRPr="00347591">
        <w:rPr>
          <w:rFonts w:cs="Arial"/>
          <w:sz w:val="22"/>
        </w:rPr>
        <w:t>Política de protección de datos personales: Revisada por el CSIRT, MINTIC, SG MVCT</w:t>
      </w:r>
    </w:p>
    <w:p w:rsidR="008F0D7D" w:rsidRPr="00347591" w:rsidRDefault="008F0D7D" w:rsidP="00292770">
      <w:pPr>
        <w:pStyle w:val="Prrafodelista"/>
        <w:numPr>
          <w:ilvl w:val="0"/>
          <w:numId w:val="4"/>
        </w:numPr>
        <w:spacing w:after="0" w:line="240" w:lineRule="auto"/>
        <w:ind w:left="284" w:hanging="284"/>
        <w:rPr>
          <w:rFonts w:cs="Arial"/>
          <w:sz w:val="22"/>
        </w:rPr>
      </w:pPr>
      <w:r w:rsidRPr="00347591">
        <w:rPr>
          <w:rFonts w:cs="Arial"/>
          <w:sz w:val="22"/>
        </w:rPr>
        <w:t>Plan detallado implementación del SGSI: Aprobado por Jefe Oficina TIC</w:t>
      </w:r>
    </w:p>
    <w:p w:rsidR="008F0D7D" w:rsidRPr="00347591" w:rsidRDefault="008F0D7D" w:rsidP="00292770">
      <w:pPr>
        <w:pStyle w:val="Prrafodelista"/>
        <w:numPr>
          <w:ilvl w:val="0"/>
          <w:numId w:val="4"/>
        </w:numPr>
        <w:spacing w:after="0" w:line="240" w:lineRule="auto"/>
        <w:ind w:left="284" w:hanging="284"/>
        <w:rPr>
          <w:rFonts w:cs="Arial"/>
          <w:sz w:val="22"/>
        </w:rPr>
      </w:pPr>
      <w:r w:rsidRPr="00347591">
        <w:rPr>
          <w:rFonts w:cs="Arial"/>
          <w:sz w:val="22"/>
        </w:rPr>
        <w:t xml:space="preserve">Formato Inventarios de Activos de Información: Revisado por el CSIRT y </w:t>
      </w:r>
      <w:proofErr w:type="spellStart"/>
      <w:r w:rsidRPr="00347591">
        <w:rPr>
          <w:rFonts w:cs="Arial"/>
          <w:sz w:val="22"/>
        </w:rPr>
        <w:t>MinTIC</w:t>
      </w:r>
      <w:proofErr w:type="spellEnd"/>
    </w:p>
    <w:p w:rsidR="008F0D7D" w:rsidRPr="00347591" w:rsidRDefault="008F0D7D" w:rsidP="00292770">
      <w:pPr>
        <w:pStyle w:val="Prrafodelista"/>
        <w:numPr>
          <w:ilvl w:val="0"/>
          <w:numId w:val="4"/>
        </w:numPr>
        <w:spacing w:after="0" w:line="240" w:lineRule="auto"/>
        <w:ind w:left="284" w:hanging="284"/>
        <w:rPr>
          <w:rFonts w:cs="Arial"/>
          <w:sz w:val="22"/>
        </w:rPr>
      </w:pPr>
      <w:r w:rsidRPr="00347591">
        <w:rPr>
          <w:rFonts w:cs="Arial"/>
          <w:sz w:val="22"/>
        </w:rPr>
        <w:t xml:space="preserve">SGSI del Proceso de TIC: Revisado por el CSIRT y </w:t>
      </w:r>
      <w:proofErr w:type="spellStart"/>
      <w:r w:rsidRPr="00347591">
        <w:rPr>
          <w:rFonts w:cs="Arial"/>
          <w:sz w:val="22"/>
        </w:rPr>
        <w:t>MinTIC</w:t>
      </w:r>
      <w:proofErr w:type="spellEnd"/>
    </w:p>
    <w:p w:rsidR="008F0D7D" w:rsidRPr="00347591" w:rsidRDefault="008F0D7D" w:rsidP="00292770">
      <w:pPr>
        <w:pStyle w:val="Prrafodelista"/>
        <w:numPr>
          <w:ilvl w:val="0"/>
          <w:numId w:val="4"/>
        </w:numPr>
        <w:spacing w:after="0" w:line="240" w:lineRule="auto"/>
        <w:ind w:left="284" w:hanging="284"/>
        <w:rPr>
          <w:rFonts w:cs="Arial"/>
          <w:sz w:val="22"/>
        </w:rPr>
      </w:pPr>
      <w:r w:rsidRPr="00347591">
        <w:rPr>
          <w:rFonts w:cs="Arial"/>
          <w:sz w:val="22"/>
        </w:rPr>
        <w:t xml:space="preserve">SGSI del proceso de Contratos: Revisado por el CSIRT y </w:t>
      </w:r>
      <w:proofErr w:type="spellStart"/>
      <w:r w:rsidRPr="00347591">
        <w:rPr>
          <w:rFonts w:cs="Arial"/>
          <w:sz w:val="22"/>
        </w:rPr>
        <w:t>MinTIC</w:t>
      </w:r>
      <w:proofErr w:type="spellEnd"/>
    </w:p>
    <w:p w:rsidR="008F0D7D" w:rsidRPr="00347591" w:rsidRDefault="008F0D7D" w:rsidP="008F0D7D">
      <w:pPr>
        <w:pStyle w:val="Prrafodelista"/>
        <w:spacing w:after="0" w:line="240" w:lineRule="auto"/>
        <w:rPr>
          <w:rFonts w:cs="FuturaStd-ExtraBold"/>
          <w:b/>
          <w:bCs/>
          <w:sz w:val="22"/>
        </w:rPr>
      </w:pPr>
    </w:p>
    <w:p w:rsidR="00E95725" w:rsidRPr="00347591" w:rsidRDefault="008F0D7D" w:rsidP="008F0D7D">
      <w:pPr>
        <w:spacing w:after="0" w:line="240" w:lineRule="auto"/>
        <w:rPr>
          <w:rFonts w:cs="Arial"/>
          <w:sz w:val="22"/>
        </w:rPr>
      </w:pPr>
      <w:r w:rsidRPr="00DE6CDD">
        <w:rPr>
          <w:rFonts w:cs="Arial"/>
          <w:sz w:val="22"/>
        </w:rPr>
        <w:t>Las actividades realizadas en relación a la implementación del SGSI y su articulación con el SIG, son un primer paso para el cumplimiento de los objetivos planteados. Cabe anotar que las fechas de cumplimientos establecidas inicialmente, fueron modificadas por solicitud del área responsable en el comité de gerencia del 24 de mayo de 2017, lo anterior teniendo en cuenta que fue definida erróneamente sin considerar el presupuesto de la oficina TIC para la vigencia. En el mes de Septiembre se entregan los cuatro indicadores para medir la gestión del SGSI</w:t>
      </w:r>
      <w:r w:rsidR="0086183A" w:rsidRPr="00DE6CDD">
        <w:rPr>
          <w:rFonts w:cs="Arial"/>
          <w:sz w:val="22"/>
        </w:rPr>
        <w:t xml:space="preserve">. </w:t>
      </w:r>
      <w:r w:rsidR="003603C9" w:rsidRPr="00DE6CDD">
        <w:rPr>
          <w:rFonts w:cs="Arial"/>
          <w:sz w:val="22"/>
        </w:rPr>
        <w:t>Teniendo en cuenta que la articulación del SGSI con el SIG está proyectada para el 2018 se observa que para el año 2017 no es viable  formular los indicadores del SGSI, toda vez que para poder cumplir con esta actividad sería necesario previamente definir lineamientos y actividades a documentar del SGSI. Por lo anterior, se presentará su reprogramación para el 2018 en el próximo Comité de Desarrollo Institucional</w:t>
      </w:r>
      <w:proofErr w:type="gramStart"/>
      <w:r w:rsidR="003603C9" w:rsidRPr="00DE6CDD">
        <w:rPr>
          <w:rFonts w:cs="Arial"/>
          <w:sz w:val="22"/>
        </w:rPr>
        <w:t>.</w:t>
      </w:r>
      <w:r w:rsidRPr="00DE6CDD">
        <w:rPr>
          <w:rFonts w:cs="Arial"/>
          <w:sz w:val="22"/>
        </w:rPr>
        <w:t>.</w:t>
      </w:r>
      <w:proofErr w:type="gramEnd"/>
      <w:r w:rsidRPr="00DE6CDD">
        <w:rPr>
          <w:rFonts w:cs="Arial"/>
          <w:sz w:val="22"/>
        </w:rPr>
        <w:t xml:space="preserve"> Los documentos relacionados con las políticas de seguridad de información y protección de datos personales así como sus respectivas resoluciones, fueron corregidos teniendo en cuenta las sugerencias del Comité Institucional y serán presentados a dicho comité, el cual será convocado por el jefe de la oficina TIC en el mes de Octubre, para obtener su aprobación, a</w:t>
      </w:r>
      <w:r w:rsidR="00EE41CE" w:rsidRPr="00DE6CDD">
        <w:rPr>
          <w:rFonts w:cs="Arial"/>
          <w:sz w:val="22"/>
        </w:rPr>
        <w:t xml:space="preserve"> </w:t>
      </w:r>
      <w:r w:rsidR="0086183A" w:rsidRPr="00DE6CDD">
        <w:rPr>
          <w:rFonts w:cs="Arial"/>
          <w:sz w:val="22"/>
        </w:rPr>
        <w:t>fin</w:t>
      </w:r>
      <w:r w:rsidRPr="00DE6CDD">
        <w:rPr>
          <w:rFonts w:cs="Arial"/>
          <w:sz w:val="22"/>
        </w:rPr>
        <w:t xml:space="preserve"> de que el SGSI quede formalmente adoptado en el Ministerio</w:t>
      </w:r>
      <w:r w:rsidR="00F16B6A" w:rsidRPr="00DE6CDD">
        <w:rPr>
          <w:rFonts w:cs="Arial"/>
          <w:sz w:val="22"/>
        </w:rPr>
        <w:t xml:space="preserve">. Teniendo en cuenta lo anterior, la </w:t>
      </w:r>
      <w:r w:rsidR="00C73BED" w:rsidRPr="00DE6CDD">
        <w:rPr>
          <w:rFonts w:cs="Arial"/>
          <w:sz w:val="22"/>
        </w:rPr>
        <w:t>iniciativa</w:t>
      </w:r>
      <w:r w:rsidR="00F16B6A" w:rsidRPr="00DE6CDD">
        <w:rPr>
          <w:rFonts w:cs="Arial"/>
          <w:sz w:val="22"/>
        </w:rPr>
        <w:t xml:space="preserve"> relacionada con la </w:t>
      </w:r>
      <w:r w:rsidR="00F16B6A" w:rsidRPr="00DE6CDD">
        <w:rPr>
          <w:rFonts w:cs="Arial"/>
          <w:sz w:val="22"/>
        </w:rPr>
        <w:lastRenderedPageBreak/>
        <w:t xml:space="preserve">articulación del SGSI con el SIG cuenta con una ejecución del </w:t>
      </w:r>
      <w:r w:rsidR="0086183A" w:rsidRPr="00DE6CDD">
        <w:rPr>
          <w:rFonts w:cs="Arial"/>
          <w:sz w:val="22"/>
        </w:rPr>
        <w:t>2</w:t>
      </w:r>
      <w:r w:rsidR="00FC36A2" w:rsidRPr="00DE6CDD">
        <w:rPr>
          <w:rFonts w:cs="Arial"/>
          <w:sz w:val="22"/>
        </w:rPr>
        <w:t>0%</w:t>
      </w:r>
      <w:r w:rsidR="004D7FC1" w:rsidRPr="00DE6CDD">
        <w:rPr>
          <w:rFonts w:cs="Arial"/>
          <w:sz w:val="22"/>
        </w:rPr>
        <w:t xml:space="preserve">, en el caso de la implementación del SGSI, se cuenta con el borrador de la resolución que aprueba la política de Seguridad de la información </w:t>
      </w:r>
      <w:r w:rsidR="00AE4014" w:rsidRPr="00DE6CDD">
        <w:rPr>
          <w:rFonts w:cs="Arial"/>
          <w:sz w:val="22"/>
        </w:rPr>
        <w:t>así</w:t>
      </w:r>
      <w:r w:rsidR="004D7FC1" w:rsidRPr="00DE6CDD">
        <w:rPr>
          <w:rFonts w:cs="Arial"/>
          <w:sz w:val="22"/>
        </w:rPr>
        <w:t xml:space="preserve"> como el borrador de la Resolución que </w:t>
      </w:r>
      <w:r w:rsidR="00AE4014" w:rsidRPr="00DE6CDD">
        <w:rPr>
          <w:rFonts w:cs="Arial"/>
          <w:sz w:val="22"/>
        </w:rPr>
        <w:t>aprueba</w:t>
      </w:r>
      <w:r w:rsidR="004D7FC1" w:rsidRPr="00DE6CDD">
        <w:rPr>
          <w:rFonts w:cs="Arial"/>
          <w:sz w:val="22"/>
        </w:rPr>
        <w:t xml:space="preserve"> el manual de tratamiento de datos. Estos dos documentos se presentarán para aprobación del comité institucional de desarrollo administrativo en el mes de Octubre. Por lo anterior la ejecución de la present</w:t>
      </w:r>
      <w:r w:rsidR="00AE4014" w:rsidRPr="00DE6CDD">
        <w:rPr>
          <w:rFonts w:cs="Arial"/>
          <w:sz w:val="22"/>
        </w:rPr>
        <w:t xml:space="preserve">e iniciativa es del </w:t>
      </w:r>
      <w:r w:rsidR="00FC36A2" w:rsidRPr="00DE6CDD">
        <w:rPr>
          <w:rFonts w:cs="Arial"/>
          <w:sz w:val="22"/>
        </w:rPr>
        <w:t>75</w:t>
      </w:r>
      <w:r w:rsidR="00AE4014" w:rsidRPr="00DE6CDD">
        <w:rPr>
          <w:rFonts w:cs="Arial"/>
          <w:sz w:val="22"/>
        </w:rPr>
        <w:t>%</w:t>
      </w:r>
    </w:p>
    <w:p w:rsidR="008F0D7D" w:rsidRPr="00347591" w:rsidRDefault="008F0D7D" w:rsidP="008F0D7D">
      <w:pPr>
        <w:spacing w:after="0" w:line="240" w:lineRule="auto"/>
        <w:rPr>
          <w:rFonts w:cs="FuturaStd-ExtraBold"/>
          <w:b/>
          <w:bCs/>
          <w:sz w:val="22"/>
        </w:rPr>
      </w:pPr>
    </w:p>
    <w:p w:rsidR="00EB0438" w:rsidRPr="00347591" w:rsidRDefault="009C4B52" w:rsidP="00A86DD7">
      <w:pPr>
        <w:spacing w:after="0" w:line="240" w:lineRule="auto"/>
        <w:rPr>
          <w:rFonts w:cs="FuturaStd-ExtraBold"/>
          <w:bCs/>
          <w:sz w:val="22"/>
        </w:rPr>
      </w:pPr>
      <w:r w:rsidRPr="00347591">
        <w:rPr>
          <w:rFonts w:cs="FuturaStd-ExtraBold"/>
          <w:b/>
          <w:bCs/>
          <w:sz w:val="22"/>
        </w:rPr>
        <w:t xml:space="preserve">2. </w:t>
      </w:r>
      <w:r w:rsidR="00662E96" w:rsidRPr="00347591">
        <w:rPr>
          <w:rFonts w:cs="FuturaStd-ExtraBold"/>
          <w:b/>
          <w:bCs/>
          <w:sz w:val="22"/>
        </w:rPr>
        <w:t>Mejorar y mantener (5) cinco procesos automatizados</w:t>
      </w:r>
      <w:r w:rsidR="00662E96" w:rsidRPr="00347591">
        <w:rPr>
          <w:rFonts w:cs="FuturaStd-ExtraBold"/>
          <w:bCs/>
          <w:sz w:val="22"/>
        </w:rPr>
        <w:t xml:space="preserve"> </w:t>
      </w:r>
      <w:r w:rsidR="008F0D7D" w:rsidRPr="00347591">
        <w:rPr>
          <w:rFonts w:cs="FuturaStd-ExtraBold"/>
          <w:bCs/>
          <w:sz w:val="22"/>
        </w:rPr>
        <w:t xml:space="preserve">En los primeros nueve meses del año 2017, se realizó el mantenimiento y soporte a los procesos de Gestión Documental, Licencias Urbanísticas y Riesgos. En el proceso de SGP – Cuentas Maestras, se realizó el procesamiento de todas las solicitudes de registro de cuentas maestras recibidas por parte de los Municipios, Distritos y Departamentos, lo que ha permitido a su vez llevar un control sobre el proceso de recepción de la documentación, consulta en línea del estado de caso solicitud en línea, la entrega de reportes al cliente interno y externo, así como también un mayor control para la revisión mensual de la transferencia de dichos recursos. En el proceso de Titulación de Predios, se realizó la convocatoria de titulación y saneamiento predial a través del sistema, lo que permitió mayor  agilidad y control sobre el proceso. Dado lo anterior, es posible reportar un avance en la ejecución de la iniciativa del </w:t>
      </w:r>
      <w:r w:rsidR="00F35721" w:rsidRPr="00347591">
        <w:rPr>
          <w:rFonts w:cs="FuturaStd-ExtraBold"/>
          <w:bCs/>
          <w:sz w:val="22"/>
        </w:rPr>
        <w:t>94</w:t>
      </w:r>
      <w:r w:rsidR="008F0D7D" w:rsidRPr="00347591">
        <w:rPr>
          <w:rFonts w:cs="FuturaStd-ExtraBold"/>
          <w:bCs/>
          <w:sz w:val="22"/>
        </w:rPr>
        <w:t>%</w:t>
      </w:r>
      <w:r w:rsidR="00A0064E" w:rsidRPr="00347591">
        <w:rPr>
          <w:rFonts w:cs="FuturaStd-ExtraBold"/>
          <w:bCs/>
          <w:sz w:val="22"/>
        </w:rPr>
        <w:t xml:space="preserve"> frente a la meta total del 2017</w:t>
      </w:r>
      <w:r w:rsidR="008F0D7D" w:rsidRPr="00347591">
        <w:rPr>
          <w:rFonts w:cs="FuturaStd-ExtraBold"/>
          <w:bCs/>
          <w:sz w:val="22"/>
        </w:rPr>
        <w:t>.</w:t>
      </w:r>
    </w:p>
    <w:p w:rsidR="008F0D7D" w:rsidRPr="00347591" w:rsidRDefault="008F0D7D" w:rsidP="00A86DD7">
      <w:pPr>
        <w:spacing w:after="0" w:line="240" w:lineRule="auto"/>
        <w:rPr>
          <w:rFonts w:cs="FuturaStd-ExtraBold"/>
          <w:b/>
          <w:bCs/>
          <w:sz w:val="22"/>
        </w:rPr>
      </w:pPr>
    </w:p>
    <w:p w:rsidR="00B07BAA" w:rsidRPr="00347591" w:rsidRDefault="008A3BCC" w:rsidP="00E95725">
      <w:pPr>
        <w:spacing w:after="0" w:line="240" w:lineRule="auto"/>
        <w:rPr>
          <w:rFonts w:cs="Arial"/>
          <w:sz w:val="22"/>
        </w:rPr>
      </w:pPr>
      <w:r w:rsidRPr="00347591">
        <w:rPr>
          <w:rFonts w:cs="Arial"/>
          <w:b/>
          <w:sz w:val="22"/>
        </w:rPr>
        <w:t xml:space="preserve">3. </w:t>
      </w:r>
      <w:r w:rsidR="00E54C19" w:rsidRPr="00347591">
        <w:rPr>
          <w:rFonts w:cs="Arial"/>
          <w:b/>
          <w:sz w:val="22"/>
        </w:rPr>
        <w:t xml:space="preserve">Desarrollar, fortalecer e implementar los lineamientos de datos abiertos: </w:t>
      </w:r>
      <w:r w:rsidR="008F0D7D" w:rsidRPr="00347591">
        <w:rPr>
          <w:rFonts w:cs="Arial"/>
          <w:sz w:val="22"/>
        </w:rPr>
        <w:t xml:space="preserve">Se actualizó y publicó en la página WEB la matriz con el inventario de información de las áreas del Ministerio, adicionalmente se cuenta con 12 data set en la plataforma de datos abiertos del gobierno (www.datos.gov.co) poniendo a disposición de la ciudadanía 10 data set de las áreas estratégicas y de apoyo y dos data set de las áreas misionales. Para seguir mejorando la calidad y oportunidad de la información para datos abiertos, se elaboró una guía interna sobre el tema. Cabe resaltar que en el último trimestre se generó un data set del Viceministerio de Vivienda donde se relacionan los programas subsidiados, al ser uno de los primeros Ministerios que ha puesto a disposición de la ciudadanía los data set, en septiembre el Ministerio recibió un reconocimiento de excelencia por parte de </w:t>
      </w:r>
      <w:proofErr w:type="spellStart"/>
      <w:r w:rsidR="008F0D7D" w:rsidRPr="00347591">
        <w:rPr>
          <w:rFonts w:cs="Arial"/>
          <w:sz w:val="22"/>
        </w:rPr>
        <w:t>MinTic</w:t>
      </w:r>
      <w:proofErr w:type="spellEnd"/>
      <w:r w:rsidR="008F0D7D" w:rsidRPr="00347591">
        <w:rPr>
          <w:rFonts w:cs="Arial"/>
          <w:sz w:val="22"/>
        </w:rPr>
        <w:t>.   Con las actividades realizadas ya se cumplió con el 100% de los objetivos planteados en la iniciativa estratégica para el año 2017.</w:t>
      </w:r>
    </w:p>
    <w:p w:rsidR="00EE41CE" w:rsidRDefault="00EE41CE" w:rsidP="008F0D7D">
      <w:pPr>
        <w:spacing w:after="0" w:line="240" w:lineRule="auto"/>
        <w:rPr>
          <w:rFonts w:cs="Arial"/>
          <w:b/>
          <w:sz w:val="22"/>
        </w:rPr>
      </w:pPr>
    </w:p>
    <w:p w:rsidR="008F0D7D" w:rsidRDefault="008A3BCC" w:rsidP="008F0D7D">
      <w:pPr>
        <w:spacing w:after="0" w:line="240" w:lineRule="auto"/>
        <w:rPr>
          <w:rFonts w:cs="Arial"/>
          <w:sz w:val="22"/>
        </w:rPr>
      </w:pPr>
      <w:r w:rsidRPr="00347591">
        <w:rPr>
          <w:rFonts w:cs="Arial"/>
          <w:b/>
          <w:sz w:val="22"/>
        </w:rPr>
        <w:t xml:space="preserve">4. </w:t>
      </w:r>
      <w:r w:rsidR="008F0D7D" w:rsidRPr="00347591">
        <w:rPr>
          <w:rFonts w:cs="Arial"/>
          <w:b/>
          <w:sz w:val="22"/>
        </w:rPr>
        <w:t>Fortalecimiento del componente de Rendición de Cuentas:</w:t>
      </w:r>
      <w:r w:rsidR="008F0D7D" w:rsidRPr="00347591">
        <w:rPr>
          <w:rFonts w:cs="Arial"/>
          <w:sz w:val="22"/>
        </w:rPr>
        <w:t xml:space="preserve"> Durante lo corrido del año se realizaron reuniones con Urna de Cristal y con el Sector Vivienda, donde se definieron las tareas para poder realizar un Foro Sectorial a través de la herramienta Facebook Live con el apoyo de </w:t>
      </w:r>
      <w:proofErr w:type="spellStart"/>
      <w:r w:rsidR="008F0D7D" w:rsidRPr="00347591">
        <w:rPr>
          <w:rFonts w:cs="Arial"/>
          <w:sz w:val="22"/>
        </w:rPr>
        <w:t>MinTic</w:t>
      </w:r>
      <w:proofErr w:type="spellEnd"/>
      <w:r w:rsidR="008F0D7D" w:rsidRPr="00347591">
        <w:rPr>
          <w:rFonts w:cs="Arial"/>
          <w:sz w:val="22"/>
        </w:rPr>
        <w:t xml:space="preserve">. Este Foro fue realizado el día jueves 28 de septiembre entre las 3:00 p.m. y las 4:00 p.m., donde se contó con la participación del señor Ministro Jaime Pumarejo, el Presidente del FNA y el Subdirector de Regulación de la CRA, dando cumplimiento así con parte de la estrategia de Rendición de Cuentas y dejando </w:t>
      </w:r>
      <w:r w:rsidR="00A0064E" w:rsidRPr="00347591">
        <w:rPr>
          <w:rFonts w:cs="Arial"/>
          <w:sz w:val="22"/>
        </w:rPr>
        <w:t xml:space="preserve"> </w:t>
      </w:r>
      <w:r w:rsidR="008F0D7D" w:rsidRPr="00347591">
        <w:rPr>
          <w:rFonts w:cs="Arial"/>
          <w:sz w:val="22"/>
        </w:rPr>
        <w:t>est</w:t>
      </w:r>
      <w:r w:rsidR="00A0064E" w:rsidRPr="00347591">
        <w:rPr>
          <w:rFonts w:cs="Arial"/>
          <w:sz w:val="22"/>
        </w:rPr>
        <w:t>a</w:t>
      </w:r>
      <w:r w:rsidR="008F0D7D" w:rsidRPr="00347591">
        <w:rPr>
          <w:rFonts w:cs="Arial"/>
          <w:sz w:val="22"/>
        </w:rPr>
        <w:t xml:space="preserve"> </w:t>
      </w:r>
      <w:r w:rsidR="00A0064E" w:rsidRPr="00347591">
        <w:rPr>
          <w:rFonts w:cs="Arial"/>
          <w:sz w:val="22"/>
        </w:rPr>
        <w:t>iniciativa</w:t>
      </w:r>
      <w:r w:rsidR="008F0D7D" w:rsidRPr="00347591">
        <w:rPr>
          <w:rFonts w:cs="Arial"/>
          <w:sz w:val="22"/>
        </w:rPr>
        <w:t xml:space="preserve"> con el 100% de cumplimiento.</w:t>
      </w:r>
    </w:p>
    <w:p w:rsidR="004C5315" w:rsidRDefault="004C5315" w:rsidP="008F0D7D">
      <w:pPr>
        <w:spacing w:after="0" w:line="240" w:lineRule="auto"/>
        <w:rPr>
          <w:rFonts w:cs="Arial"/>
          <w:sz w:val="22"/>
        </w:rPr>
      </w:pPr>
    </w:p>
    <w:p w:rsidR="008F0D7D" w:rsidRPr="00347591" w:rsidRDefault="004C5315" w:rsidP="008F0D7D">
      <w:pPr>
        <w:spacing w:after="0" w:line="240" w:lineRule="auto"/>
        <w:rPr>
          <w:rFonts w:cs="Arial"/>
          <w:sz w:val="22"/>
        </w:rPr>
      </w:pPr>
      <w:r w:rsidRPr="00347591">
        <w:rPr>
          <w:rFonts w:cs="Arial"/>
          <w:b/>
          <w:sz w:val="22"/>
        </w:rPr>
        <w:t xml:space="preserve">5. Sensibilizar sobre gestión de conocimiento en el MVCT: </w:t>
      </w:r>
      <w:r w:rsidRPr="00347591">
        <w:rPr>
          <w:rFonts w:cs="Arial"/>
          <w:sz w:val="22"/>
        </w:rPr>
        <w:t xml:space="preserve">Durante lo corrido del año se realizaron reuniones internas para socializar el tema, en junio el Director de Gestión del Conocimiento del DAFP socializó la experiencia </w:t>
      </w:r>
      <w:r w:rsidRPr="00347591">
        <w:rPr>
          <w:rFonts w:cs="Arial"/>
          <w:sz w:val="22"/>
        </w:rPr>
        <w:lastRenderedPageBreak/>
        <w:t>de esa entidad en la gestión del conocimiento, para que el Ministerio tenga en cuenta los puntos clave en su</w:t>
      </w:r>
      <w:r>
        <w:rPr>
          <w:rFonts w:cs="Arial"/>
          <w:sz w:val="22"/>
        </w:rPr>
        <w:t xml:space="preserve"> </w:t>
      </w:r>
      <w:r w:rsidRPr="00347591">
        <w:rPr>
          <w:rFonts w:cs="Arial"/>
          <w:sz w:val="22"/>
        </w:rPr>
        <w:t>desarrollo e implementación.</w:t>
      </w:r>
    </w:p>
    <w:p w:rsidR="003638D2" w:rsidRDefault="00E30206" w:rsidP="003638D2">
      <w:pPr>
        <w:jc w:val="center"/>
        <w:rPr>
          <w:rFonts w:cs="Arial"/>
          <w:sz w:val="20"/>
          <w:szCs w:val="20"/>
        </w:rPr>
      </w:pPr>
      <w:r w:rsidRPr="00E30206">
        <w:rPr>
          <w:noProof/>
          <w:bdr w:val="single" w:sz="12" w:space="0" w:color="auto"/>
          <w:lang w:eastAsia="es-CO"/>
        </w:rPr>
        <w:drawing>
          <wp:inline distT="0" distB="0" distL="0" distR="0" wp14:anchorId="64972F87" wp14:editId="170730BA">
            <wp:extent cx="4171415" cy="4471154"/>
            <wp:effectExtent l="0" t="0" r="63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4536" cy="4474499"/>
                    </a:xfrm>
                    <a:prstGeom prst="rect">
                      <a:avLst/>
                    </a:prstGeom>
                    <a:noFill/>
                    <a:ln>
                      <a:noFill/>
                    </a:ln>
                  </pic:spPr>
                </pic:pic>
              </a:graphicData>
            </a:graphic>
          </wp:inline>
        </w:drawing>
      </w:r>
    </w:p>
    <w:p w:rsidR="003638D2" w:rsidRPr="00347591" w:rsidRDefault="003638D2" w:rsidP="003638D2">
      <w:pPr>
        <w:spacing w:after="0" w:line="240" w:lineRule="auto"/>
        <w:rPr>
          <w:rFonts w:cs="Arial"/>
          <w:sz w:val="22"/>
        </w:rPr>
      </w:pPr>
      <w:r w:rsidRPr="00347591">
        <w:rPr>
          <w:rFonts w:cs="Arial"/>
          <w:sz w:val="22"/>
        </w:rPr>
        <w:t xml:space="preserve">Además, se revisaron algunas herramientas para </w:t>
      </w:r>
      <w:r w:rsidR="00FB254F" w:rsidRPr="00347591">
        <w:rPr>
          <w:rFonts w:cs="Arial"/>
          <w:sz w:val="22"/>
        </w:rPr>
        <w:t xml:space="preserve">poner a disposición en el MVCT </w:t>
      </w:r>
      <w:r w:rsidRPr="00347591">
        <w:rPr>
          <w:rFonts w:cs="Arial"/>
          <w:sz w:val="22"/>
        </w:rPr>
        <w:t xml:space="preserve">con el fin de realizar cursos </w:t>
      </w:r>
      <w:proofErr w:type="spellStart"/>
      <w:r w:rsidRPr="00347591">
        <w:rPr>
          <w:rFonts w:cs="Arial"/>
          <w:sz w:val="22"/>
        </w:rPr>
        <w:t>On</w:t>
      </w:r>
      <w:proofErr w:type="spellEnd"/>
      <w:r w:rsidRPr="00347591">
        <w:rPr>
          <w:rFonts w:cs="Arial"/>
          <w:sz w:val="22"/>
        </w:rPr>
        <w:t xml:space="preserve"> Line y comunidades de práctica. Entre las plataformas analizadas están Share Point, </w:t>
      </w:r>
      <w:proofErr w:type="spellStart"/>
      <w:r w:rsidRPr="00347591">
        <w:rPr>
          <w:rFonts w:cs="Arial"/>
          <w:sz w:val="22"/>
        </w:rPr>
        <w:t>Chamilo</w:t>
      </w:r>
      <w:proofErr w:type="spellEnd"/>
      <w:r w:rsidRPr="00347591">
        <w:rPr>
          <w:rFonts w:cs="Arial"/>
          <w:sz w:val="22"/>
        </w:rPr>
        <w:t xml:space="preserve"> y Moodle, de las cuales fue escogida </w:t>
      </w:r>
      <w:proofErr w:type="spellStart"/>
      <w:r w:rsidRPr="00347591">
        <w:rPr>
          <w:rFonts w:cs="Arial"/>
          <w:sz w:val="22"/>
        </w:rPr>
        <w:t>Chamilo</w:t>
      </w:r>
      <w:proofErr w:type="spellEnd"/>
      <w:r w:rsidRPr="00347591">
        <w:rPr>
          <w:rFonts w:cs="Arial"/>
          <w:sz w:val="22"/>
        </w:rPr>
        <w:t xml:space="preserve">. </w:t>
      </w:r>
      <w:r w:rsidR="00FB254F" w:rsidRPr="00347591">
        <w:rPr>
          <w:rFonts w:cs="Arial"/>
          <w:sz w:val="22"/>
        </w:rPr>
        <w:t xml:space="preserve">Los talleres sobre la gestión del conocimiento en el MVCT están programados a partir del mes de noviembre, por lo tanto la ejecución de esta iniciativa es del 20% de la meta total del año 2017, frente un avance programado del 18.54% a corte de 30 de Septiembre. </w:t>
      </w:r>
    </w:p>
    <w:p w:rsidR="003638D2" w:rsidRPr="00347591" w:rsidRDefault="003638D2" w:rsidP="003638D2">
      <w:pPr>
        <w:rPr>
          <w:rFonts w:cs="Arial"/>
          <w:sz w:val="22"/>
        </w:rPr>
      </w:pPr>
      <w:r w:rsidRPr="00347591">
        <w:rPr>
          <w:rFonts w:cs="Arial"/>
          <w:b/>
          <w:sz w:val="22"/>
        </w:rPr>
        <w:lastRenderedPageBreak/>
        <w:t>6. Actualización del PETIC</w:t>
      </w:r>
      <w:r w:rsidRPr="00347591">
        <w:rPr>
          <w:rFonts w:cs="Arial"/>
          <w:b/>
          <w:i/>
          <w:sz w:val="22"/>
        </w:rPr>
        <w:t xml:space="preserve">: </w:t>
      </w:r>
      <w:r w:rsidRPr="00347591">
        <w:rPr>
          <w:rFonts w:cs="Arial"/>
          <w:sz w:val="22"/>
        </w:rPr>
        <w:t xml:space="preserve">Se actualizaron los siguientes documentos: Anexo – Topología Red de </w:t>
      </w:r>
      <w:proofErr w:type="spellStart"/>
      <w:r w:rsidRPr="00347591">
        <w:rPr>
          <w:rFonts w:cs="Arial"/>
          <w:sz w:val="22"/>
        </w:rPr>
        <w:t>Minvivienda</w:t>
      </w:r>
      <w:proofErr w:type="spellEnd"/>
      <w:r w:rsidRPr="00347591">
        <w:rPr>
          <w:rFonts w:cs="Arial"/>
          <w:sz w:val="22"/>
        </w:rPr>
        <w:t xml:space="preserve"> 2017, Anexo – Inventario Centro de Computo 2017, Anexo – Inventario Equipos IPV6 2017, Anexo – Inventario HW-SW-IPV4-IPV6 2017, Anexo  MVCT – </w:t>
      </w:r>
      <w:proofErr w:type="spellStart"/>
      <w:r w:rsidRPr="00347591">
        <w:rPr>
          <w:rFonts w:cs="Arial"/>
          <w:sz w:val="22"/>
        </w:rPr>
        <w:t>Roadmap</w:t>
      </w:r>
      <w:proofErr w:type="spellEnd"/>
      <w:r w:rsidRPr="00347591">
        <w:rPr>
          <w:rFonts w:cs="Arial"/>
          <w:sz w:val="22"/>
        </w:rPr>
        <w:t xml:space="preserve"> – PETIC-GEL 2017, los ítem a actualizar ya se encuentran hechos, está pendiente la socialización del PETIC en el Comité Institucional.  Se espera seguir implementado los proyectos que requiere el Ministerio, en la medida en que se cuente con recursos. </w:t>
      </w:r>
      <w:r w:rsidR="00FB254F" w:rsidRPr="00347591">
        <w:rPr>
          <w:rFonts w:cs="Arial"/>
          <w:sz w:val="22"/>
        </w:rPr>
        <w:t xml:space="preserve">La ejecución de esta iniciativa es del 33%, </w:t>
      </w:r>
      <w:r w:rsidR="004D7FC1" w:rsidRPr="00347591">
        <w:rPr>
          <w:rFonts w:cs="Arial"/>
          <w:sz w:val="22"/>
        </w:rPr>
        <w:t>teniendo</w:t>
      </w:r>
      <w:r w:rsidR="00FB254F" w:rsidRPr="00347591">
        <w:rPr>
          <w:rFonts w:cs="Arial"/>
          <w:sz w:val="22"/>
        </w:rPr>
        <w:t xml:space="preserve"> en cuenta que el PETIC aún no ha sido aprobado por el comité institucional de desarrollo administrativo. </w:t>
      </w:r>
    </w:p>
    <w:p w:rsidR="003638D2" w:rsidRPr="00347591" w:rsidRDefault="003638D2" w:rsidP="003638D2">
      <w:pPr>
        <w:rPr>
          <w:rFonts w:cs="Arial"/>
          <w:sz w:val="22"/>
        </w:rPr>
      </w:pPr>
      <w:r w:rsidRPr="00347591">
        <w:rPr>
          <w:rFonts w:cs="Arial"/>
          <w:b/>
          <w:sz w:val="22"/>
        </w:rPr>
        <w:t xml:space="preserve">7. Promover la implementación de la estrategia “cero papel”: </w:t>
      </w:r>
      <w:r w:rsidRPr="00347591">
        <w:rPr>
          <w:rFonts w:cs="Arial"/>
          <w:sz w:val="22"/>
        </w:rPr>
        <w:t xml:space="preserve">durante los primeros nueve meses de 2017 se realizaron dos campañas paralelas, una a través de la página Web e intranet y otra con afiches ubicados en las fotocopiadoras con información alusiva al cuidado del medio ambiente. También se generaron trimestralmente los reportes de consumo de impresiones y fotocopias por área, el cual es enviado por correo masivo. Las acciones descritas, permiten presentar una ejecución de la iniciativa de </w:t>
      </w:r>
      <w:r w:rsidR="00F35721" w:rsidRPr="00347591">
        <w:rPr>
          <w:rFonts w:cs="Arial"/>
          <w:sz w:val="22"/>
        </w:rPr>
        <w:t>80</w:t>
      </w:r>
      <w:r w:rsidRPr="00347591">
        <w:rPr>
          <w:rFonts w:cs="Arial"/>
          <w:sz w:val="22"/>
        </w:rPr>
        <w:t xml:space="preserve">% frente a la meta establecida para la presente vigencia. Cabe señalar que los reportes trimestrales salen diez días después de terminado el trimestre. </w:t>
      </w:r>
    </w:p>
    <w:p w:rsidR="003638D2" w:rsidRPr="00347591" w:rsidRDefault="00FB254F" w:rsidP="003638D2">
      <w:pPr>
        <w:rPr>
          <w:rFonts w:cs="Arial"/>
          <w:sz w:val="22"/>
        </w:rPr>
      </w:pPr>
      <w:r w:rsidRPr="00347591">
        <w:rPr>
          <w:rFonts w:cs="Arial"/>
          <w:b/>
          <w:sz w:val="22"/>
        </w:rPr>
        <w:t>9</w:t>
      </w:r>
      <w:r w:rsidR="003638D2" w:rsidRPr="00347591">
        <w:rPr>
          <w:rFonts w:cs="Arial"/>
          <w:b/>
          <w:sz w:val="22"/>
        </w:rPr>
        <w:t xml:space="preserve">. Planear la gestión de servicios de TI: </w:t>
      </w:r>
      <w:r w:rsidR="003638D2" w:rsidRPr="00347591">
        <w:rPr>
          <w:rFonts w:cs="Arial"/>
          <w:sz w:val="22"/>
        </w:rPr>
        <w:t xml:space="preserve">El Grupo de Soporte Técnico y Apoyo Informático desarrolla iniciativas para garantizar la prestación de los servicios de TI, los cuales están definidas por el árbol de servicios prestados por medio de la herramienta de gestión, todas las actividades de Soporte Técnico buscan garantizar la prestación de los servicios  a los usuarios finales, entre ellas se realizan periódicamente los siguientes temas que en conjunto </w:t>
      </w:r>
      <w:r w:rsidRPr="00347591">
        <w:rPr>
          <w:rFonts w:cs="Arial"/>
          <w:sz w:val="22"/>
        </w:rPr>
        <w:t xml:space="preserve">que </w:t>
      </w:r>
      <w:r w:rsidR="003638D2" w:rsidRPr="00347591">
        <w:rPr>
          <w:rFonts w:cs="Arial"/>
          <w:sz w:val="22"/>
        </w:rPr>
        <w:t>permiten presentar una ejecuc</w:t>
      </w:r>
      <w:r w:rsidRPr="00347591">
        <w:rPr>
          <w:rFonts w:cs="Arial"/>
          <w:sz w:val="22"/>
        </w:rPr>
        <w:t>ión de la iniciativa del</w:t>
      </w:r>
      <w:r w:rsidR="003638D2" w:rsidRPr="00347591">
        <w:rPr>
          <w:rFonts w:cs="Arial"/>
          <w:sz w:val="22"/>
        </w:rPr>
        <w:t xml:space="preserve"> 100% </w:t>
      </w:r>
    </w:p>
    <w:p w:rsidR="003638D2" w:rsidRPr="00347591" w:rsidRDefault="003638D2" w:rsidP="003638D2">
      <w:pPr>
        <w:pStyle w:val="Prrafodelista"/>
        <w:numPr>
          <w:ilvl w:val="0"/>
          <w:numId w:val="18"/>
        </w:numPr>
        <w:rPr>
          <w:rFonts w:cs="Arial"/>
          <w:sz w:val="22"/>
        </w:rPr>
      </w:pPr>
      <w:r w:rsidRPr="00347591">
        <w:rPr>
          <w:rFonts w:cs="Arial"/>
          <w:sz w:val="22"/>
        </w:rPr>
        <w:t>Creación de cuentas de usuario y cuentas de correo, configuración, asignación y reasignación de equipos de cómputo, mantenimientos preventivos y correctivos a equipos de cómputo,  administración y gestión de la herramienta de gestión denominada Aranda, atención de incidentes y requerimientos de la mesa de ayuda de nivel 1, actualización de Sistemas Operativos Windows - Microsoft de equipos de escritorio del ministerio y apoyo a la actualización de Sistemas Operativos Windows - Microsoft equipos portátiles externos de los contratistas.</w:t>
      </w:r>
    </w:p>
    <w:p w:rsidR="003638D2" w:rsidRDefault="003638D2" w:rsidP="003638D2">
      <w:pPr>
        <w:pStyle w:val="Prrafodelista"/>
        <w:numPr>
          <w:ilvl w:val="0"/>
          <w:numId w:val="3"/>
        </w:numPr>
        <w:suppressAutoHyphens/>
        <w:autoSpaceDN w:val="0"/>
        <w:spacing w:after="0" w:line="276" w:lineRule="auto"/>
        <w:contextualSpacing w:val="0"/>
        <w:textAlignment w:val="baseline"/>
        <w:rPr>
          <w:rFonts w:cs="Arial"/>
          <w:sz w:val="22"/>
        </w:rPr>
      </w:pPr>
      <w:r w:rsidRPr="00347591">
        <w:rPr>
          <w:rFonts w:cs="Arial"/>
          <w:sz w:val="22"/>
        </w:rPr>
        <w:t>Diseño, desarrollo e implementación de Sistemas de información existentes en el MVCT para garantizar la disponibilidad de las aplicaciones, soporte de Bases de datos en SQL y Oracle, administración servicios geográficos, realización de copias de seguridad a bases de datos de las aplicaciones y sistemas de información administrados por el grupo, creación de reportes y las actividades en pro de la gestión y soporte técnico.</w:t>
      </w:r>
    </w:p>
    <w:p w:rsidR="00347591" w:rsidRPr="00347591" w:rsidRDefault="00347591" w:rsidP="00347591">
      <w:pPr>
        <w:pStyle w:val="Prrafodelista"/>
        <w:numPr>
          <w:ilvl w:val="0"/>
          <w:numId w:val="3"/>
        </w:numPr>
        <w:suppressAutoHyphens/>
        <w:autoSpaceDN w:val="0"/>
        <w:spacing w:after="0" w:line="276" w:lineRule="auto"/>
        <w:contextualSpacing w:val="0"/>
        <w:textAlignment w:val="baseline"/>
        <w:rPr>
          <w:rFonts w:cs="Arial"/>
          <w:sz w:val="22"/>
        </w:rPr>
      </w:pPr>
      <w:r w:rsidRPr="00347591">
        <w:rPr>
          <w:rFonts w:cs="Arial"/>
          <w:sz w:val="22"/>
        </w:rPr>
        <w:t>Administración y gestión de la infraestructura tecnológica que impacten la operación de la entidad, administración de las plataformas existentes,  garantizar la disponibilidad de los servidores, herramientas de almacenamiento y firewall 7*24, garantizar la seguridad informática implementando políticas para protección de los servidores y equipos de escritorio (antivirus), mantenimiento preventivo a las plataformas tecnológicas.</w:t>
      </w:r>
    </w:p>
    <w:p w:rsidR="00347591" w:rsidRPr="00347591" w:rsidRDefault="00347591" w:rsidP="00347591">
      <w:pPr>
        <w:pStyle w:val="Prrafodelista"/>
        <w:numPr>
          <w:ilvl w:val="0"/>
          <w:numId w:val="8"/>
        </w:numPr>
        <w:rPr>
          <w:rFonts w:cs="Arial"/>
          <w:sz w:val="22"/>
        </w:rPr>
      </w:pPr>
      <w:r w:rsidRPr="00347591">
        <w:rPr>
          <w:rFonts w:cs="Arial"/>
          <w:sz w:val="22"/>
        </w:rPr>
        <w:lastRenderedPageBreak/>
        <w:t>Administración de equipos de redes y periféricos que prestan el servicio de telecomunicaciones, servicio de conectividad, gestión y acompañamiento a los de los equipos activos y de gestión de red de área local LAN, telefonía IP, Servidores Apoyo en la gestión de incidentes y/o requerimientos de redes y comunicaciones unificadas que apoyan al grupo en cuanto a seguridad de puntos de red, traslados de equipos, y cambios a nivel de telefonía, configuración de teléfonos IP. Adicionalmente se realizan monitoreo a los canales dedicados que tiene el Ministerio el cual es soportado por el proveedor de servicios de Internet IFX NETWORKS.</w:t>
      </w:r>
    </w:p>
    <w:p w:rsidR="00347591" w:rsidRPr="00347591" w:rsidRDefault="00347591" w:rsidP="00347591">
      <w:pPr>
        <w:pStyle w:val="Prrafodelista"/>
        <w:rPr>
          <w:rFonts w:cs="Arial"/>
          <w:sz w:val="22"/>
        </w:rPr>
      </w:pPr>
    </w:p>
    <w:p w:rsidR="00347591" w:rsidRPr="00347591" w:rsidRDefault="00347591" w:rsidP="00347591">
      <w:pPr>
        <w:spacing w:after="200" w:line="276" w:lineRule="auto"/>
        <w:rPr>
          <w:rFonts w:cs="Arial"/>
          <w:sz w:val="22"/>
        </w:rPr>
      </w:pPr>
      <w:r w:rsidRPr="00347591">
        <w:rPr>
          <w:rFonts w:cs="Arial"/>
          <w:b/>
          <w:sz w:val="22"/>
        </w:rPr>
        <w:t xml:space="preserve">10. Planeación, diseño, gestión, mantenimiento y su debida implementación para puesta en producción de los sistemas de información de acuerdo a los lineamientos estratégicos de la arquitectura de información y sistemas de información del MVCT: </w:t>
      </w:r>
      <w:r w:rsidRPr="00347591">
        <w:rPr>
          <w:rFonts w:cs="Arial"/>
          <w:sz w:val="22"/>
        </w:rPr>
        <w:t xml:space="preserve">La ejecución de la presente iniciativa ya se encuentra ejecutada en un 93.50%, se vienen diseñando aplicaciones para garantizar la prestación del servicio en sistemas de información. En febrero del 2017 se recibió una solicitud para depurar las bases de datos del aplicativo ICT –INURBE, actualmente se vienen realizando la depuración de las bases de datos y tablas correspondientes de INURBE, teniendo en cuenta que  se debe modificar la capa de aplicación. Esto conlleva a la mejora del código del aplicativo ICT –INURBE, la cual se va a realizar con su respectivo desarrollo. </w:t>
      </w:r>
    </w:p>
    <w:p w:rsidR="00347591" w:rsidRPr="00347591" w:rsidRDefault="00347591" w:rsidP="00347591">
      <w:pPr>
        <w:suppressAutoHyphens/>
        <w:autoSpaceDN w:val="0"/>
        <w:spacing w:after="0" w:line="276" w:lineRule="auto"/>
        <w:textAlignment w:val="baseline"/>
        <w:rPr>
          <w:rFonts w:cs="Arial"/>
          <w:sz w:val="22"/>
        </w:rPr>
      </w:pPr>
    </w:p>
    <w:p w:rsidR="003638D2" w:rsidRDefault="00EE4BD9" w:rsidP="006D57B1">
      <w:pPr>
        <w:jc w:val="center"/>
        <w:rPr>
          <w:rFonts w:cs="Arial"/>
          <w:b/>
          <w:sz w:val="22"/>
        </w:rPr>
      </w:pPr>
      <w:r w:rsidRPr="00EE4BD9">
        <w:rPr>
          <w:noProof/>
          <w:lang w:eastAsia="es-CO"/>
        </w:rPr>
        <w:lastRenderedPageBreak/>
        <w:drawing>
          <wp:inline distT="0" distB="0" distL="0" distR="0" wp14:anchorId="10609189" wp14:editId="63BBEB64">
            <wp:extent cx="8297837" cy="5636525"/>
            <wp:effectExtent l="0" t="0" r="8255"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07857" cy="5643331"/>
                    </a:xfrm>
                    <a:prstGeom prst="rect">
                      <a:avLst/>
                    </a:prstGeom>
                    <a:noFill/>
                    <a:ln>
                      <a:noFill/>
                    </a:ln>
                  </pic:spPr>
                </pic:pic>
              </a:graphicData>
            </a:graphic>
          </wp:inline>
        </w:drawing>
      </w:r>
    </w:p>
    <w:p w:rsidR="008F0D7D" w:rsidRPr="003638D2" w:rsidRDefault="008F0D7D" w:rsidP="008F0D7D">
      <w:pPr>
        <w:spacing w:after="200" w:line="276" w:lineRule="auto"/>
        <w:rPr>
          <w:rFonts w:cs="Arial"/>
          <w:sz w:val="20"/>
          <w:szCs w:val="20"/>
        </w:rPr>
      </w:pPr>
    </w:p>
    <w:p w:rsidR="00B245A2" w:rsidRPr="008B043D" w:rsidRDefault="00B245A2" w:rsidP="00C4024F">
      <w:pPr>
        <w:pStyle w:val="Ttulo1"/>
      </w:pPr>
      <w:bookmarkStart w:id="6" w:name="_Toc496861730"/>
      <w:r w:rsidRPr="00F60B12">
        <w:rPr>
          <w:rFonts w:cs="FuturaStd-ExtraBold"/>
          <w:noProof/>
          <w:sz w:val="22"/>
          <w:szCs w:val="24"/>
          <w:lang w:eastAsia="es-CO"/>
        </w:rPr>
        <w:lastRenderedPageBreak/>
        <w:drawing>
          <wp:anchor distT="0" distB="0" distL="114300" distR="114300" simplePos="0" relativeHeight="251893760" behindDoc="0" locked="0" layoutInCell="1" allowOverlap="1" wp14:anchorId="1C3EB16C" wp14:editId="2C293F5F">
            <wp:simplePos x="0" y="0"/>
            <wp:positionH relativeFrom="column">
              <wp:posOffset>7303770</wp:posOffset>
            </wp:positionH>
            <wp:positionV relativeFrom="paragraph">
              <wp:posOffset>-136525</wp:posOffset>
            </wp:positionV>
            <wp:extent cx="886460" cy="1239520"/>
            <wp:effectExtent l="0" t="0" r="8890" b="0"/>
            <wp:wrapSquare wrapText="bothSides"/>
            <wp:docPr id="2491" name="Imagen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460" cy="1239520"/>
                    </a:xfrm>
                    <a:prstGeom prst="rect">
                      <a:avLst/>
                    </a:prstGeom>
                    <a:noFill/>
                  </pic:spPr>
                </pic:pic>
              </a:graphicData>
            </a:graphic>
            <wp14:sizeRelH relativeFrom="page">
              <wp14:pctWidth>0</wp14:pctWidth>
            </wp14:sizeRelH>
            <wp14:sizeRelV relativeFrom="page">
              <wp14:pctHeight>0</wp14:pctHeight>
            </wp14:sizeRelV>
          </wp:anchor>
        </w:drawing>
      </w:r>
      <w:r w:rsidR="00C4024F" w:rsidRPr="00F60B12">
        <w:t>3</w:t>
      </w:r>
      <w:r w:rsidR="00850A3D" w:rsidRPr="00F60B12">
        <w:t xml:space="preserve">. </w:t>
      </w:r>
      <w:r w:rsidRPr="00F60B12">
        <w:t>OFICINA DE CONTROL INTERNO</w:t>
      </w:r>
      <w:bookmarkEnd w:id="6"/>
    </w:p>
    <w:p w:rsidR="00B245A2" w:rsidRPr="00B245A2" w:rsidRDefault="00B245A2" w:rsidP="00B245A2">
      <w:pPr>
        <w:spacing w:after="0" w:line="240" w:lineRule="auto"/>
        <w:rPr>
          <w:rFonts w:cs="FuturaStd-ExtraBold"/>
          <w:bCs/>
          <w:szCs w:val="24"/>
        </w:rPr>
      </w:pPr>
      <w:r w:rsidRPr="00B245A2">
        <w:rPr>
          <w:rFonts w:cs="FuturaStd-ExtraBold"/>
          <w:bCs/>
          <w:szCs w:val="24"/>
        </w:rPr>
        <w:t xml:space="preserve">Jefe de Oficina: Dra. Olga Yaneth </w:t>
      </w:r>
      <w:proofErr w:type="spellStart"/>
      <w:r w:rsidRPr="00B245A2">
        <w:rPr>
          <w:rFonts w:cs="FuturaStd-ExtraBold"/>
          <w:bCs/>
          <w:szCs w:val="24"/>
        </w:rPr>
        <w:t>Aragon</w:t>
      </w:r>
      <w:proofErr w:type="spellEnd"/>
      <w:r w:rsidRPr="00B245A2">
        <w:rPr>
          <w:rFonts w:cs="FuturaStd-ExtraBold"/>
          <w:bCs/>
          <w:szCs w:val="24"/>
        </w:rPr>
        <w:t xml:space="preserve"> Sanchez </w:t>
      </w:r>
    </w:p>
    <w:p w:rsidR="00B245A2" w:rsidRPr="00B245A2" w:rsidRDefault="00B245A2" w:rsidP="00B245A2">
      <w:pPr>
        <w:spacing w:after="0" w:line="240" w:lineRule="auto"/>
        <w:rPr>
          <w:rFonts w:cs="FuturaStd-ExtraBold"/>
          <w:bCs/>
          <w:sz w:val="22"/>
          <w:szCs w:val="24"/>
        </w:rPr>
      </w:pPr>
      <w:r w:rsidRPr="00B245A2">
        <w:rPr>
          <w:rFonts w:cs="FuturaStd-ExtraBold"/>
          <w:bCs/>
          <w:sz w:val="22"/>
          <w:szCs w:val="24"/>
        </w:rPr>
        <w:t xml:space="preserve"> </w:t>
      </w:r>
    </w:p>
    <w:tbl>
      <w:tblPr>
        <w:tblpPr w:leftFromText="141" w:rightFromText="141" w:vertAnchor="text" w:horzAnchor="margin" w:tblpY="352"/>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85"/>
        <w:gridCol w:w="1858"/>
        <w:gridCol w:w="3286"/>
        <w:gridCol w:w="1849"/>
      </w:tblGrid>
      <w:tr w:rsidR="00B245A2" w:rsidRPr="00B1123B" w:rsidTr="00AB5BEF">
        <w:trPr>
          <w:trHeight w:val="501"/>
        </w:trPr>
        <w:tc>
          <w:tcPr>
            <w:tcW w:w="3285" w:type="dxa"/>
            <w:shd w:val="clear" w:color="auto" w:fill="993366"/>
            <w:vAlign w:val="center"/>
          </w:tcPr>
          <w:p w:rsidR="00B245A2" w:rsidRPr="00F9219C" w:rsidRDefault="00B245A2" w:rsidP="00316A7D">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858" w:type="dxa"/>
            <w:shd w:val="clear" w:color="auto" w:fill="auto"/>
            <w:vAlign w:val="center"/>
          </w:tcPr>
          <w:p w:rsidR="00B245A2" w:rsidRPr="00E429C0" w:rsidRDefault="00AB5BEF" w:rsidP="000A4386">
            <w:pPr>
              <w:spacing w:after="0" w:line="240" w:lineRule="auto"/>
              <w:ind w:right="20"/>
              <w:jc w:val="center"/>
              <w:rPr>
                <w:rFonts w:eastAsia="Arial Narrow"/>
                <w:b/>
              </w:rPr>
            </w:pPr>
            <w:r>
              <w:rPr>
                <w:rFonts w:eastAsia="Arial Narrow"/>
                <w:b/>
              </w:rPr>
              <w:t>72,57%</w:t>
            </w:r>
          </w:p>
        </w:tc>
        <w:tc>
          <w:tcPr>
            <w:tcW w:w="3286" w:type="dxa"/>
            <w:shd w:val="clear" w:color="auto" w:fill="993366"/>
          </w:tcPr>
          <w:p w:rsidR="00B245A2" w:rsidRPr="00B1123B" w:rsidRDefault="00B245A2" w:rsidP="00316A7D">
            <w:pPr>
              <w:spacing w:after="0" w:line="240" w:lineRule="auto"/>
              <w:ind w:right="20"/>
              <w:jc w:val="center"/>
              <w:rPr>
                <w:rFonts w:eastAsia="Arial Narrow"/>
              </w:rPr>
            </w:pPr>
            <w:r w:rsidRPr="007E4FEC">
              <w:rPr>
                <w:rFonts w:eastAsia="Arial Narrow"/>
                <w:b/>
                <w:color w:val="FFFFFF" w:themeColor="background1"/>
              </w:rPr>
              <w:t xml:space="preserve">Número de </w:t>
            </w:r>
            <w:r>
              <w:rPr>
                <w:rFonts w:eastAsia="Arial Narrow"/>
                <w:b/>
                <w:color w:val="FFFFFF" w:themeColor="background1"/>
              </w:rPr>
              <w:t xml:space="preserve">Iniciativas </w:t>
            </w:r>
          </w:p>
        </w:tc>
        <w:tc>
          <w:tcPr>
            <w:tcW w:w="1849" w:type="dxa"/>
            <w:vAlign w:val="center"/>
          </w:tcPr>
          <w:p w:rsidR="00B245A2" w:rsidRPr="00307938" w:rsidRDefault="00B245A2" w:rsidP="00316A7D">
            <w:pPr>
              <w:spacing w:after="0" w:line="240" w:lineRule="auto"/>
              <w:ind w:right="20"/>
              <w:jc w:val="center"/>
              <w:rPr>
                <w:rFonts w:eastAsia="Arial Narrow"/>
                <w:b/>
              </w:rPr>
            </w:pPr>
            <w:r>
              <w:rPr>
                <w:rFonts w:eastAsia="Arial Narrow"/>
                <w:b/>
              </w:rPr>
              <w:t>1</w:t>
            </w:r>
          </w:p>
        </w:tc>
      </w:tr>
    </w:tbl>
    <w:p w:rsidR="00617957" w:rsidRDefault="00617957" w:rsidP="00B245A2">
      <w:pPr>
        <w:spacing w:after="0" w:line="240" w:lineRule="auto"/>
        <w:rPr>
          <w:rFonts w:cs="FuturaStd-ExtraBold"/>
          <w:bCs/>
          <w:sz w:val="22"/>
          <w:szCs w:val="24"/>
        </w:rPr>
      </w:pPr>
    </w:p>
    <w:p w:rsidR="00B245A2" w:rsidRDefault="00B245A2" w:rsidP="00B245A2">
      <w:pPr>
        <w:spacing w:after="0" w:line="240" w:lineRule="auto"/>
        <w:rPr>
          <w:rFonts w:cs="FuturaStd-ExtraBold"/>
          <w:bCs/>
          <w:sz w:val="22"/>
          <w:szCs w:val="24"/>
        </w:rPr>
      </w:pPr>
    </w:p>
    <w:p w:rsidR="00B245A2" w:rsidRDefault="00B245A2" w:rsidP="00B245A2">
      <w:pPr>
        <w:spacing w:after="0" w:line="240" w:lineRule="auto"/>
        <w:rPr>
          <w:rFonts w:cs="FuturaStd-ExtraBold"/>
          <w:bCs/>
          <w:sz w:val="22"/>
          <w:szCs w:val="24"/>
        </w:rPr>
      </w:pPr>
    </w:p>
    <w:p w:rsidR="008843E7" w:rsidRDefault="008843E7" w:rsidP="00C40D61">
      <w:pPr>
        <w:rPr>
          <w:sz w:val="22"/>
        </w:rPr>
      </w:pPr>
    </w:p>
    <w:p w:rsidR="00C40D61" w:rsidRPr="00347591" w:rsidRDefault="002F5153" w:rsidP="00C40D61">
      <w:pPr>
        <w:rPr>
          <w:sz w:val="22"/>
          <w:szCs w:val="20"/>
        </w:rPr>
      </w:pPr>
      <w:r w:rsidRPr="00347591">
        <w:rPr>
          <w:sz w:val="22"/>
          <w:szCs w:val="20"/>
        </w:rPr>
        <w:t xml:space="preserve">La </w:t>
      </w:r>
      <w:r w:rsidR="0096510A" w:rsidRPr="00347591">
        <w:rPr>
          <w:sz w:val="22"/>
          <w:szCs w:val="20"/>
        </w:rPr>
        <w:t xml:space="preserve">iniciativa estratégica de la </w:t>
      </w:r>
      <w:r w:rsidRPr="00347591">
        <w:rPr>
          <w:sz w:val="22"/>
          <w:szCs w:val="20"/>
        </w:rPr>
        <w:t xml:space="preserve">Oficina de Control Interno –OCI- para la vigencia 2017 </w:t>
      </w:r>
      <w:r w:rsidR="0096510A" w:rsidRPr="00347591">
        <w:rPr>
          <w:sz w:val="22"/>
          <w:szCs w:val="20"/>
        </w:rPr>
        <w:t>es el</w:t>
      </w:r>
      <w:r w:rsidRPr="00347591">
        <w:rPr>
          <w:sz w:val="22"/>
          <w:szCs w:val="20"/>
        </w:rPr>
        <w:t xml:space="preserve"> </w:t>
      </w:r>
      <w:r w:rsidRPr="00347591">
        <w:rPr>
          <w:b/>
          <w:sz w:val="22"/>
          <w:szCs w:val="20"/>
        </w:rPr>
        <w:t>Programa Anual de Auditoría</w:t>
      </w:r>
      <w:r w:rsidRPr="00347591">
        <w:rPr>
          <w:sz w:val="22"/>
          <w:szCs w:val="20"/>
        </w:rPr>
        <w:t xml:space="preserve">, </w:t>
      </w:r>
      <w:r w:rsidR="0096510A" w:rsidRPr="00347591">
        <w:rPr>
          <w:sz w:val="22"/>
          <w:szCs w:val="20"/>
        </w:rPr>
        <w:t>la</w:t>
      </w:r>
      <w:r w:rsidR="00C40D61" w:rsidRPr="00347591">
        <w:rPr>
          <w:sz w:val="22"/>
          <w:szCs w:val="20"/>
        </w:rPr>
        <w:t xml:space="preserve"> cual se desarrolla a través de 3 actividades</w:t>
      </w:r>
      <w:r w:rsidR="0096510A" w:rsidRPr="00347591">
        <w:rPr>
          <w:sz w:val="22"/>
          <w:szCs w:val="20"/>
        </w:rPr>
        <w:t xml:space="preserve">. A la fecha presenta un </w:t>
      </w:r>
      <w:r w:rsidR="00C40D61" w:rsidRPr="00347591">
        <w:rPr>
          <w:sz w:val="22"/>
          <w:szCs w:val="20"/>
        </w:rPr>
        <w:t xml:space="preserve">avance del </w:t>
      </w:r>
      <w:r w:rsidR="00AB5BEF" w:rsidRPr="00347591">
        <w:rPr>
          <w:sz w:val="22"/>
          <w:szCs w:val="20"/>
        </w:rPr>
        <w:t>72,57</w:t>
      </w:r>
      <w:r w:rsidR="0069298F" w:rsidRPr="00347591">
        <w:rPr>
          <w:sz w:val="22"/>
          <w:szCs w:val="20"/>
        </w:rPr>
        <w:t>%</w:t>
      </w:r>
      <w:r w:rsidR="00347591" w:rsidRPr="00347591">
        <w:rPr>
          <w:sz w:val="22"/>
          <w:szCs w:val="20"/>
        </w:rPr>
        <w:t>.</w:t>
      </w:r>
      <w:r w:rsidR="00AB5BEF" w:rsidRPr="00347591">
        <w:rPr>
          <w:sz w:val="22"/>
          <w:szCs w:val="20"/>
        </w:rPr>
        <w:t xml:space="preserve"> </w:t>
      </w:r>
      <w:r w:rsidR="0096510A" w:rsidRPr="00347591">
        <w:rPr>
          <w:sz w:val="22"/>
          <w:szCs w:val="20"/>
        </w:rPr>
        <w:t xml:space="preserve"> </w:t>
      </w:r>
    </w:p>
    <w:p w:rsidR="008A3BCC" w:rsidRPr="00347591" w:rsidRDefault="008A3BCC" w:rsidP="008A3BCC">
      <w:pPr>
        <w:rPr>
          <w:noProof/>
          <w:sz w:val="22"/>
          <w:szCs w:val="20"/>
          <w:lang w:eastAsia="es-CO"/>
        </w:rPr>
      </w:pPr>
      <w:r w:rsidRPr="00347591">
        <w:rPr>
          <w:noProof/>
          <w:sz w:val="22"/>
          <w:szCs w:val="20"/>
          <w:lang w:eastAsia="es-CO"/>
        </w:rPr>
        <w:t>En lo que se refiere a la actividad 1, “Planear y adoptar el Programa Anual de Auditoría”, se cumplió en un 100%,  ya que el programa fue aprobado por el Comité de Coordinación del Control Interno realizado el 30 de enero de 2017,  dotando a la Oficina de Control Interno con el instrumento administrativo por el cual se establece el conjunto de acciones  que de manera ordenada y lógica debe desarrollar con arreglo a sus capacidades operativas.  Según el equipo de trabajo asignado, los recursos tecnológicos y especialmente los recursos presupuestales que le sean apropiados para complementar y garantizar la multidisciplinariedad profesional necesaria acorde con la misionalidad del MVCT y FONVIVIENDA.</w:t>
      </w:r>
    </w:p>
    <w:p w:rsidR="00AB5BEF" w:rsidRDefault="00AB5BEF" w:rsidP="00347591">
      <w:pPr>
        <w:jc w:val="center"/>
        <w:rPr>
          <w:noProof/>
          <w:sz w:val="22"/>
          <w:lang w:eastAsia="es-CO"/>
        </w:rPr>
      </w:pPr>
      <w:r w:rsidRPr="004C5315">
        <w:rPr>
          <w:noProof/>
          <w:bdr w:val="single" w:sz="12" w:space="0" w:color="auto"/>
          <w:lang w:eastAsia="es-CO"/>
        </w:rPr>
        <w:drawing>
          <wp:inline distT="0" distB="0" distL="0" distR="0" wp14:anchorId="443FD4C6" wp14:editId="5FD282A6">
            <wp:extent cx="6359857" cy="2756848"/>
            <wp:effectExtent l="0" t="0" r="317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7013" cy="2755615"/>
                    </a:xfrm>
                    <a:prstGeom prst="rect">
                      <a:avLst/>
                    </a:prstGeom>
                    <a:noFill/>
                    <a:ln>
                      <a:noFill/>
                    </a:ln>
                  </pic:spPr>
                </pic:pic>
              </a:graphicData>
            </a:graphic>
          </wp:inline>
        </w:drawing>
      </w:r>
    </w:p>
    <w:p w:rsidR="007059DB" w:rsidRPr="007059DB" w:rsidRDefault="008A3BCC" w:rsidP="008A3BCC">
      <w:pPr>
        <w:rPr>
          <w:noProof/>
          <w:sz w:val="20"/>
          <w:szCs w:val="20"/>
          <w:lang w:eastAsia="es-CO"/>
        </w:rPr>
      </w:pPr>
      <w:r w:rsidRPr="00347591">
        <w:rPr>
          <w:noProof/>
          <w:sz w:val="22"/>
          <w:szCs w:val="20"/>
          <w:lang w:eastAsia="es-CO"/>
        </w:rPr>
        <w:lastRenderedPageBreak/>
        <w:t xml:space="preserve">Por otra parte, en lo relacionado con la actividad 2 de la iniciativa estratégica, “Ejecución del Programa Anual de Auditoría”, a la fecha presenta un avance del 79%, y se centra en 5 ejes temáticos: 1. Informes de Ley; 2.Informes de Seguimiento; 3.Informes de Auditoría; 4.Otras Actividades; 5.Actividades Permanentes; las cuales son objeto de seguimiento, permitiendo establecer mensualmente su porcentaje de cumplimiento y avance.  </w:t>
      </w:r>
    </w:p>
    <w:p w:rsidR="001E66CD" w:rsidRDefault="007059DB" w:rsidP="00B14E06">
      <w:pPr>
        <w:jc w:val="center"/>
        <w:rPr>
          <w:sz w:val="22"/>
        </w:rPr>
      </w:pPr>
      <w:r w:rsidRPr="004C5315">
        <w:rPr>
          <w:noProof/>
          <w:bdr w:val="single" w:sz="4" w:space="0" w:color="auto"/>
          <w:lang w:eastAsia="es-CO"/>
        </w:rPr>
        <w:drawing>
          <wp:inline distT="0" distB="0" distL="0" distR="0" wp14:anchorId="44FDDFCD" wp14:editId="5A7F8D38">
            <wp:extent cx="8093122" cy="3971499"/>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07804" cy="3978704"/>
                    </a:xfrm>
                    <a:prstGeom prst="rect">
                      <a:avLst/>
                    </a:prstGeom>
                    <a:noFill/>
                    <a:ln>
                      <a:noFill/>
                    </a:ln>
                  </pic:spPr>
                </pic:pic>
              </a:graphicData>
            </a:graphic>
          </wp:inline>
        </w:drawing>
      </w:r>
    </w:p>
    <w:p w:rsidR="004C5315" w:rsidRDefault="004C5315" w:rsidP="00C4024F">
      <w:pPr>
        <w:pStyle w:val="Ttulo1"/>
      </w:pPr>
    </w:p>
    <w:p w:rsidR="00D37968" w:rsidRPr="00756E82" w:rsidRDefault="00180C6E" w:rsidP="00C4024F">
      <w:pPr>
        <w:pStyle w:val="Ttulo1"/>
      </w:pPr>
      <w:bookmarkStart w:id="7" w:name="_Toc496861731"/>
      <w:r w:rsidRPr="00F75461">
        <w:rPr>
          <w:noProof/>
          <w:highlight w:val="yellow"/>
          <w:lang w:eastAsia="es-CO"/>
        </w:rPr>
        <w:lastRenderedPageBreak/>
        <w:drawing>
          <wp:anchor distT="0" distB="0" distL="114300" distR="114300" simplePos="0" relativeHeight="251746304" behindDoc="0" locked="0" layoutInCell="1" allowOverlap="1" wp14:anchorId="3DB767F2" wp14:editId="401B714D">
            <wp:simplePos x="0" y="0"/>
            <wp:positionH relativeFrom="column">
              <wp:posOffset>7264400</wp:posOffset>
            </wp:positionH>
            <wp:positionV relativeFrom="paragraph">
              <wp:posOffset>93345</wp:posOffset>
            </wp:positionV>
            <wp:extent cx="1066165" cy="1495425"/>
            <wp:effectExtent l="0" t="0" r="635" b="9525"/>
            <wp:wrapSquare wrapText="bothSides"/>
            <wp:docPr id="24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4">
                      <a:extLst>
                        <a:ext uri="{28A0092B-C50C-407E-A947-70E740481C1C}">
                          <a14:useLocalDpi xmlns:a14="http://schemas.microsoft.com/office/drawing/2010/main" val="0"/>
                        </a:ext>
                      </a:extLst>
                    </a:blip>
                    <a:srcRect l="69742"/>
                    <a:stretch/>
                  </pic:blipFill>
                  <pic:spPr bwMode="auto">
                    <a:xfrm>
                      <a:off x="0" y="0"/>
                      <a:ext cx="1066165"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24F">
        <w:t>4</w:t>
      </w:r>
      <w:r w:rsidR="00850A3D">
        <w:t xml:space="preserve">. </w:t>
      </w:r>
      <w:r w:rsidR="007B5965" w:rsidRPr="00756E82">
        <w:t>OFICINA ASESORA JURÍDICA</w:t>
      </w:r>
      <w:bookmarkEnd w:id="7"/>
    </w:p>
    <w:tbl>
      <w:tblPr>
        <w:tblpPr w:leftFromText="141" w:rightFromText="141" w:vertAnchor="text" w:horzAnchor="margin" w:tblpY="999"/>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92"/>
        <w:gridCol w:w="1635"/>
        <w:gridCol w:w="2893"/>
        <w:gridCol w:w="1628"/>
      </w:tblGrid>
      <w:tr w:rsidR="009D2B1E" w:rsidRPr="00B1123B" w:rsidTr="009D2B1E">
        <w:trPr>
          <w:trHeight w:val="513"/>
        </w:trPr>
        <w:tc>
          <w:tcPr>
            <w:tcW w:w="2892" w:type="dxa"/>
            <w:shd w:val="clear" w:color="auto" w:fill="993366"/>
            <w:vAlign w:val="center"/>
          </w:tcPr>
          <w:p w:rsidR="009D2B1E" w:rsidRPr="009D2B1E" w:rsidRDefault="009D2B1E" w:rsidP="009D2B1E">
            <w:pPr>
              <w:spacing w:after="0" w:line="240" w:lineRule="auto"/>
              <w:ind w:left="120"/>
              <w:jc w:val="center"/>
              <w:rPr>
                <w:rFonts w:eastAsia="Arial Narrow"/>
                <w:b/>
                <w:color w:val="FF0000"/>
              </w:rPr>
            </w:pPr>
            <w:r w:rsidRPr="009D2B1E">
              <w:rPr>
                <w:rFonts w:eastAsia="Arial Narrow"/>
                <w:b/>
                <w:color w:val="FFFFFF" w:themeColor="background1"/>
              </w:rPr>
              <w:t>Avance registrado</w:t>
            </w:r>
          </w:p>
        </w:tc>
        <w:tc>
          <w:tcPr>
            <w:tcW w:w="1635" w:type="dxa"/>
            <w:vAlign w:val="center"/>
          </w:tcPr>
          <w:p w:rsidR="009D2B1E" w:rsidRPr="009D2B1E" w:rsidRDefault="009D2B1E" w:rsidP="009D2B1E">
            <w:pPr>
              <w:spacing w:after="0" w:line="240" w:lineRule="auto"/>
              <w:ind w:right="20"/>
              <w:jc w:val="center"/>
              <w:rPr>
                <w:rFonts w:eastAsia="Arial Narrow"/>
                <w:b/>
                <w:color w:val="FF0000"/>
              </w:rPr>
            </w:pPr>
            <w:r w:rsidRPr="009D2B1E">
              <w:rPr>
                <w:rFonts w:eastAsia="Arial Narrow"/>
                <w:b/>
              </w:rPr>
              <w:t>100,00%</w:t>
            </w:r>
          </w:p>
        </w:tc>
        <w:tc>
          <w:tcPr>
            <w:tcW w:w="2893" w:type="dxa"/>
            <w:shd w:val="clear" w:color="auto" w:fill="993366"/>
          </w:tcPr>
          <w:p w:rsidR="009D2B1E" w:rsidRPr="009D2B1E" w:rsidRDefault="009D2B1E" w:rsidP="009D2B1E">
            <w:pPr>
              <w:spacing w:after="0" w:line="240" w:lineRule="auto"/>
              <w:ind w:right="20"/>
              <w:jc w:val="center"/>
              <w:rPr>
                <w:rFonts w:eastAsia="Arial Narrow"/>
              </w:rPr>
            </w:pPr>
            <w:r w:rsidRPr="009D2B1E">
              <w:rPr>
                <w:rFonts w:eastAsia="Arial Narrow"/>
                <w:b/>
                <w:color w:val="FFFFFF" w:themeColor="background1"/>
              </w:rPr>
              <w:t xml:space="preserve">Número de Iniciativas </w:t>
            </w:r>
          </w:p>
        </w:tc>
        <w:tc>
          <w:tcPr>
            <w:tcW w:w="1628" w:type="dxa"/>
            <w:vAlign w:val="center"/>
          </w:tcPr>
          <w:p w:rsidR="009D2B1E" w:rsidRPr="009D2B1E" w:rsidRDefault="009D2B1E" w:rsidP="009D2B1E">
            <w:pPr>
              <w:spacing w:after="0" w:line="240" w:lineRule="auto"/>
              <w:ind w:right="20"/>
              <w:jc w:val="center"/>
              <w:rPr>
                <w:rFonts w:eastAsia="Arial Narrow"/>
                <w:b/>
              </w:rPr>
            </w:pPr>
            <w:r w:rsidRPr="009D2B1E">
              <w:rPr>
                <w:rFonts w:eastAsia="Arial Narrow"/>
                <w:b/>
              </w:rPr>
              <w:t>1</w:t>
            </w:r>
          </w:p>
        </w:tc>
      </w:tr>
    </w:tbl>
    <w:p w:rsidR="00395E77" w:rsidRPr="007E4FEC" w:rsidRDefault="00D37968" w:rsidP="00B534B1">
      <w:r w:rsidRPr="007E4FEC">
        <w:t>Jefe de Oficina: Dr</w:t>
      </w:r>
      <w:r w:rsidR="007B5965" w:rsidRPr="007E4FEC">
        <w:t>a</w:t>
      </w:r>
      <w:r w:rsidRPr="007E4FEC">
        <w:t xml:space="preserve">. </w:t>
      </w:r>
      <w:r w:rsidR="001639FE" w:rsidRPr="007E4FEC">
        <w:t>Luz Silene Romero Sajona</w:t>
      </w:r>
    </w:p>
    <w:p w:rsidR="00A40DF3" w:rsidRDefault="00A40DF3" w:rsidP="00B534B1">
      <w:pPr>
        <w:rPr>
          <w:rFonts w:eastAsia="Arial Narrow"/>
          <w:i/>
          <w:sz w:val="28"/>
          <w:szCs w:val="28"/>
        </w:rPr>
      </w:pPr>
    </w:p>
    <w:p w:rsidR="00A40DF3" w:rsidRDefault="00A40DF3" w:rsidP="00B534B1">
      <w:pPr>
        <w:rPr>
          <w:rFonts w:eastAsia="Arial Narrow"/>
          <w:i/>
          <w:sz w:val="28"/>
          <w:szCs w:val="28"/>
        </w:rPr>
      </w:pPr>
    </w:p>
    <w:p w:rsidR="00180C6E" w:rsidRPr="00B07BAA" w:rsidRDefault="00180C6E" w:rsidP="00A40DF3">
      <w:pPr>
        <w:spacing w:after="0" w:line="240" w:lineRule="auto"/>
        <w:rPr>
          <w:rFonts w:cs="FuturaStd-ExtraBold"/>
          <w:bCs/>
        </w:rPr>
      </w:pPr>
    </w:p>
    <w:p w:rsidR="00084629" w:rsidRPr="00F47939" w:rsidRDefault="00084629" w:rsidP="00084629">
      <w:pPr>
        <w:spacing w:after="0" w:line="240" w:lineRule="auto"/>
        <w:rPr>
          <w:rFonts w:cs="FuturaStd-ExtraBold"/>
          <w:bCs/>
          <w:sz w:val="22"/>
        </w:rPr>
      </w:pPr>
      <w:r w:rsidRPr="00F47939">
        <w:rPr>
          <w:rFonts w:cs="FuturaStd-ExtraBold"/>
          <w:bCs/>
          <w:sz w:val="22"/>
        </w:rPr>
        <w:t xml:space="preserve">La oficina es responsable de la siguiente iniciativa  cuya gestión se detalla a continuación:  </w:t>
      </w:r>
    </w:p>
    <w:p w:rsidR="00084629" w:rsidRPr="00F47939" w:rsidRDefault="00084629" w:rsidP="00084629">
      <w:pPr>
        <w:spacing w:after="0" w:line="240" w:lineRule="auto"/>
        <w:rPr>
          <w:rFonts w:cs="FuturaStd-ExtraBold"/>
          <w:bCs/>
          <w:sz w:val="22"/>
        </w:rPr>
      </w:pPr>
    </w:p>
    <w:p w:rsidR="00084629" w:rsidRPr="00F47939" w:rsidRDefault="00084629" w:rsidP="00084629">
      <w:pPr>
        <w:spacing w:after="0" w:line="240" w:lineRule="auto"/>
        <w:rPr>
          <w:rFonts w:cs="FuturaStd-ExtraBold"/>
          <w:bCs/>
          <w:sz w:val="22"/>
        </w:rPr>
      </w:pPr>
      <w:r w:rsidRPr="00F47939">
        <w:rPr>
          <w:rFonts w:cs="FuturaStd-ExtraBold"/>
          <w:b/>
          <w:bCs/>
          <w:sz w:val="22"/>
        </w:rPr>
        <w:t xml:space="preserve">1. Fortalecer la gestión de la Oficina Asesora Jurídica: </w:t>
      </w:r>
      <w:r w:rsidRPr="00F47939">
        <w:rPr>
          <w:rFonts w:cs="FuturaStd-ExtraBold"/>
          <w:bCs/>
          <w:sz w:val="22"/>
        </w:rPr>
        <w:t>Esta iniciativa se desarrolla con las siguientes actividades:</w:t>
      </w:r>
    </w:p>
    <w:p w:rsidR="00084629" w:rsidRPr="009D2B1E" w:rsidRDefault="00084629" w:rsidP="00084629">
      <w:pPr>
        <w:pStyle w:val="Prrafodelista"/>
        <w:spacing w:after="0" w:line="240" w:lineRule="auto"/>
        <w:rPr>
          <w:rFonts w:cs="FuturaStd-ExtraBold"/>
          <w:bCs/>
          <w:sz w:val="20"/>
          <w:szCs w:val="20"/>
        </w:rPr>
      </w:pPr>
    </w:p>
    <w:p w:rsidR="00084629" w:rsidRDefault="009D2B1E" w:rsidP="00084629">
      <w:pPr>
        <w:pStyle w:val="Prrafodelista"/>
        <w:rPr>
          <w:sz w:val="22"/>
        </w:rPr>
      </w:pPr>
      <w:r w:rsidRPr="004C5315">
        <w:rPr>
          <w:noProof/>
          <w:bdr w:val="single" w:sz="12" w:space="0" w:color="auto"/>
          <w:lang w:eastAsia="es-CO"/>
        </w:rPr>
        <w:drawing>
          <wp:inline distT="0" distB="0" distL="0" distR="0" wp14:anchorId="38B2DDF0" wp14:editId="40F9112F">
            <wp:extent cx="6779269" cy="3051958"/>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91278" cy="3057364"/>
                    </a:xfrm>
                    <a:prstGeom prst="rect">
                      <a:avLst/>
                    </a:prstGeom>
                    <a:noFill/>
                    <a:ln>
                      <a:noFill/>
                    </a:ln>
                  </pic:spPr>
                </pic:pic>
              </a:graphicData>
            </a:graphic>
          </wp:inline>
        </w:drawing>
      </w:r>
    </w:p>
    <w:p w:rsidR="00084629" w:rsidRDefault="00084629" w:rsidP="00084629">
      <w:pPr>
        <w:pStyle w:val="Prrafodelista"/>
        <w:rPr>
          <w:sz w:val="22"/>
        </w:rPr>
      </w:pPr>
    </w:p>
    <w:p w:rsidR="00084629" w:rsidRDefault="00084629" w:rsidP="00292770">
      <w:pPr>
        <w:pStyle w:val="Prrafodelista"/>
        <w:numPr>
          <w:ilvl w:val="0"/>
          <w:numId w:val="8"/>
        </w:numPr>
        <w:spacing w:after="0" w:line="240" w:lineRule="auto"/>
        <w:rPr>
          <w:rFonts w:cs="FuturaStd-ExtraBold"/>
          <w:bCs/>
          <w:sz w:val="22"/>
          <w:szCs w:val="20"/>
        </w:rPr>
      </w:pPr>
      <w:r w:rsidRPr="00F47939">
        <w:rPr>
          <w:rFonts w:cs="FuturaStd-ExtraBold"/>
          <w:b/>
          <w:bCs/>
          <w:sz w:val="22"/>
          <w:szCs w:val="20"/>
        </w:rPr>
        <w:t xml:space="preserve">Atender oportunamente la Representación judicial y extrajudicial del MVCT y </w:t>
      </w:r>
      <w:proofErr w:type="spellStart"/>
      <w:r w:rsidRPr="00F47939">
        <w:rPr>
          <w:rFonts w:cs="FuturaStd-ExtraBold"/>
          <w:b/>
          <w:bCs/>
          <w:sz w:val="22"/>
          <w:szCs w:val="20"/>
        </w:rPr>
        <w:t>Fonvivienda</w:t>
      </w:r>
      <w:proofErr w:type="spellEnd"/>
      <w:r w:rsidRPr="00F47939">
        <w:rPr>
          <w:rFonts w:cs="FuturaStd-ExtraBold"/>
          <w:bCs/>
          <w:sz w:val="22"/>
          <w:szCs w:val="20"/>
        </w:rPr>
        <w:t xml:space="preserve">: A la fecha todos los procesos extrajudiciales donde ha sido vinculado el MVCT, FONVIVIENDA E INURBE se han </w:t>
      </w:r>
      <w:r w:rsidRPr="00F47939">
        <w:rPr>
          <w:rFonts w:cs="FuturaStd-ExtraBold"/>
          <w:bCs/>
          <w:sz w:val="22"/>
          <w:szCs w:val="20"/>
        </w:rPr>
        <w:lastRenderedPageBreak/>
        <w:t>atendido oportunamente. Se atienden  aproximadamente  81 conciliaciones extrajudiciales y 56 cobros coactivos, y el avance en esta iniciativa se reporta en un 100%.</w:t>
      </w:r>
    </w:p>
    <w:p w:rsidR="004C5315" w:rsidRPr="00F47939" w:rsidRDefault="004C5315" w:rsidP="004C5315">
      <w:pPr>
        <w:pStyle w:val="Prrafodelista"/>
        <w:spacing w:after="0" w:line="240" w:lineRule="auto"/>
        <w:rPr>
          <w:rFonts w:cs="FuturaStd-ExtraBold"/>
          <w:bCs/>
          <w:sz w:val="22"/>
          <w:szCs w:val="20"/>
        </w:rPr>
      </w:pPr>
    </w:p>
    <w:p w:rsidR="009D2B1E" w:rsidRDefault="009D2B1E" w:rsidP="009D2B1E">
      <w:pPr>
        <w:spacing w:after="0" w:line="240" w:lineRule="auto"/>
        <w:jc w:val="center"/>
        <w:rPr>
          <w:rFonts w:cs="FuturaStd-ExtraBold"/>
          <w:bCs/>
          <w:sz w:val="22"/>
        </w:rPr>
      </w:pPr>
      <w:r w:rsidRPr="004C5315">
        <w:rPr>
          <w:noProof/>
          <w:bdr w:val="single" w:sz="12" w:space="0" w:color="auto"/>
          <w:lang w:eastAsia="es-CO"/>
        </w:rPr>
        <w:drawing>
          <wp:inline distT="0" distB="0" distL="0" distR="0" wp14:anchorId="7B655845" wp14:editId="79F83DCF">
            <wp:extent cx="8193974" cy="336071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09942" cy="3367266"/>
                    </a:xfrm>
                    <a:prstGeom prst="rect">
                      <a:avLst/>
                    </a:prstGeom>
                    <a:noFill/>
                    <a:ln>
                      <a:noFill/>
                    </a:ln>
                  </pic:spPr>
                </pic:pic>
              </a:graphicData>
            </a:graphic>
          </wp:inline>
        </w:drawing>
      </w:r>
    </w:p>
    <w:p w:rsidR="009D2B1E" w:rsidRDefault="009D2B1E" w:rsidP="009D2B1E">
      <w:pPr>
        <w:spacing w:after="0" w:line="240" w:lineRule="auto"/>
        <w:rPr>
          <w:rFonts w:cs="FuturaStd-ExtraBold"/>
          <w:bCs/>
          <w:sz w:val="22"/>
        </w:rPr>
      </w:pPr>
    </w:p>
    <w:p w:rsidR="009D2B1E" w:rsidRDefault="009D2B1E" w:rsidP="009D2B1E">
      <w:pPr>
        <w:spacing w:after="0" w:line="240" w:lineRule="auto"/>
        <w:rPr>
          <w:rFonts w:cs="FuturaStd-ExtraBold"/>
          <w:bCs/>
          <w:sz w:val="22"/>
        </w:rPr>
      </w:pPr>
    </w:p>
    <w:p w:rsidR="00084629" w:rsidRPr="00F47939" w:rsidRDefault="00084629" w:rsidP="00292770">
      <w:pPr>
        <w:pStyle w:val="Prrafodelista"/>
        <w:numPr>
          <w:ilvl w:val="0"/>
          <w:numId w:val="8"/>
        </w:numPr>
        <w:spacing w:after="0" w:line="240" w:lineRule="auto"/>
        <w:rPr>
          <w:rFonts w:cs="FuturaStd-ExtraBold"/>
          <w:bCs/>
          <w:sz w:val="22"/>
          <w:szCs w:val="20"/>
        </w:rPr>
      </w:pPr>
      <w:r w:rsidRPr="00F47939">
        <w:rPr>
          <w:rFonts w:cs="FuturaStd-ExtraBold"/>
          <w:b/>
          <w:bCs/>
          <w:sz w:val="22"/>
          <w:szCs w:val="20"/>
        </w:rPr>
        <w:t>Realizar la actualización de procesos judiciales</w:t>
      </w:r>
      <w:r w:rsidRPr="00F47939">
        <w:rPr>
          <w:rFonts w:cs="FuturaStd-ExtraBold"/>
          <w:bCs/>
          <w:sz w:val="22"/>
          <w:szCs w:val="20"/>
        </w:rPr>
        <w:t>: La base de datos interna (Procesos Judiciales, seguimiento y reclamaciones y acciones de tutela), y el sistema único de gestión e información Litigiosa del estado (</w:t>
      </w:r>
      <w:proofErr w:type="spellStart"/>
      <w:r w:rsidRPr="00F47939">
        <w:rPr>
          <w:rFonts w:cs="FuturaStd-ExtraBold"/>
          <w:bCs/>
          <w:sz w:val="22"/>
          <w:szCs w:val="20"/>
        </w:rPr>
        <w:t>eKOGUI</w:t>
      </w:r>
      <w:proofErr w:type="spellEnd"/>
      <w:r w:rsidRPr="00F47939">
        <w:rPr>
          <w:rFonts w:cs="FuturaStd-ExtraBold"/>
          <w:bCs/>
          <w:sz w:val="22"/>
          <w:szCs w:val="20"/>
        </w:rPr>
        <w:t xml:space="preserve">), se encuentra actualizado y cumpliendo con todos los requisitos que esta plataforma solicita. Actualmente, se reporta la atención a 7375 tutelas en lo corrido del 2017, lo que permite una avance del 100% en esta iniciativa. </w:t>
      </w:r>
    </w:p>
    <w:p w:rsidR="00084629" w:rsidRPr="00F47939" w:rsidRDefault="00084629" w:rsidP="00084629">
      <w:pPr>
        <w:spacing w:after="0" w:line="240" w:lineRule="auto"/>
        <w:rPr>
          <w:rFonts w:cs="FuturaStd-ExtraBold"/>
          <w:bCs/>
          <w:sz w:val="22"/>
          <w:szCs w:val="20"/>
        </w:rPr>
      </w:pPr>
    </w:p>
    <w:p w:rsidR="00084629" w:rsidRPr="00F47939" w:rsidRDefault="00084629" w:rsidP="00292770">
      <w:pPr>
        <w:pStyle w:val="Prrafodelista"/>
        <w:numPr>
          <w:ilvl w:val="0"/>
          <w:numId w:val="8"/>
        </w:numPr>
        <w:spacing w:after="0" w:line="240" w:lineRule="auto"/>
        <w:ind w:left="714" w:hanging="357"/>
        <w:rPr>
          <w:rFonts w:cs="FuturaStd-ExtraBold"/>
          <w:bCs/>
          <w:sz w:val="22"/>
          <w:szCs w:val="20"/>
        </w:rPr>
      </w:pPr>
      <w:r w:rsidRPr="00F47939">
        <w:rPr>
          <w:rFonts w:cs="FuturaStd-ExtraBold"/>
          <w:b/>
          <w:bCs/>
          <w:sz w:val="22"/>
          <w:szCs w:val="20"/>
        </w:rPr>
        <w:t>Organizar el archivo de la oficina asesora Jurídica</w:t>
      </w:r>
      <w:r w:rsidRPr="00F47939">
        <w:rPr>
          <w:rFonts w:cs="FuturaStd-ExtraBold"/>
          <w:bCs/>
          <w:sz w:val="22"/>
          <w:szCs w:val="20"/>
        </w:rPr>
        <w:t xml:space="preserve">: Todos los procesos se encuentran organizados y completos, de acuerdo a las Tablas de Retención Documental (TRD) y a las normas expedidas por el Archivo General de la Nación, por lo tanto se ha ejecutado a la fecha el 100% de la iniciativa estratégica. </w:t>
      </w:r>
    </w:p>
    <w:p w:rsidR="001E66CD" w:rsidRPr="00F47939" w:rsidRDefault="001E66CD" w:rsidP="0041359D">
      <w:pPr>
        <w:pStyle w:val="Prrafodelista"/>
        <w:spacing w:after="0" w:line="240" w:lineRule="auto"/>
        <w:rPr>
          <w:rFonts w:cs="FuturaStd-ExtraBold"/>
          <w:bCs/>
          <w:sz w:val="22"/>
          <w:szCs w:val="20"/>
        </w:rPr>
      </w:pPr>
    </w:p>
    <w:p w:rsidR="001E66CD" w:rsidRPr="00F47939" w:rsidRDefault="001E66CD" w:rsidP="001E66CD">
      <w:pPr>
        <w:pStyle w:val="Prrafodelista"/>
        <w:spacing w:after="0" w:line="240" w:lineRule="auto"/>
        <w:jc w:val="center"/>
        <w:rPr>
          <w:rFonts w:cs="FuturaStd-ExtraBold"/>
          <w:bCs/>
          <w:sz w:val="22"/>
          <w:szCs w:val="20"/>
        </w:rPr>
      </w:pPr>
    </w:p>
    <w:p w:rsidR="005D5B40" w:rsidRDefault="00326D3B" w:rsidP="005D5B40">
      <w:pPr>
        <w:pStyle w:val="Ttulo1"/>
      </w:pPr>
      <w:bookmarkStart w:id="8" w:name="_Toc496861732"/>
      <w:r w:rsidRPr="00F242DB">
        <w:rPr>
          <w:rFonts w:eastAsia="Arial Narrow"/>
          <w:noProof/>
          <w:highlight w:val="yellow"/>
          <w:lang w:eastAsia="es-CO"/>
        </w:rPr>
        <w:drawing>
          <wp:anchor distT="0" distB="0" distL="114300" distR="114300" simplePos="0" relativeHeight="251847680" behindDoc="0" locked="0" layoutInCell="1" allowOverlap="1" wp14:anchorId="5E705DD5" wp14:editId="17CCACA5">
            <wp:simplePos x="0" y="0"/>
            <wp:positionH relativeFrom="column">
              <wp:posOffset>7169150</wp:posOffset>
            </wp:positionH>
            <wp:positionV relativeFrom="paragraph">
              <wp:posOffset>-28575</wp:posOffset>
            </wp:positionV>
            <wp:extent cx="943610" cy="1322705"/>
            <wp:effectExtent l="0" t="0" r="8890" b="0"/>
            <wp:wrapSquare wrapText="bothSides"/>
            <wp:docPr id="24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4">
                      <a:extLst>
                        <a:ext uri="{28A0092B-C50C-407E-A947-70E740481C1C}">
                          <a14:useLocalDpi xmlns:a14="http://schemas.microsoft.com/office/drawing/2010/main" val="0"/>
                        </a:ext>
                      </a:extLst>
                    </a:blip>
                    <a:srcRect l="69742"/>
                    <a:stretch/>
                  </pic:blipFill>
                  <pic:spPr bwMode="auto">
                    <a:xfrm>
                      <a:off x="0" y="0"/>
                      <a:ext cx="943610" cy="1322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5B40">
        <w:t>5. OFICINA ASESORA DE PLANEACIÓN</w:t>
      </w:r>
      <w:bookmarkEnd w:id="8"/>
    </w:p>
    <w:p w:rsidR="00326D3B" w:rsidRDefault="005D5B40" w:rsidP="005D5B40">
      <w:r>
        <w:t>Jefe de Oficina: Dra. Analorena Habib Cañizales</w:t>
      </w:r>
    </w:p>
    <w:tbl>
      <w:tblPr>
        <w:tblpPr w:leftFromText="141" w:rightFromText="141" w:vertAnchor="text" w:horzAnchor="margin" w:tblpY="97"/>
        <w:tblW w:w="10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61"/>
        <w:gridCol w:w="1900"/>
        <w:gridCol w:w="3362"/>
        <w:gridCol w:w="1892"/>
      </w:tblGrid>
      <w:tr w:rsidR="004C5315" w:rsidRPr="00B1123B" w:rsidTr="004C5315">
        <w:trPr>
          <w:trHeight w:val="464"/>
        </w:trPr>
        <w:tc>
          <w:tcPr>
            <w:tcW w:w="3361" w:type="dxa"/>
            <w:shd w:val="clear" w:color="auto" w:fill="993366"/>
            <w:vAlign w:val="center"/>
          </w:tcPr>
          <w:p w:rsidR="004C5315" w:rsidRPr="00F9219C" w:rsidRDefault="004C5315" w:rsidP="004C5315">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900" w:type="dxa"/>
            <w:shd w:val="clear" w:color="auto" w:fill="auto"/>
            <w:vAlign w:val="center"/>
          </w:tcPr>
          <w:p w:rsidR="004C5315" w:rsidRPr="00F9219C" w:rsidRDefault="004C5315" w:rsidP="004C5315">
            <w:pPr>
              <w:spacing w:after="0" w:line="240" w:lineRule="auto"/>
              <w:ind w:right="20"/>
              <w:jc w:val="center"/>
              <w:rPr>
                <w:rFonts w:eastAsia="Arial Narrow"/>
                <w:b/>
                <w:color w:val="FF0000"/>
              </w:rPr>
            </w:pPr>
            <w:r w:rsidRPr="000903B8">
              <w:rPr>
                <w:rFonts w:eastAsia="Arial Narrow"/>
                <w:b/>
              </w:rPr>
              <w:t>95.98%</w:t>
            </w:r>
          </w:p>
        </w:tc>
        <w:tc>
          <w:tcPr>
            <w:tcW w:w="3362" w:type="dxa"/>
            <w:shd w:val="clear" w:color="auto" w:fill="993366"/>
          </w:tcPr>
          <w:p w:rsidR="004C5315" w:rsidRPr="00B1123B" w:rsidRDefault="004C5315" w:rsidP="004C5315">
            <w:pPr>
              <w:spacing w:after="0" w:line="240" w:lineRule="auto"/>
              <w:ind w:right="20"/>
              <w:jc w:val="center"/>
              <w:rPr>
                <w:rFonts w:eastAsia="Arial Narrow"/>
              </w:rPr>
            </w:pPr>
            <w:r w:rsidRPr="007E4FEC">
              <w:rPr>
                <w:rFonts w:eastAsia="Arial Narrow"/>
                <w:b/>
                <w:color w:val="FFFFFF" w:themeColor="background1"/>
              </w:rPr>
              <w:t xml:space="preserve">Número de </w:t>
            </w:r>
            <w:r>
              <w:rPr>
                <w:rFonts w:eastAsia="Arial Narrow"/>
                <w:b/>
                <w:color w:val="FFFFFF" w:themeColor="background1"/>
              </w:rPr>
              <w:t xml:space="preserve">Iniciativas </w:t>
            </w:r>
          </w:p>
        </w:tc>
        <w:tc>
          <w:tcPr>
            <w:tcW w:w="1892" w:type="dxa"/>
            <w:vAlign w:val="center"/>
          </w:tcPr>
          <w:p w:rsidR="004C5315" w:rsidRPr="00307938" w:rsidRDefault="004C5315" w:rsidP="004C5315">
            <w:pPr>
              <w:spacing w:after="0" w:line="240" w:lineRule="auto"/>
              <w:ind w:right="20"/>
              <w:jc w:val="center"/>
              <w:rPr>
                <w:rFonts w:eastAsia="Arial Narrow"/>
                <w:b/>
              </w:rPr>
            </w:pPr>
            <w:r>
              <w:rPr>
                <w:rFonts w:eastAsia="Arial Narrow"/>
                <w:b/>
              </w:rPr>
              <w:t>6</w:t>
            </w:r>
          </w:p>
        </w:tc>
      </w:tr>
    </w:tbl>
    <w:p w:rsidR="005D5B40" w:rsidRDefault="005D5B40" w:rsidP="005D5B40"/>
    <w:p w:rsidR="005D5B40" w:rsidRDefault="005D5B40" w:rsidP="005D5B40"/>
    <w:p w:rsidR="005D5B40" w:rsidRPr="00F47939" w:rsidRDefault="005D5B40" w:rsidP="005D5B40">
      <w:pPr>
        <w:rPr>
          <w:sz w:val="22"/>
          <w:szCs w:val="20"/>
        </w:rPr>
      </w:pPr>
      <w:r w:rsidRPr="00F47939">
        <w:rPr>
          <w:sz w:val="22"/>
          <w:szCs w:val="20"/>
        </w:rPr>
        <w:t xml:space="preserve">La oficina es responsable de 6 iniciativas estratégicas las cuales se están desarrollando así: </w:t>
      </w:r>
    </w:p>
    <w:p w:rsidR="005D5B40" w:rsidRPr="00F47939" w:rsidRDefault="0052078E" w:rsidP="005D5B40">
      <w:pPr>
        <w:rPr>
          <w:sz w:val="22"/>
          <w:szCs w:val="20"/>
        </w:rPr>
      </w:pPr>
      <w:r w:rsidRPr="00F47939">
        <w:rPr>
          <w:b/>
          <w:sz w:val="22"/>
          <w:szCs w:val="20"/>
        </w:rPr>
        <w:t xml:space="preserve">1. </w:t>
      </w:r>
      <w:r w:rsidR="005D5B40" w:rsidRPr="00F47939">
        <w:rPr>
          <w:b/>
          <w:sz w:val="22"/>
          <w:szCs w:val="20"/>
        </w:rPr>
        <w:t>Articular las entidades del sector para el cumplimiento de objetivos comunes</w:t>
      </w:r>
      <w:r w:rsidR="005D5B40" w:rsidRPr="00F47939">
        <w:rPr>
          <w:sz w:val="22"/>
          <w:szCs w:val="20"/>
        </w:rPr>
        <w:t>.</w:t>
      </w:r>
    </w:p>
    <w:p w:rsidR="005D5B40" w:rsidRPr="00F47939" w:rsidRDefault="005D5B40" w:rsidP="005D5B40">
      <w:pPr>
        <w:rPr>
          <w:sz w:val="22"/>
          <w:szCs w:val="20"/>
        </w:rPr>
      </w:pPr>
      <w:r w:rsidRPr="00F47939">
        <w:rPr>
          <w:sz w:val="22"/>
          <w:szCs w:val="20"/>
        </w:rPr>
        <w:t xml:space="preserve">Esta iniciativa </w:t>
      </w:r>
      <w:r w:rsidR="007148DF" w:rsidRPr="00F47939">
        <w:rPr>
          <w:sz w:val="22"/>
          <w:szCs w:val="20"/>
        </w:rPr>
        <w:t xml:space="preserve">presenta un avance del </w:t>
      </w:r>
      <w:r w:rsidR="00797009" w:rsidRPr="00F47939">
        <w:rPr>
          <w:sz w:val="22"/>
          <w:szCs w:val="20"/>
        </w:rPr>
        <w:t>98</w:t>
      </w:r>
      <w:r w:rsidR="007148DF" w:rsidRPr="00F47939">
        <w:rPr>
          <w:sz w:val="22"/>
          <w:szCs w:val="20"/>
        </w:rPr>
        <w:t xml:space="preserve">% </w:t>
      </w:r>
      <w:r w:rsidRPr="00F47939">
        <w:rPr>
          <w:sz w:val="22"/>
          <w:szCs w:val="20"/>
        </w:rPr>
        <w:t>con la ejecución de 4 actividades cuya gestión se muestra a continuación:</w:t>
      </w:r>
    </w:p>
    <w:p w:rsidR="000851F9" w:rsidRPr="00F47939" w:rsidRDefault="000851F9" w:rsidP="00292770">
      <w:pPr>
        <w:pStyle w:val="Prrafodelista"/>
        <w:numPr>
          <w:ilvl w:val="0"/>
          <w:numId w:val="10"/>
        </w:numPr>
        <w:rPr>
          <w:sz w:val="22"/>
          <w:szCs w:val="20"/>
        </w:rPr>
      </w:pPr>
      <w:r w:rsidRPr="00F47939">
        <w:rPr>
          <w:b/>
          <w:sz w:val="22"/>
          <w:szCs w:val="20"/>
        </w:rPr>
        <w:t>Programar los comités Sectoriales para presentar los avances en el Plan Estratégico Sectorial</w:t>
      </w:r>
      <w:r w:rsidRPr="00F47939">
        <w:rPr>
          <w:sz w:val="22"/>
          <w:szCs w:val="20"/>
        </w:rPr>
        <w:t>: La programación de los Comités Sectoriales de Desarrollo Administrativo se realizó desde el mes de marzo y el cronograma fue socializado a todos los representantes de las entidades del Sector.</w:t>
      </w:r>
    </w:p>
    <w:p w:rsidR="000851F9" w:rsidRPr="00F47939" w:rsidRDefault="000851F9" w:rsidP="00292770">
      <w:pPr>
        <w:numPr>
          <w:ilvl w:val="0"/>
          <w:numId w:val="11"/>
        </w:numPr>
        <w:spacing w:after="200" w:line="276" w:lineRule="auto"/>
        <w:rPr>
          <w:sz w:val="22"/>
          <w:szCs w:val="20"/>
        </w:rPr>
      </w:pPr>
      <w:r w:rsidRPr="00F47939">
        <w:rPr>
          <w:b/>
          <w:sz w:val="22"/>
          <w:szCs w:val="20"/>
        </w:rPr>
        <w:t xml:space="preserve">Analizar y evaluar la información  sectorial reportada por las entidades del sector: </w:t>
      </w:r>
      <w:r w:rsidRPr="00F47939">
        <w:rPr>
          <w:sz w:val="22"/>
          <w:szCs w:val="20"/>
        </w:rPr>
        <w:t xml:space="preserve">A la fecha de corte, se han realizado cinco (5) mesas de trabajo con las entidades del sector,  en donde se analizó el avance del Plan Estratégico Sectorial, el cumplimiento del cronograma proyectado para la vigencia,  se socializaron los resultados de ITN y el reporte de FURAG para implementar acciones de mejora y se coordinaron acciones de rendición de cuentas sectorial – como evidencia de adjunta lista de asistentes a las mesas de trabajo. </w:t>
      </w:r>
    </w:p>
    <w:p w:rsidR="000851F9" w:rsidRPr="00F47939" w:rsidRDefault="000851F9" w:rsidP="00292770">
      <w:pPr>
        <w:pStyle w:val="Prrafodelista"/>
        <w:numPr>
          <w:ilvl w:val="0"/>
          <w:numId w:val="11"/>
        </w:numPr>
        <w:rPr>
          <w:sz w:val="22"/>
          <w:szCs w:val="20"/>
        </w:rPr>
      </w:pPr>
      <w:r w:rsidRPr="00F47939">
        <w:rPr>
          <w:b/>
          <w:sz w:val="22"/>
          <w:szCs w:val="20"/>
        </w:rPr>
        <w:t xml:space="preserve">Realizar Comités Sectoriales de seguimiento: </w:t>
      </w:r>
      <w:r w:rsidRPr="00F47939">
        <w:rPr>
          <w:sz w:val="22"/>
          <w:szCs w:val="20"/>
        </w:rPr>
        <w:t>A la fecha de corte se han efectuado dos (2) comités sectoriales, en los meses de Abril y Julio de 2.017, con la participación de los representantes legales y de los Jefes de las Oficinas de Planeación, en donde se presentaron y analizaron los avances de los indicadores del Plan Integrado de Planeación Estratégico Sectorial  del  Primer y Segundo Trimestre de la vigencia  2.017, adicionalmente se presentaron los resultados obtenidos en FURAG  e ITN 2016 de las entidades del sector e Informe de avance y Seguimiento a la Estrategia de Gobierno en Línea – GEL – como evidencia reposan las actas de los comités realizados y correos electrónicos.</w:t>
      </w:r>
    </w:p>
    <w:p w:rsidR="000851F9" w:rsidRPr="00F47939" w:rsidRDefault="000851F9" w:rsidP="000851F9">
      <w:pPr>
        <w:pStyle w:val="Prrafodelista"/>
        <w:rPr>
          <w:sz w:val="22"/>
          <w:szCs w:val="20"/>
        </w:rPr>
      </w:pPr>
    </w:p>
    <w:p w:rsidR="000851F9" w:rsidRPr="00F47939" w:rsidRDefault="000851F9" w:rsidP="00292770">
      <w:pPr>
        <w:pStyle w:val="Prrafodelista"/>
        <w:numPr>
          <w:ilvl w:val="0"/>
          <w:numId w:val="11"/>
        </w:numPr>
        <w:rPr>
          <w:color w:val="000000"/>
          <w:sz w:val="22"/>
          <w:szCs w:val="20"/>
          <w:lang w:eastAsia="es-CO"/>
        </w:rPr>
      </w:pPr>
      <w:r w:rsidRPr="00F47939">
        <w:rPr>
          <w:b/>
          <w:sz w:val="22"/>
          <w:szCs w:val="20"/>
        </w:rPr>
        <w:lastRenderedPageBreak/>
        <w:t xml:space="preserve">Realizar reportes cualitativos y cuantitativos del cumplimiento del PES: </w:t>
      </w:r>
      <w:r w:rsidRPr="00F47939">
        <w:rPr>
          <w:sz w:val="22"/>
          <w:szCs w:val="20"/>
        </w:rPr>
        <w:t>A la fecha de corte s</w:t>
      </w:r>
      <w:r w:rsidRPr="00F47939">
        <w:rPr>
          <w:color w:val="000000"/>
          <w:sz w:val="22"/>
          <w:szCs w:val="20"/>
          <w:lang w:eastAsia="es-CO"/>
        </w:rPr>
        <w:t>e ha  consolidado  la información reportada por las entidades del sector Vivienda, Ciudad y Territorio del primer y segundo trimestre de la vigencia 2.017,  realizando los informes (2) de los periodos mencionados del Plan Estratégico Integrado de Planeación y Gestión Sectorial, los cuales se publicaron en la página web del Ministerio – como evidencia se encuentran los informes publicados en la página Web del Ministerio.</w:t>
      </w:r>
    </w:p>
    <w:p w:rsidR="000851F9" w:rsidRPr="00FB3AFA" w:rsidRDefault="000851F9" w:rsidP="000851F9">
      <w:pPr>
        <w:pStyle w:val="Prrafodelista"/>
        <w:rPr>
          <w:sz w:val="22"/>
          <w:szCs w:val="20"/>
        </w:rPr>
      </w:pPr>
    </w:p>
    <w:p w:rsidR="009D2B1E" w:rsidRDefault="009D2B1E" w:rsidP="000903B8">
      <w:pPr>
        <w:pStyle w:val="Prrafodelista"/>
        <w:jc w:val="center"/>
        <w:rPr>
          <w:sz w:val="22"/>
          <w:szCs w:val="20"/>
        </w:rPr>
      </w:pPr>
      <w:r w:rsidRPr="004C5315">
        <w:rPr>
          <w:noProof/>
          <w:bdr w:val="single" w:sz="12" w:space="0" w:color="auto"/>
          <w:lang w:eastAsia="es-CO"/>
        </w:rPr>
        <w:drawing>
          <wp:inline distT="0" distB="0" distL="0" distR="0" wp14:anchorId="4C8A1ED2" wp14:editId="69CD36ED">
            <wp:extent cx="7461504" cy="4117676"/>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68054" cy="4121291"/>
                    </a:xfrm>
                    <a:prstGeom prst="rect">
                      <a:avLst/>
                    </a:prstGeom>
                    <a:noFill/>
                    <a:ln>
                      <a:noFill/>
                    </a:ln>
                  </pic:spPr>
                </pic:pic>
              </a:graphicData>
            </a:graphic>
          </wp:inline>
        </w:drawing>
      </w:r>
    </w:p>
    <w:p w:rsidR="009D2B1E" w:rsidRDefault="009D2B1E" w:rsidP="00B07BAA">
      <w:pPr>
        <w:pStyle w:val="Prrafodelista"/>
        <w:rPr>
          <w:sz w:val="22"/>
          <w:szCs w:val="20"/>
        </w:rPr>
      </w:pPr>
    </w:p>
    <w:p w:rsidR="000F66A3" w:rsidRPr="00F47939" w:rsidRDefault="000F66A3" w:rsidP="000F66A3">
      <w:pPr>
        <w:rPr>
          <w:iCs/>
          <w:sz w:val="22"/>
          <w:szCs w:val="20"/>
        </w:rPr>
      </w:pPr>
      <w:r w:rsidRPr="00F47939">
        <w:rPr>
          <w:b/>
          <w:sz w:val="22"/>
          <w:szCs w:val="20"/>
        </w:rPr>
        <w:t xml:space="preserve">2. Fortalecer los estándares de transparencia con la formulación, consolidación e implementación del Plan Anticorrupción y de atención al ciudadano – PAAC: </w:t>
      </w:r>
      <w:r w:rsidRPr="00F47939">
        <w:rPr>
          <w:sz w:val="22"/>
          <w:szCs w:val="20"/>
        </w:rPr>
        <w:t xml:space="preserve">Las actividades mediante las cuales se mide esta </w:t>
      </w:r>
      <w:r w:rsidRPr="00F47939">
        <w:rPr>
          <w:sz w:val="22"/>
          <w:szCs w:val="20"/>
        </w:rPr>
        <w:lastRenderedPageBreak/>
        <w:t xml:space="preserve">iniciativa están directamente relacionadas con la formulación y el seguimiento al Plan Anticorrupción y a los resultados obtenidos en el Índice de Transparencia Nacional – ITN y en el </w:t>
      </w:r>
      <w:r w:rsidRPr="00F47939">
        <w:rPr>
          <w:iCs/>
          <w:sz w:val="22"/>
          <w:szCs w:val="20"/>
        </w:rPr>
        <w:t xml:space="preserve">Formulario Único de Reporte de Avance de Gestión – FURAG, actualmente esta iniciativa presenta un avance del </w:t>
      </w:r>
      <w:r w:rsidR="00797009" w:rsidRPr="00F47939">
        <w:rPr>
          <w:iCs/>
          <w:sz w:val="22"/>
          <w:szCs w:val="20"/>
        </w:rPr>
        <w:t>94.97</w:t>
      </w:r>
      <w:r w:rsidRPr="00F47939">
        <w:rPr>
          <w:iCs/>
          <w:sz w:val="22"/>
          <w:szCs w:val="20"/>
        </w:rPr>
        <w:t>%.</w:t>
      </w:r>
    </w:p>
    <w:p w:rsidR="000F66A3" w:rsidRPr="00F47939" w:rsidRDefault="000F66A3" w:rsidP="000F66A3">
      <w:pPr>
        <w:pStyle w:val="Prrafodelista"/>
        <w:rPr>
          <w:b/>
          <w:sz w:val="22"/>
          <w:szCs w:val="20"/>
        </w:rPr>
      </w:pPr>
    </w:p>
    <w:p w:rsidR="000F66A3" w:rsidRPr="00F47939" w:rsidRDefault="000F66A3" w:rsidP="00292770">
      <w:pPr>
        <w:pStyle w:val="Prrafodelista"/>
        <w:numPr>
          <w:ilvl w:val="0"/>
          <w:numId w:val="11"/>
        </w:numPr>
        <w:rPr>
          <w:b/>
          <w:sz w:val="22"/>
          <w:szCs w:val="20"/>
          <w:lang w:eastAsia="es-CO"/>
        </w:rPr>
      </w:pPr>
      <w:r w:rsidRPr="00F47939">
        <w:rPr>
          <w:b/>
          <w:sz w:val="22"/>
          <w:szCs w:val="20"/>
          <w:lang w:eastAsia="es-CO"/>
        </w:rPr>
        <w:t xml:space="preserve">Liderar la formulación del Plan de Mejoramiento – ITN: </w:t>
      </w:r>
      <w:r w:rsidRPr="00F47939">
        <w:rPr>
          <w:sz w:val="22"/>
          <w:szCs w:val="20"/>
          <w:lang w:eastAsia="es-CO"/>
        </w:rPr>
        <w:t xml:space="preserve">El Plan de mejoramiento se formuló con las dependencias responsables de  las actividades que no lograron el 100% de la evaluación hecha para las vigencias 2015-2016. La formulación se hizo en el marco de las mesas de trabajo realizadas para monitorear el avance del Plan Anticorrupción y de Atención al Ciudadano – PAAC del primer trimestre de 2017, realizadas entre 20 de abril y 9 de mayo de 2017. </w:t>
      </w:r>
    </w:p>
    <w:p w:rsidR="000F66A3" w:rsidRPr="00F47939" w:rsidRDefault="000F66A3" w:rsidP="000F66A3">
      <w:pPr>
        <w:pStyle w:val="Prrafodelista"/>
        <w:spacing w:line="252" w:lineRule="auto"/>
        <w:rPr>
          <w:b/>
          <w:bCs/>
          <w:sz w:val="22"/>
          <w:szCs w:val="20"/>
        </w:rPr>
      </w:pPr>
    </w:p>
    <w:p w:rsidR="000F66A3" w:rsidRPr="00F47939" w:rsidRDefault="000F66A3" w:rsidP="00292770">
      <w:pPr>
        <w:pStyle w:val="Prrafodelista"/>
        <w:numPr>
          <w:ilvl w:val="0"/>
          <w:numId w:val="11"/>
        </w:numPr>
        <w:spacing w:line="252" w:lineRule="auto"/>
        <w:rPr>
          <w:b/>
          <w:bCs/>
          <w:sz w:val="22"/>
          <w:szCs w:val="20"/>
        </w:rPr>
      </w:pPr>
      <w:r w:rsidRPr="00F47939">
        <w:rPr>
          <w:b/>
          <w:bCs/>
          <w:sz w:val="22"/>
          <w:szCs w:val="20"/>
        </w:rPr>
        <w:t xml:space="preserve">Realizar seguimiento al plan de mejoramiento ITN: </w:t>
      </w:r>
      <w:r w:rsidRPr="00F47939">
        <w:rPr>
          <w:sz w:val="22"/>
          <w:szCs w:val="20"/>
        </w:rPr>
        <w:t>Se han realizado 2 seguimientos en el marco de las mesas de trabajo para el monitoreo del Plan Anticorrupción, lideradas por la Oficina Asesora de Planeación con cada una de las dependencias que tienen a su cargo acciones en dicho Plan. El primer monitoreo, con corte al primer trimestre se realizó entre el 20 de abril y 9 de mayo de 2017 en 22 mesas de trabajo; el segundo monitoreo se realizó entre el 25 de agosto  y 13 de septiembre. Se cuenta con un avance acumulado del 47%desagrerado así: Visibilidad 80%; Institucionalidad 63%; Control y Sanción 13%.</w:t>
      </w:r>
    </w:p>
    <w:p w:rsidR="000F66A3" w:rsidRPr="00F47939" w:rsidRDefault="000F66A3" w:rsidP="000F66A3">
      <w:pPr>
        <w:pStyle w:val="Prrafodelista"/>
        <w:rPr>
          <w:sz w:val="22"/>
          <w:szCs w:val="20"/>
          <w:lang w:eastAsia="es-CO"/>
        </w:rPr>
      </w:pPr>
    </w:p>
    <w:p w:rsidR="000F66A3" w:rsidRPr="00F47939" w:rsidRDefault="000F66A3" w:rsidP="00292770">
      <w:pPr>
        <w:pStyle w:val="Prrafodelista"/>
        <w:numPr>
          <w:ilvl w:val="0"/>
          <w:numId w:val="11"/>
        </w:numPr>
        <w:rPr>
          <w:sz w:val="22"/>
          <w:szCs w:val="20"/>
          <w:lang w:eastAsia="es-CO"/>
        </w:rPr>
      </w:pPr>
      <w:r w:rsidRPr="00F47939">
        <w:rPr>
          <w:b/>
          <w:sz w:val="22"/>
          <w:szCs w:val="20"/>
        </w:rPr>
        <w:t xml:space="preserve">Resultados del Índice de Transparencia Nacional - ITN: </w:t>
      </w:r>
      <w:r w:rsidRPr="00F47939">
        <w:rPr>
          <w:sz w:val="22"/>
          <w:szCs w:val="20"/>
          <w:lang w:eastAsia="es-CO"/>
        </w:rPr>
        <w:t xml:space="preserve">Los resultados obtenidos en el Índice de Transparencia Nacional, publicados por la Organización No Gubernamental Transparencia por Colombia, el Ministerio obtuvo  una mejora significativa en el ranking nacional, en el ministerial y en el comparativo con la evaluación realizada en la vigencia anterior.  </w:t>
      </w:r>
    </w:p>
    <w:p w:rsidR="000F66A3" w:rsidRPr="00F47939" w:rsidRDefault="000F66A3" w:rsidP="000F66A3">
      <w:pPr>
        <w:pStyle w:val="Prrafodelista"/>
        <w:rPr>
          <w:sz w:val="22"/>
          <w:szCs w:val="20"/>
          <w:lang w:eastAsia="es-CO"/>
        </w:rPr>
      </w:pPr>
    </w:p>
    <w:p w:rsidR="000F66A3" w:rsidRPr="00F47939" w:rsidRDefault="000F66A3" w:rsidP="000F66A3">
      <w:pPr>
        <w:pStyle w:val="Prrafodelista"/>
        <w:rPr>
          <w:sz w:val="22"/>
          <w:szCs w:val="20"/>
          <w:lang w:eastAsia="es-CO"/>
        </w:rPr>
      </w:pPr>
      <w:r w:rsidRPr="00F47939">
        <w:rPr>
          <w:sz w:val="22"/>
          <w:szCs w:val="20"/>
          <w:lang w:eastAsia="es-CO"/>
        </w:rPr>
        <w:t xml:space="preserve">En el ranking Nacional, el Ministerio pasó de ocupar la posición No 46 en la evaluación realizada en las vigencias 2013 y 2014 a ocupar la posición No 19, en la evaluación correspondiente a las vigencias 2015 y 2016. Complementariamente, el nivel de riesgo de corrupción se redujo de la categoría “riesgo medio” a la categoría “riesgo moderado”, lo cual es muy importante, porque el Ministerio quedó en el mismo nivel de riesgo de la entidad que quedó en primer lugar. </w:t>
      </w:r>
    </w:p>
    <w:p w:rsidR="000F66A3" w:rsidRPr="00F47939" w:rsidRDefault="000F66A3" w:rsidP="000F66A3">
      <w:pPr>
        <w:pStyle w:val="Prrafodelista"/>
        <w:rPr>
          <w:sz w:val="22"/>
          <w:szCs w:val="20"/>
          <w:lang w:eastAsia="es-CO"/>
        </w:rPr>
      </w:pPr>
    </w:p>
    <w:p w:rsidR="000F66A3" w:rsidRPr="00F47939" w:rsidRDefault="000F66A3" w:rsidP="000F66A3">
      <w:pPr>
        <w:pStyle w:val="Prrafodelista"/>
        <w:rPr>
          <w:sz w:val="22"/>
          <w:szCs w:val="20"/>
          <w:lang w:eastAsia="es-CO"/>
        </w:rPr>
      </w:pPr>
      <w:r w:rsidRPr="00F47939">
        <w:rPr>
          <w:sz w:val="22"/>
          <w:szCs w:val="20"/>
          <w:lang w:eastAsia="es-CO"/>
        </w:rPr>
        <w:t xml:space="preserve">Por otra parte, en el ranking ministerial el resultado es destacable, porque pasó de ocupar la posición número 11 en la evaluación de las vigencias 2013-2014, con un riesgo de corrupción medio, a ocupar la posición número 4 en la evaluación correspondiente a las vigencias 2015 y 2016, con un riesgo de corrupción moderado. </w:t>
      </w:r>
    </w:p>
    <w:p w:rsidR="000F66A3" w:rsidRPr="00F47939" w:rsidRDefault="000F66A3" w:rsidP="000F66A3">
      <w:pPr>
        <w:pStyle w:val="Prrafodelista"/>
        <w:rPr>
          <w:sz w:val="22"/>
          <w:szCs w:val="20"/>
          <w:lang w:eastAsia="es-CO"/>
        </w:rPr>
      </w:pPr>
    </w:p>
    <w:p w:rsidR="000F66A3" w:rsidRPr="00F47939" w:rsidRDefault="000F66A3" w:rsidP="000F66A3">
      <w:pPr>
        <w:pStyle w:val="Prrafodelista"/>
        <w:rPr>
          <w:sz w:val="22"/>
          <w:szCs w:val="20"/>
          <w:lang w:eastAsia="es-CO"/>
        </w:rPr>
      </w:pPr>
      <w:r w:rsidRPr="00F47939">
        <w:rPr>
          <w:sz w:val="22"/>
          <w:szCs w:val="20"/>
          <w:lang w:eastAsia="es-CO"/>
        </w:rPr>
        <w:t>La mejora en la calificación institucional del Ministerio también es destacable dado que ascendió 8,4 puntos, al pasar de 66,5 en la evaluación de las vigencias 2013 y 2014 a 74,87 en la evaluación de las vigencias 2015 y 2016.</w:t>
      </w:r>
    </w:p>
    <w:p w:rsidR="000F66A3" w:rsidRPr="00F47939" w:rsidRDefault="000F66A3" w:rsidP="000F66A3">
      <w:pPr>
        <w:pStyle w:val="Prrafodelista"/>
        <w:rPr>
          <w:sz w:val="22"/>
          <w:szCs w:val="20"/>
          <w:lang w:eastAsia="es-CO"/>
        </w:rPr>
      </w:pPr>
    </w:p>
    <w:p w:rsidR="000F66A3" w:rsidRPr="00F47939" w:rsidRDefault="000F66A3" w:rsidP="00292770">
      <w:pPr>
        <w:pStyle w:val="Prrafodelista"/>
        <w:numPr>
          <w:ilvl w:val="0"/>
          <w:numId w:val="11"/>
        </w:numPr>
        <w:spacing w:line="252" w:lineRule="auto"/>
        <w:rPr>
          <w:b/>
          <w:bCs/>
          <w:sz w:val="22"/>
          <w:szCs w:val="20"/>
        </w:rPr>
      </w:pPr>
      <w:r w:rsidRPr="00F47939">
        <w:rPr>
          <w:b/>
          <w:iCs/>
          <w:sz w:val="22"/>
          <w:szCs w:val="20"/>
        </w:rPr>
        <w:t xml:space="preserve">Liderar la formulación del Plan de Mejoramiento FURAG: </w:t>
      </w:r>
      <w:r w:rsidRPr="00F47939">
        <w:rPr>
          <w:sz w:val="22"/>
          <w:szCs w:val="20"/>
        </w:rPr>
        <w:t>El Plan de mejoramiento se formuló con las dependencias responsables de  las actividades que no lograron el 100% de la evaluación hecha para la vigencia s016. La formulación se hizo en el marco de las mesas de trabajo realizadas para monitorear el avance del Plan Anticorrupción y de Atención al Ciudadano – PAAC del segundo trimestre de 2017, realizadas entre el 25 de agosto  y 13 de septiembre.</w:t>
      </w:r>
    </w:p>
    <w:p w:rsidR="000F66A3" w:rsidRPr="00F47939" w:rsidRDefault="000F66A3" w:rsidP="000F66A3">
      <w:pPr>
        <w:pStyle w:val="Prrafodelista"/>
        <w:spacing w:line="252" w:lineRule="auto"/>
        <w:rPr>
          <w:b/>
          <w:bCs/>
          <w:sz w:val="22"/>
          <w:szCs w:val="20"/>
        </w:rPr>
      </w:pPr>
    </w:p>
    <w:p w:rsidR="000F66A3" w:rsidRPr="00F47939" w:rsidRDefault="000F66A3" w:rsidP="00292770">
      <w:pPr>
        <w:pStyle w:val="Prrafodelista"/>
        <w:numPr>
          <w:ilvl w:val="0"/>
          <w:numId w:val="11"/>
        </w:numPr>
        <w:spacing w:line="252" w:lineRule="auto"/>
        <w:rPr>
          <w:b/>
          <w:bCs/>
          <w:sz w:val="22"/>
          <w:szCs w:val="20"/>
        </w:rPr>
      </w:pPr>
      <w:r w:rsidRPr="00F47939">
        <w:rPr>
          <w:b/>
          <w:bCs/>
          <w:sz w:val="22"/>
          <w:szCs w:val="20"/>
        </w:rPr>
        <w:t xml:space="preserve">Realizar monitoreo a los planes de mejoramiento FURAG: </w:t>
      </w:r>
      <w:r w:rsidRPr="00F47939">
        <w:rPr>
          <w:sz w:val="22"/>
          <w:szCs w:val="20"/>
        </w:rPr>
        <w:t>Esta actividad se realizará en el mes de noviembre.</w:t>
      </w:r>
    </w:p>
    <w:p w:rsidR="000F66A3" w:rsidRPr="00F47939" w:rsidRDefault="000F66A3" w:rsidP="000F66A3">
      <w:pPr>
        <w:pStyle w:val="Prrafodelista"/>
        <w:rPr>
          <w:b/>
          <w:sz w:val="22"/>
          <w:szCs w:val="20"/>
          <w:lang w:eastAsia="es-CO"/>
        </w:rPr>
      </w:pPr>
    </w:p>
    <w:p w:rsidR="000F66A3" w:rsidRPr="00F47939" w:rsidRDefault="000F66A3" w:rsidP="00292770">
      <w:pPr>
        <w:pStyle w:val="Prrafodelista"/>
        <w:numPr>
          <w:ilvl w:val="0"/>
          <w:numId w:val="11"/>
        </w:numPr>
        <w:rPr>
          <w:iCs/>
          <w:sz w:val="22"/>
          <w:szCs w:val="20"/>
        </w:rPr>
      </w:pPr>
      <w:r w:rsidRPr="00F47939">
        <w:rPr>
          <w:b/>
          <w:iCs/>
          <w:sz w:val="22"/>
          <w:szCs w:val="20"/>
        </w:rPr>
        <w:t xml:space="preserve">Resultados del Formulario Único de Reporte de Avance de Gestión – FURAG: </w:t>
      </w:r>
      <w:r w:rsidRPr="00F47939">
        <w:rPr>
          <w:iCs/>
          <w:sz w:val="22"/>
          <w:szCs w:val="20"/>
        </w:rPr>
        <w:t>En esta calificación realizada por el Departamento Administrativo de la Función Pública, el Ministerio de Vivienda logró un incremento de 5,5 puntos respecto de la vigencia 2016 en comparación con la vigencia 2015, pasando de una calificación de 76,9 a 82,4. Si bien este resultado es muy importante para el Ministerio, el FURAG no contempla un ranking de calificación para las diferentes entidades que reportan, por lo cual no es posible establecer un análisis comparativo con otras entidades públicas.</w:t>
      </w:r>
    </w:p>
    <w:p w:rsidR="000F66A3" w:rsidRPr="00F47939" w:rsidRDefault="000F66A3" w:rsidP="000F66A3">
      <w:pPr>
        <w:pStyle w:val="Prrafodelista"/>
        <w:rPr>
          <w:iCs/>
          <w:sz w:val="22"/>
          <w:szCs w:val="20"/>
        </w:rPr>
      </w:pPr>
    </w:p>
    <w:p w:rsidR="000F66A3" w:rsidRPr="00F47939" w:rsidRDefault="000F66A3" w:rsidP="00292770">
      <w:pPr>
        <w:pStyle w:val="Prrafodelista"/>
        <w:numPr>
          <w:ilvl w:val="0"/>
          <w:numId w:val="12"/>
        </w:numPr>
        <w:spacing w:line="252" w:lineRule="auto"/>
        <w:rPr>
          <w:b/>
          <w:sz w:val="22"/>
          <w:szCs w:val="20"/>
        </w:rPr>
      </w:pPr>
      <w:r w:rsidRPr="00F47939">
        <w:rPr>
          <w:b/>
          <w:bCs/>
          <w:sz w:val="22"/>
          <w:szCs w:val="20"/>
        </w:rPr>
        <w:t xml:space="preserve">Liderar la Formulación e implementación del Plan Anticorrupción y de Atención al Ciudadano - PAAC: </w:t>
      </w:r>
      <w:r w:rsidRPr="00F47939">
        <w:rPr>
          <w:sz w:val="22"/>
          <w:szCs w:val="20"/>
        </w:rPr>
        <w:t xml:space="preserve">El Plan Anticorrupción, que incluye el mapa de riesgos de corrupción, la estrategia de rendición de cuentas, la estrategia anti trámites, las acciones para mejorar el servicio al ciudadano y dar cumplimiento a la Ley de transparencia y acceso a la información pública, así como iniciativas adicionales en lucha contra la corrupción,  fue formulado con la participación de todas las dependencias del Ministerio y cumpliendo con los lineamientos establecidos en las guías para la construcción del PAAC versión 2, así como la guía para le gestión del  riesgo de corrupción versión 2015. La implementación del plan se evidencia en los resultados del monitoreo, como se describe a continuación. </w:t>
      </w:r>
    </w:p>
    <w:p w:rsidR="000F66A3" w:rsidRPr="00F47939" w:rsidRDefault="000F66A3" w:rsidP="000F66A3">
      <w:pPr>
        <w:pStyle w:val="Prrafodelista"/>
        <w:rPr>
          <w:sz w:val="22"/>
          <w:szCs w:val="20"/>
        </w:rPr>
      </w:pPr>
    </w:p>
    <w:p w:rsidR="000F66A3" w:rsidRPr="00F47939" w:rsidRDefault="000F66A3" w:rsidP="00292770">
      <w:pPr>
        <w:pStyle w:val="Prrafodelista"/>
        <w:numPr>
          <w:ilvl w:val="0"/>
          <w:numId w:val="12"/>
        </w:numPr>
        <w:spacing w:line="252" w:lineRule="auto"/>
        <w:rPr>
          <w:b/>
          <w:sz w:val="22"/>
          <w:szCs w:val="20"/>
        </w:rPr>
      </w:pPr>
      <w:r w:rsidRPr="00F47939">
        <w:rPr>
          <w:b/>
          <w:bCs/>
          <w:sz w:val="22"/>
          <w:szCs w:val="20"/>
        </w:rPr>
        <w:t>Realizar el Monitoreo al PAAC:</w:t>
      </w:r>
      <w:r w:rsidRPr="00F47939">
        <w:rPr>
          <w:sz w:val="22"/>
          <w:szCs w:val="20"/>
          <w:lang w:eastAsia="es-CO"/>
        </w:rPr>
        <w:t xml:space="preserve"> </w:t>
      </w:r>
      <w:r w:rsidRPr="00F47939">
        <w:rPr>
          <w:sz w:val="22"/>
          <w:szCs w:val="20"/>
        </w:rPr>
        <w:t xml:space="preserve">Se han realizado 2 </w:t>
      </w:r>
      <w:proofErr w:type="spellStart"/>
      <w:r w:rsidRPr="00F47939">
        <w:rPr>
          <w:sz w:val="22"/>
          <w:szCs w:val="20"/>
        </w:rPr>
        <w:t>monitoreos</w:t>
      </w:r>
      <w:proofErr w:type="spellEnd"/>
      <w:r w:rsidRPr="00F47939">
        <w:rPr>
          <w:sz w:val="22"/>
          <w:szCs w:val="20"/>
        </w:rPr>
        <w:t xml:space="preserve"> se hizo por medio de mesas de trabajo lideradas por la Oficina Asesora de Planeación con cada una de las dependencias que tienen a su cargo acciones en dicho Plan. El primer monitoreo al avance de las acciones definidas en el plan así como a la </w:t>
      </w:r>
      <w:r w:rsidRPr="00F47939">
        <w:rPr>
          <w:sz w:val="22"/>
          <w:szCs w:val="20"/>
        </w:rPr>
        <w:lastRenderedPageBreak/>
        <w:t>gestión de los diferentes riesgos de corrupción identificados, con corte al primer trimestre se realizó entre el 20 de abril y 9 de mayo de 2017 en 22 mesas de trabajo; el segundo monitoreo se realizó entre el 25 de agosto  y 13 de septiembre. Se cuenta con un avance acumulado del 56%desagrerado así: Gestión del riesgo de corrupción, 85%; Monitoreo  a riesgo de corrupción, 100% de las acciones adelantadas durante el primer semestre de 2017; Racionalización de trámites, 95%. Rendición de cuentas y participación ciudadana, 32%; Servicio al ciudadano 35%; Transparencia y acceso a la información pública 33%; iniciativas adicionales 58%.</w:t>
      </w:r>
      <w:r w:rsidRPr="00F47939">
        <w:rPr>
          <w:b/>
          <w:sz w:val="22"/>
          <w:szCs w:val="20"/>
        </w:rPr>
        <w:t xml:space="preserve"> </w:t>
      </w:r>
    </w:p>
    <w:p w:rsidR="000F66A3" w:rsidRPr="00F47939" w:rsidRDefault="000F66A3" w:rsidP="000F66A3">
      <w:pPr>
        <w:pStyle w:val="Prrafodelista"/>
        <w:rPr>
          <w:iCs/>
          <w:sz w:val="22"/>
          <w:szCs w:val="20"/>
        </w:rPr>
      </w:pPr>
    </w:p>
    <w:p w:rsidR="00797009" w:rsidRPr="00F47939" w:rsidRDefault="00797009" w:rsidP="00797009">
      <w:pPr>
        <w:spacing w:after="0" w:line="240" w:lineRule="auto"/>
        <w:rPr>
          <w:rFonts w:cs="FuturaStd-ExtraBold"/>
          <w:bCs/>
          <w:sz w:val="22"/>
          <w:szCs w:val="20"/>
        </w:rPr>
      </w:pPr>
      <w:r w:rsidRPr="00F47939">
        <w:rPr>
          <w:rFonts w:cs="FuturaStd-ExtraBold"/>
          <w:b/>
          <w:bCs/>
          <w:sz w:val="22"/>
          <w:szCs w:val="20"/>
        </w:rPr>
        <w:t xml:space="preserve">3. Fortalecer las herramientas de seguimiento de ejecución presupuestal: </w:t>
      </w:r>
      <w:r w:rsidRPr="00F47939">
        <w:rPr>
          <w:rFonts w:cs="FuturaStd-ExtraBold"/>
          <w:bCs/>
          <w:sz w:val="22"/>
          <w:szCs w:val="20"/>
        </w:rPr>
        <w:t>El seguimiento a esta iniciativa</w:t>
      </w:r>
      <w:r w:rsidR="003F50E0" w:rsidRPr="00F47939">
        <w:rPr>
          <w:rFonts w:cs="FuturaStd-ExtraBold"/>
          <w:bCs/>
          <w:sz w:val="22"/>
          <w:szCs w:val="20"/>
        </w:rPr>
        <w:t xml:space="preserve"> que cuenta con</w:t>
      </w:r>
      <w:r w:rsidR="00184D82" w:rsidRPr="00F47939">
        <w:rPr>
          <w:rFonts w:cs="FuturaStd-ExtraBold"/>
          <w:bCs/>
          <w:sz w:val="22"/>
          <w:szCs w:val="20"/>
        </w:rPr>
        <w:t xml:space="preserve"> </w:t>
      </w:r>
      <w:r w:rsidR="003F50E0" w:rsidRPr="00F47939">
        <w:rPr>
          <w:rFonts w:cs="FuturaStd-ExtraBold"/>
          <w:bCs/>
          <w:sz w:val="22"/>
          <w:szCs w:val="20"/>
        </w:rPr>
        <w:t xml:space="preserve">una ejecución del 86,91% frente a la meta establecida para el 2017, </w:t>
      </w:r>
      <w:r w:rsidRPr="00F47939">
        <w:rPr>
          <w:rFonts w:cs="FuturaStd-ExtraBold"/>
          <w:bCs/>
          <w:sz w:val="22"/>
          <w:szCs w:val="20"/>
        </w:rPr>
        <w:t>se mide a través de las siguientes actividades:</w:t>
      </w:r>
    </w:p>
    <w:p w:rsidR="003F50E0" w:rsidRPr="00F47939" w:rsidRDefault="003F50E0" w:rsidP="00797009">
      <w:pPr>
        <w:spacing w:after="0" w:line="240" w:lineRule="auto"/>
        <w:rPr>
          <w:rFonts w:cs="FuturaStd-ExtraBold"/>
          <w:bCs/>
          <w:sz w:val="22"/>
          <w:szCs w:val="20"/>
        </w:rPr>
      </w:pPr>
    </w:p>
    <w:p w:rsidR="00797009" w:rsidRPr="00F47939" w:rsidRDefault="00797009" w:rsidP="00797009">
      <w:pPr>
        <w:pStyle w:val="Prrafodelista"/>
        <w:numPr>
          <w:ilvl w:val="0"/>
          <w:numId w:val="11"/>
        </w:numPr>
        <w:rPr>
          <w:b/>
          <w:sz w:val="22"/>
          <w:szCs w:val="20"/>
          <w:lang w:eastAsia="es-CO"/>
        </w:rPr>
      </w:pPr>
      <w:r w:rsidRPr="00F47939">
        <w:rPr>
          <w:b/>
          <w:sz w:val="22"/>
          <w:szCs w:val="20"/>
        </w:rPr>
        <w:t xml:space="preserve">Realizar mesas de trabajo para fijación de metas de ejecución: </w:t>
      </w:r>
      <w:r w:rsidRPr="00F47939">
        <w:rPr>
          <w:sz w:val="22"/>
          <w:szCs w:val="20"/>
        </w:rPr>
        <w:t>En el mes de enero se realizó una mesa de trabajo donde se fijaron las metas de ejecución para cada dependencia que tiene presupuesto asignado. Como resultado de estas proyecciones consolidadas del sector de Vivienda, Ciudad y Territorio, se envió la propuesta de ejecución a la Presidencia de la Republica, sobre las cuales nos hacen seguimiento a  nivel de Gobierno.  Estas metas se han ajustado por solicitud de las dependencias, siempre y cuando estén bien argumentados y no afecten las proyecciones enviadas a Presidencia.</w:t>
      </w:r>
    </w:p>
    <w:p w:rsidR="00F47939" w:rsidRPr="00F47939" w:rsidRDefault="00F47939" w:rsidP="00F47939">
      <w:pPr>
        <w:pStyle w:val="Prrafodelista"/>
        <w:rPr>
          <w:b/>
          <w:sz w:val="22"/>
          <w:szCs w:val="20"/>
          <w:lang w:eastAsia="es-CO"/>
        </w:rPr>
      </w:pPr>
    </w:p>
    <w:p w:rsidR="00F47939" w:rsidRPr="00F47939" w:rsidRDefault="00F47939" w:rsidP="00F47939">
      <w:pPr>
        <w:pStyle w:val="Prrafodelista"/>
        <w:numPr>
          <w:ilvl w:val="0"/>
          <w:numId w:val="11"/>
        </w:numPr>
        <w:rPr>
          <w:sz w:val="22"/>
          <w:szCs w:val="20"/>
          <w:lang w:eastAsia="es-CO"/>
        </w:rPr>
      </w:pPr>
      <w:r w:rsidRPr="00F47939">
        <w:rPr>
          <w:b/>
          <w:sz w:val="22"/>
          <w:szCs w:val="20"/>
          <w:lang w:eastAsia="es-CO"/>
        </w:rPr>
        <w:t xml:space="preserve">Realizar informes de seguimiento a la ejecución presupuestal: </w:t>
      </w:r>
      <w:r w:rsidRPr="00F47939">
        <w:rPr>
          <w:sz w:val="22"/>
          <w:szCs w:val="20"/>
          <w:lang w:eastAsia="es-CO"/>
        </w:rPr>
        <w:t>Semanalmente se han elaborado y socializados los informes de ejecución presupuestal los cuales se han convertido en una herramienta muy efectiva de seguimiento que hace la Dirección del Ministerio sobre los recursos del presupuesto. Estos informes han permitido que los gerentes de los proyectos  cuenten con la información necesaria para la toma de decisiones en sus procesos de contratación.  Además de los informes semanales se han elaborado los 9 informes mensuales de cierre</w:t>
      </w:r>
    </w:p>
    <w:p w:rsidR="00F47939" w:rsidRPr="00F47939" w:rsidRDefault="00F47939" w:rsidP="00F47939">
      <w:pPr>
        <w:pStyle w:val="Prrafodelista"/>
        <w:rPr>
          <w:sz w:val="22"/>
          <w:szCs w:val="20"/>
          <w:lang w:eastAsia="es-CO"/>
        </w:rPr>
      </w:pPr>
    </w:p>
    <w:p w:rsidR="00F47939" w:rsidRPr="00F47939" w:rsidRDefault="00F47939" w:rsidP="00F47939">
      <w:pPr>
        <w:pStyle w:val="Prrafodelista"/>
        <w:numPr>
          <w:ilvl w:val="0"/>
          <w:numId w:val="11"/>
        </w:numPr>
        <w:rPr>
          <w:b/>
          <w:sz w:val="22"/>
          <w:szCs w:val="20"/>
          <w:lang w:eastAsia="es-CO"/>
        </w:rPr>
      </w:pPr>
      <w:r w:rsidRPr="00F47939">
        <w:rPr>
          <w:b/>
          <w:sz w:val="22"/>
          <w:szCs w:val="20"/>
          <w:lang w:eastAsia="es-CO"/>
        </w:rPr>
        <w:t xml:space="preserve">Gestionar ante DNP y Ministerio de Hacienda los trámites presupuestales solicitados por las áreas: </w:t>
      </w:r>
      <w:r w:rsidRPr="00F47939">
        <w:rPr>
          <w:sz w:val="22"/>
          <w:szCs w:val="20"/>
          <w:lang w:eastAsia="es-CO"/>
        </w:rPr>
        <w:t>Hasta el mes de septiembre atendiendo las solicitudes de las áreas y entidades del sector, se han adelantado ante el DNP y/o MINHACIENDA 12 tramites presupuestales que se relacionan a continuación:</w:t>
      </w:r>
    </w:p>
    <w:p w:rsidR="000F66A3" w:rsidRPr="00797009" w:rsidRDefault="000F66A3" w:rsidP="000F66A3">
      <w:pPr>
        <w:spacing w:after="0" w:line="240" w:lineRule="auto"/>
        <w:rPr>
          <w:rFonts w:cs="FuturaStd-ExtraBold"/>
          <w:bCs/>
          <w:sz w:val="20"/>
          <w:szCs w:val="20"/>
        </w:rPr>
      </w:pPr>
    </w:p>
    <w:p w:rsidR="001E66CD" w:rsidRDefault="00797009" w:rsidP="001E66CD">
      <w:pPr>
        <w:jc w:val="center"/>
        <w:rPr>
          <w:color w:val="000000"/>
          <w:sz w:val="22"/>
          <w:lang w:eastAsia="es-CO"/>
        </w:rPr>
      </w:pPr>
      <w:r w:rsidRPr="004C5315">
        <w:rPr>
          <w:noProof/>
          <w:bdr w:val="single" w:sz="12" w:space="0" w:color="auto"/>
          <w:lang w:eastAsia="es-CO"/>
        </w:rPr>
        <w:lastRenderedPageBreak/>
        <w:drawing>
          <wp:inline distT="0" distB="0" distL="0" distR="0" wp14:anchorId="0B9E5D89" wp14:editId="55771900">
            <wp:extent cx="7737799" cy="605960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50734" cy="6069736"/>
                    </a:xfrm>
                    <a:prstGeom prst="rect">
                      <a:avLst/>
                    </a:prstGeom>
                    <a:noFill/>
                    <a:ln>
                      <a:noFill/>
                    </a:ln>
                  </pic:spPr>
                </pic:pic>
              </a:graphicData>
            </a:graphic>
          </wp:inline>
        </w:drawing>
      </w:r>
    </w:p>
    <w:p w:rsidR="000F66A3" w:rsidRPr="00F47939" w:rsidRDefault="000F66A3" w:rsidP="000F66A3">
      <w:pPr>
        <w:pStyle w:val="Prrafodelista"/>
        <w:rPr>
          <w:b/>
          <w:sz w:val="22"/>
          <w:szCs w:val="20"/>
          <w:lang w:eastAsia="es-CO"/>
        </w:rPr>
      </w:pPr>
    </w:p>
    <w:p w:rsidR="000F66A3" w:rsidRPr="00F47939" w:rsidRDefault="000F66A3" w:rsidP="00FB3AFA">
      <w:pPr>
        <w:pStyle w:val="Prrafodelista"/>
        <w:numPr>
          <w:ilvl w:val="0"/>
          <w:numId w:val="22"/>
        </w:numPr>
        <w:rPr>
          <w:b/>
          <w:sz w:val="22"/>
          <w:szCs w:val="20"/>
          <w:lang w:eastAsia="es-CO"/>
        </w:rPr>
      </w:pPr>
      <w:r w:rsidRPr="00F47939">
        <w:rPr>
          <w:sz w:val="22"/>
          <w:szCs w:val="20"/>
          <w:lang w:eastAsia="es-CO"/>
        </w:rPr>
        <w:t>Adición presupuestal.</w:t>
      </w:r>
    </w:p>
    <w:p w:rsidR="000F66A3" w:rsidRPr="00F47939" w:rsidRDefault="000F66A3" w:rsidP="00FB3AFA">
      <w:pPr>
        <w:pStyle w:val="Prrafodelista"/>
        <w:numPr>
          <w:ilvl w:val="0"/>
          <w:numId w:val="22"/>
        </w:numPr>
        <w:rPr>
          <w:b/>
          <w:sz w:val="22"/>
          <w:szCs w:val="20"/>
          <w:lang w:eastAsia="es-CO"/>
        </w:rPr>
      </w:pPr>
      <w:r w:rsidRPr="00F47939">
        <w:rPr>
          <w:sz w:val="22"/>
          <w:szCs w:val="20"/>
          <w:lang w:eastAsia="es-CO"/>
        </w:rPr>
        <w:t>Traslado de recursos para atender la intervención temporal en la Guajira para los temas de agua potable  y saneamiento básico.</w:t>
      </w:r>
    </w:p>
    <w:p w:rsidR="000F66A3" w:rsidRPr="00F47939" w:rsidRDefault="000F66A3" w:rsidP="00FB3AFA">
      <w:pPr>
        <w:pStyle w:val="Prrafodelista"/>
        <w:numPr>
          <w:ilvl w:val="0"/>
          <w:numId w:val="22"/>
        </w:numPr>
        <w:rPr>
          <w:b/>
          <w:sz w:val="22"/>
          <w:szCs w:val="20"/>
          <w:lang w:eastAsia="es-CO"/>
        </w:rPr>
      </w:pPr>
      <w:r w:rsidRPr="00F47939">
        <w:rPr>
          <w:sz w:val="22"/>
          <w:szCs w:val="20"/>
          <w:lang w:eastAsia="es-CO"/>
        </w:rPr>
        <w:t xml:space="preserve">Solicitud de aval fiscal para apoyar financieramente a MOCOA en la </w:t>
      </w:r>
      <w:r w:rsidR="008410CE" w:rsidRPr="00F47939">
        <w:rPr>
          <w:sz w:val="22"/>
          <w:szCs w:val="20"/>
          <w:lang w:eastAsia="es-CO"/>
        </w:rPr>
        <w:t>construcción</w:t>
      </w:r>
      <w:r w:rsidRPr="00F47939">
        <w:rPr>
          <w:sz w:val="22"/>
          <w:szCs w:val="20"/>
          <w:lang w:eastAsia="es-CO"/>
        </w:rPr>
        <w:t xml:space="preserve"> del plan maestro de alcantarillado.</w:t>
      </w:r>
    </w:p>
    <w:p w:rsidR="000F66A3" w:rsidRPr="00F47939" w:rsidRDefault="000F66A3" w:rsidP="00FB3AFA">
      <w:pPr>
        <w:pStyle w:val="Prrafodelista"/>
        <w:numPr>
          <w:ilvl w:val="0"/>
          <w:numId w:val="22"/>
        </w:numPr>
        <w:rPr>
          <w:b/>
          <w:sz w:val="22"/>
          <w:szCs w:val="20"/>
          <w:lang w:eastAsia="es-CO"/>
        </w:rPr>
      </w:pPr>
      <w:r w:rsidRPr="00F47939">
        <w:rPr>
          <w:sz w:val="22"/>
          <w:szCs w:val="20"/>
          <w:lang w:eastAsia="es-CO"/>
        </w:rPr>
        <w:t>Solicitud de aval fiscal para garantizar los recursos en la ejecución del programa de saneamiento de vertimientos con recursos de un crédito en proceso de negociación con KFW.</w:t>
      </w:r>
    </w:p>
    <w:p w:rsidR="000F66A3" w:rsidRPr="00F47939" w:rsidRDefault="000F66A3" w:rsidP="00FB3AFA">
      <w:pPr>
        <w:pStyle w:val="Prrafodelista"/>
        <w:numPr>
          <w:ilvl w:val="0"/>
          <w:numId w:val="22"/>
        </w:numPr>
        <w:rPr>
          <w:sz w:val="22"/>
          <w:szCs w:val="20"/>
          <w:lang w:eastAsia="es-CO"/>
        </w:rPr>
      </w:pPr>
      <w:r w:rsidRPr="00F47939">
        <w:rPr>
          <w:sz w:val="22"/>
          <w:szCs w:val="20"/>
          <w:lang w:eastAsia="es-CO"/>
        </w:rPr>
        <w:t>Traslado presupuestal entre el proyecto de Gestión Documental y el de Fortalecimiento Institucional del Ministerio</w:t>
      </w:r>
    </w:p>
    <w:p w:rsidR="000F66A3" w:rsidRPr="00F47939" w:rsidRDefault="000F66A3" w:rsidP="00FB3AFA">
      <w:pPr>
        <w:pStyle w:val="Prrafodelista"/>
        <w:numPr>
          <w:ilvl w:val="0"/>
          <w:numId w:val="22"/>
        </w:numPr>
        <w:rPr>
          <w:sz w:val="22"/>
          <w:szCs w:val="20"/>
          <w:lang w:eastAsia="es-CO"/>
        </w:rPr>
      </w:pPr>
      <w:r w:rsidRPr="00F47939">
        <w:rPr>
          <w:sz w:val="22"/>
          <w:szCs w:val="20"/>
          <w:lang w:eastAsia="es-CO"/>
        </w:rPr>
        <w:t>Vigencia futura CRA con recursos de funcionamiento</w:t>
      </w:r>
    </w:p>
    <w:p w:rsidR="000F66A3" w:rsidRPr="00F47939" w:rsidRDefault="000F66A3" w:rsidP="00FB3AFA">
      <w:pPr>
        <w:pStyle w:val="Prrafodelista"/>
        <w:numPr>
          <w:ilvl w:val="0"/>
          <w:numId w:val="22"/>
        </w:numPr>
        <w:rPr>
          <w:sz w:val="22"/>
          <w:szCs w:val="20"/>
          <w:lang w:eastAsia="es-CO"/>
        </w:rPr>
      </w:pPr>
      <w:r w:rsidRPr="00F47939">
        <w:rPr>
          <w:sz w:val="22"/>
          <w:szCs w:val="20"/>
          <w:lang w:eastAsia="es-CO"/>
        </w:rPr>
        <w:t>Vigencia futura CRA con recursos de inversión.</w:t>
      </w:r>
    </w:p>
    <w:p w:rsidR="000F66A3" w:rsidRPr="00F47939" w:rsidRDefault="000F66A3" w:rsidP="00FB3AFA">
      <w:pPr>
        <w:pStyle w:val="Prrafodelista"/>
        <w:numPr>
          <w:ilvl w:val="0"/>
          <w:numId w:val="22"/>
        </w:numPr>
        <w:rPr>
          <w:sz w:val="22"/>
          <w:szCs w:val="20"/>
          <w:lang w:eastAsia="es-CO"/>
        </w:rPr>
      </w:pPr>
      <w:r w:rsidRPr="00F47939">
        <w:rPr>
          <w:sz w:val="22"/>
          <w:szCs w:val="20"/>
          <w:lang w:eastAsia="es-CO"/>
        </w:rPr>
        <w:t>Vigencia futura para apoyar financieramente  las inversiones en acueducto en MOCOA.</w:t>
      </w:r>
    </w:p>
    <w:p w:rsidR="000F66A3" w:rsidRPr="00F47939" w:rsidRDefault="000F66A3" w:rsidP="00FB3AFA">
      <w:pPr>
        <w:pStyle w:val="Prrafodelista"/>
        <w:numPr>
          <w:ilvl w:val="0"/>
          <w:numId w:val="22"/>
        </w:numPr>
        <w:rPr>
          <w:sz w:val="22"/>
          <w:szCs w:val="20"/>
          <w:lang w:eastAsia="es-CO"/>
        </w:rPr>
      </w:pPr>
      <w:r w:rsidRPr="00F47939">
        <w:rPr>
          <w:sz w:val="22"/>
          <w:szCs w:val="20"/>
          <w:lang w:eastAsia="es-CO"/>
        </w:rPr>
        <w:t>Vigencia futura FRECH.</w:t>
      </w:r>
    </w:p>
    <w:p w:rsidR="000F66A3" w:rsidRPr="00F47939" w:rsidRDefault="000F66A3" w:rsidP="00FB3AFA">
      <w:pPr>
        <w:pStyle w:val="Prrafodelista"/>
        <w:numPr>
          <w:ilvl w:val="0"/>
          <w:numId w:val="22"/>
        </w:numPr>
        <w:rPr>
          <w:sz w:val="22"/>
          <w:szCs w:val="20"/>
          <w:lang w:eastAsia="es-CO"/>
        </w:rPr>
      </w:pPr>
      <w:r w:rsidRPr="00F47939">
        <w:rPr>
          <w:sz w:val="22"/>
          <w:szCs w:val="20"/>
          <w:lang w:eastAsia="es-CO"/>
        </w:rPr>
        <w:t>Vigencia futura funcionamiento del Ministerio.</w:t>
      </w:r>
    </w:p>
    <w:p w:rsidR="000F66A3" w:rsidRPr="00F47939" w:rsidRDefault="000F66A3" w:rsidP="000F66A3">
      <w:pPr>
        <w:pStyle w:val="Prrafodelista"/>
        <w:ind w:left="2216"/>
        <w:rPr>
          <w:b/>
          <w:sz w:val="22"/>
          <w:szCs w:val="20"/>
          <w:lang w:eastAsia="es-CO"/>
        </w:rPr>
      </w:pPr>
    </w:p>
    <w:p w:rsidR="000F66A3" w:rsidRPr="00F47939" w:rsidRDefault="000F66A3" w:rsidP="000F66A3">
      <w:pPr>
        <w:spacing w:after="0" w:line="240" w:lineRule="auto"/>
        <w:rPr>
          <w:rFonts w:cs="FuturaStd-ExtraBold"/>
          <w:bCs/>
          <w:sz w:val="22"/>
          <w:szCs w:val="20"/>
        </w:rPr>
      </w:pPr>
      <w:r w:rsidRPr="00F47939">
        <w:rPr>
          <w:rFonts w:cs="FuturaStd-ExtraBold"/>
          <w:b/>
          <w:bCs/>
          <w:sz w:val="22"/>
          <w:szCs w:val="20"/>
        </w:rPr>
        <w:t xml:space="preserve">4. Fortalecer las herramientas de planeación presupuestal: </w:t>
      </w:r>
      <w:r w:rsidRPr="00F47939">
        <w:rPr>
          <w:rFonts w:cs="FuturaStd-ExtraBold"/>
          <w:bCs/>
          <w:sz w:val="22"/>
          <w:szCs w:val="20"/>
        </w:rPr>
        <w:t>El seguimiento a esta iniciativa</w:t>
      </w:r>
      <w:r w:rsidR="00184D82" w:rsidRPr="00F47939">
        <w:rPr>
          <w:rFonts w:cs="FuturaStd-ExtraBold"/>
          <w:bCs/>
          <w:sz w:val="22"/>
          <w:szCs w:val="20"/>
        </w:rPr>
        <w:t xml:space="preserve"> que cuenta con una ejecución del 100%</w:t>
      </w:r>
      <w:r w:rsidRPr="00F47939">
        <w:rPr>
          <w:rFonts w:cs="FuturaStd-ExtraBold"/>
          <w:bCs/>
          <w:sz w:val="22"/>
          <w:szCs w:val="20"/>
        </w:rPr>
        <w:t xml:space="preserve"> se mide a través de las siguientes actividades:</w:t>
      </w:r>
    </w:p>
    <w:p w:rsidR="00797009" w:rsidRPr="00F47939" w:rsidRDefault="00797009" w:rsidP="000F66A3">
      <w:pPr>
        <w:spacing w:after="0" w:line="240" w:lineRule="auto"/>
        <w:rPr>
          <w:rFonts w:cs="FuturaStd-ExtraBold"/>
          <w:bCs/>
          <w:sz w:val="22"/>
          <w:szCs w:val="20"/>
        </w:rPr>
      </w:pPr>
    </w:p>
    <w:p w:rsidR="000F66A3" w:rsidRPr="00F47939" w:rsidRDefault="000F66A3" w:rsidP="00292770">
      <w:pPr>
        <w:pStyle w:val="Prrafodelista"/>
        <w:numPr>
          <w:ilvl w:val="0"/>
          <w:numId w:val="13"/>
        </w:numPr>
        <w:rPr>
          <w:b/>
          <w:sz w:val="22"/>
          <w:szCs w:val="20"/>
        </w:rPr>
      </w:pPr>
      <w:r w:rsidRPr="00F47939">
        <w:rPr>
          <w:rFonts w:cs="FuturaStd-ExtraBold"/>
          <w:b/>
          <w:bCs/>
          <w:sz w:val="22"/>
          <w:szCs w:val="20"/>
        </w:rPr>
        <w:t xml:space="preserve">Socializar las nuevas herramientas de programación presupuestal: </w:t>
      </w:r>
      <w:r w:rsidRPr="00F47939">
        <w:rPr>
          <w:sz w:val="22"/>
          <w:szCs w:val="20"/>
        </w:rPr>
        <w:t>En febrero se socializaron las herramientas de programación presupuestal y se remitieron a las dependencias.</w:t>
      </w:r>
    </w:p>
    <w:p w:rsidR="00F47939" w:rsidRPr="00F47939" w:rsidRDefault="00F47939" w:rsidP="00F47939">
      <w:pPr>
        <w:pStyle w:val="Prrafodelista"/>
        <w:rPr>
          <w:b/>
          <w:sz w:val="22"/>
          <w:szCs w:val="20"/>
        </w:rPr>
      </w:pPr>
    </w:p>
    <w:p w:rsidR="00F47939" w:rsidRDefault="000F66A3" w:rsidP="00F47939">
      <w:pPr>
        <w:pStyle w:val="Prrafodelista"/>
        <w:numPr>
          <w:ilvl w:val="0"/>
          <w:numId w:val="13"/>
        </w:numPr>
        <w:rPr>
          <w:sz w:val="22"/>
          <w:szCs w:val="20"/>
        </w:rPr>
      </w:pPr>
      <w:r w:rsidRPr="00F47939">
        <w:rPr>
          <w:rFonts w:cs="FuturaStd-ExtraBold"/>
          <w:b/>
          <w:bCs/>
          <w:sz w:val="22"/>
          <w:szCs w:val="20"/>
        </w:rPr>
        <w:t xml:space="preserve">Implementar herramientas de programación presupuestal: </w:t>
      </w:r>
      <w:r w:rsidRPr="00F47939">
        <w:rPr>
          <w:sz w:val="22"/>
          <w:szCs w:val="20"/>
        </w:rPr>
        <w:t>Se recibieron el 100% de los formatos de justificación de las dependencias del Ministerio y de FONVIVIENDA.</w:t>
      </w:r>
    </w:p>
    <w:p w:rsidR="00F47939" w:rsidRPr="00F47939" w:rsidRDefault="00F47939" w:rsidP="00F47939">
      <w:pPr>
        <w:rPr>
          <w:sz w:val="22"/>
          <w:szCs w:val="20"/>
        </w:rPr>
      </w:pPr>
    </w:p>
    <w:p w:rsidR="000F66A3" w:rsidRDefault="000F66A3" w:rsidP="00292770">
      <w:pPr>
        <w:pStyle w:val="Prrafodelista"/>
        <w:numPr>
          <w:ilvl w:val="0"/>
          <w:numId w:val="13"/>
        </w:numPr>
        <w:rPr>
          <w:sz w:val="22"/>
          <w:szCs w:val="20"/>
        </w:rPr>
      </w:pPr>
      <w:r w:rsidRPr="00F47939">
        <w:rPr>
          <w:rFonts w:cs="FuturaStd-ExtraBold"/>
          <w:b/>
          <w:bCs/>
          <w:sz w:val="22"/>
          <w:szCs w:val="20"/>
        </w:rPr>
        <w:t xml:space="preserve">Elaborar el anteproyecto de presupuesto: </w:t>
      </w:r>
      <w:r w:rsidRPr="00F47939">
        <w:rPr>
          <w:sz w:val="22"/>
          <w:szCs w:val="20"/>
        </w:rPr>
        <w:t>En marzo del presente año se elaboró el anteproyecto de presupuesto del MVCT para la vigencia 2018, el cual fue radicado en el Ministerio de Hacienda y Crédito Publico el 31 de Marzo de 2017.</w:t>
      </w:r>
    </w:p>
    <w:p w:rsidR="00F47939" w:rsidRPr="00F47939" w:rsidRDefault="00F47939" w:rsidP="00F47939">
      <w:pPr>
        <w:pStyle w:val="Prrafodelista"/>
        <w:rPr>
          <w:sz w:val="22"/>
          <w:szCs w:val="20"/>
        </w:rPr>
      </w:pPr>
    </w:p>
    <w:p w:rsidR="00F47939" w:rsidRPr="00F47939" w:rsidRDefault="00F47939" w:rsidP="00F47939">
      <w:pPr>
        <w:rPr>
          <w:sz w:val="22"/>
          <w:szCs w:val="20"/>
        </w:rPr>
      </w:pPr>
    </w:p>
    <w:p w:rsidR="000F66A3" w:rsidRPr="00F47939" w:rsidRDefault="000F66A3" w:rsidP="00292770">
      <w:pPr>
        <w:pStyle w:val="Prrafodelista"/>
        <w:numPr>
          <w:ilvl w:val="0"/>
          <w:numId w:val="13"/>
        </w:numPr>
        <w:rPr>
          <w:sz w:val="22"/>
          <w:szCs w:val="20"/>
        </w:rPr>
      </w:pPr>
      <w:r w:rsidRPr="00F47939">
        <w:rPr>
          <w:rFonts w:cs="FuturaStd-ExtraBold"/>
          <w:b/>
          <w:bCs/>
          <w:sz w:val="22"/>
          <w:szCs w:val="20"/>
        </w:rPr>
        <w:lastRenderedPageBreak/>
        <w:t xml:space="preserve">Sustentar el anteproyecto ante el DNP y </w:t>
      </w:r>
      <w:proofErr w:type="spellStart"/>
      <w:r w:rsidRPr="00F47939">
        <w:rPr>
          <w:rFonts w:cs="FuturaStd-ExtraBold"/>
          <w:b/>
          <w:bCs/>
          <w:sz w:val="22"/>
          <w:szCs w:val="20"/>
        </w:rPr>
        <w:t>Minhacienda</w:t>
      </w:r>
      <w:proofErr w:type="spellEnd"/>
      <w:r w:rsidRPr="00F47939">
        <w:rPr>
          <w:rFonts w:cs="FuturaStd-ExtraBold"/>
          <w:b/>
          <w:bCs/>
          <w:sz w:val="22"/>
          <w:szCs w:val="20"/>
        </w:rPr>
        <w:t xml:space="preserve">: </w:t>
      </w:r>
      <w:r w:rsidRPr="00F47939">
        <w:rPr>
          <w:rFonts w:cs="FuturaStd-ExtraBold"/>
          <w:bCs/>
          <w:sz w:val="22"/>
          <w:szCs w:val="20"/>
        </w:rPr>
        <w:t>En Junio se programó el Comité Técnico Sectorial, en el cual se sustentaron las cifras solicitadas y programadas por el Ministerio, FONVIVIENDA y la CRA.  En el mes de julio DNP y MINHACIENDA asignan la cuota sectorial de anteproyecto de presupuesto para el 2018 y con base en estos montos, se hace una distribución de recursos entre los proyectos de inversión, los cuales se registraron en el sistema SUIFP, previa aprobación de los Viceministros y de la Secretaria General.</w:t>
      </w:r>
    </w:p>
    <w:p w:rsidR="000F66A3" w:rsidRPr="00F47939" w:rsidRDefault="000F66A3" w:rsidP="000F66A3">
      <w:pPr>
        <w:rPr>
          <w:sz w:val="22"/>
          <w:szCs w:val="20"/>
        </w:rPr>
      </w:pPr>
      <w:r w:rsidRPr="00F47939">
        <w:rPr>
          <w:sz w:val="22"/>
          <w:szCs w:val="20"/>
        </w:rPr>
        <w:t>Teniendo en cuenta lo anterior, con respecto a la meta establecida para el año 2017, se registra un avance del 100%</w:t>
      </w:r>
    </w:p>
    <w:p w:rsidR="00475981" w:rsidRPr="00F47939" w:rsidRDefault="0052078E" w:rsidP="00475981">
      <w:pPr>
        <w:spacing w:after="0" w:line="240" w:lineRule="auto"/>
        <w:rPr>
          <w:rFonts w:cs="FuturaStd-ExtraBold"/>
          <w:bCs/>
          <w:sz w:val="22"/>
          <w:szCs w:val="20"/>
        </w:rPr>
      </w:pPr>
      <w:r w:rsidRPr="00F47939">
        <w:rPr>
          <w:rFonts w:cs="FuturaStd-ExtraBold"/>
          <w:b/>
          <w:bCs/>
          <w:sz w:val="22"/>
          <w:szCs w:val="20"/>
        </w:rPr>
        <w:t xml:space="preserve">5. </w:t>
      </w:r>
      <w:r w:rsidR="00475981" w:rsidRPr="00F47939">
        <w:rPr>
          <w:rFonts w:cs="FuturaStd-ExtraBold"/>
          <w:b/>
          <w:bCs/>
          <w:sz w:val="22"/>
          <w:szCs w:val="20"/>
        </w:rPr>
        <w:t xml:space="preserve">Fortalecer el portafolio de proyectos de inversión del sector: </w:t>
      </w:r>
      <w:r w:rsidR="00475981" w:rsidRPr="00F47939">
        <w:rPr>
          <w:rFonts w:cs="FuturaStd-ExtraBold"/>
          <w:bCs/>
          <w:sz w:val="22"/>
          <w:szCs w:val="20"/>
        </w:rPr>
        <w:t xml:space="preserve">Esta iniciativa </w:t>
      </w:r>
      <w:r w:rsidR="007148DF" w:rsidRPr="00F47939">
        <w:rPr>
          <w:rFonts w:cs="FuturaStd-ExtraBold"/>
          <w:bCs/>
          <w:sz w:val="22"/>
          <w:szCs w:val="20"/>
        </w:rPr>
        <w:t xml:space="preserve">ejecutada a la fecha al 100%, </w:t>
      </w:r>
      <w:r w:rsidR="00475981" w:rsidRPr="00F47939">
        <w:rPr>
          <w:rFonts w:cs="FuturaStd-ExtraBold"/>
          <w:bCs/>
          <w:sz w:val="22"/>
          <w:szCs w:val="20"/>
        </w:rPr>
        <w:t>es medida con el cumplimiento de las siguientes actividades:</w:t>
      </w:r>
    </w:p>
    <w:p w:rsidR="00797009" w:rsidRPr="00F47939" w:rsidRDefault="00797009" w:rsidP="00475981">
      <w:pPr>
        <w:spacing w:after="0" w:line="240" w:lineRule="auto"/>
        <w:rPr>
          <w:rFonts w:cs="FuturaStd-ExtraBold"/>
          <w:bCs/>
          <w:sz w:val="22"/>
          <w:szCs w:val="20"/>
        </w:rPr>
      </w:pPr>
    </w:p>
    <w:p w:rsidR="00475981" w:rsidRDefault="00475981" w:rsidP="00292770">
      <w:pPr>
        <w:pStyle w:val="Prrafodelista"/>
        <w:numPr>
          <w:ilvl w:val="0"/>
          <w:numId w:val="14"/>
        </w:numPr>
        <w:spacing w:after="0" w:line="240" w:lineRule="auto"/>
        <w:rPr>
          <w:rFonts w:cs="FuturaStd-ExtraBold"/>
          <w:bCs/>
          <w:sz w:val="22"/>
          <w:szCs w:val="20"/>
        </w:rPr>
      </w:pPr>
      <w:r w:rsidRPr="00F47939">
        <w:rPr>
          <w:rFonts w:cs="FuturaStd-ExtraBold"/>
          <w:b/>
          <w:bCs/>
          <w:sz w:val="22"/>
          <w:szCs w:val="20"/>
        </w:rPr>
        <w:t xml:space="preserve">Realizar mesas de trabajo con las dependencias para estructurar las cadenas de valor de 8 proyectos de inversión: </w:t>
      </w:r>
      <w:r w:rsidRPr="00F47939">
        <w:rPr>
          <w:rFonts w:cs="FuturaStd-ExtraBold"/>
          <w:bCs/>
          <w:sz w:val="22"/>
          <w:szCs w:val="20"/>
        </w:rPr>
        <w:t>Las  mesas de trabajo fueron realizadas entre marzo y abril.</w:t>
      </w:r>
    </w:p>
    <w:p w:rsidR="00F47939" w:rsidRPr="00F47939" w:rsidRDefault="00F47939" w:rsidP="00F47939">
      <w:pPr>
        <w:pStyle w:val="Prrafodelista"/>
        <w:spacing w:after="0" w:line="240" w:lineRule="auto"/>
        <w:rPr>
          <w:rFonts w:cs="FuturaStd-ExtraBold"/>
          <w:bCs/>
          <w:sz w:val="22"/>
          <w:szCs w:val="20"/>
        </w:rPr>
      </w:pPr>
    </w:p>
    <w:p w:rsidR="00475981" w:rsidRDefault="00475981" w:rsidP="00292770">
      <w:pPr>
        <w:pStyle w:val="Prrafodelista"/>
        <w:numPr>
          <w:ilvl w:val="0"/>
          <w:numId w:val="14"/>
        </w:numPr>
        <w:spacing w:after="0" w:line="240" w:lineRule="auto"/>
        <w:rPr>
          <w:rFonts w:cs="FuturaStd-ExtraBold"/>
          <w:bCs/>
          <w:sz w:val="22"/>
          <w:szCs w:val="20"/>
        </w:rPr>
      </w:pPr>
      <w:r w:rsidRPr="00F47939">
        <w:rPr>
          <w:rFonts w:cs="FuturaStd-ExtraBold"/>
          <w:b/>
          <w:bCs/>
          <w:sz w:val="22"/>
          <w:szCs w:val="20"/>
        </w:rPr>
        <w:t>Elaborar documento preliminar de 8 proyectos de inversión para validación de las áreas</w:t>
      </w:r>
      <w:r w:rsidRPr="00F47939">
        <w:rPr>
          <w:rFonts w:cs="FuturaStd-ExtraBold"/>
          <w:bCs/>
          <w:sz w:val="22"/>
          <w:szCs w:val="20"/>
        </w:rPr>
        <w:t xml:space="preserve">: El documento preliminar para la presentación de los 8 proyectos ante el Departamento Nacional de Planeación se elaboró en el mes de abril.  </w:t>
      </w:r>
    </w:p>
    <w:p w:rsidR="00F47939" w:rsidRPr="00F47939" w:rsidRDefault="00F47939" w:rsidP="00F47939">
      <w:pPr>
        <w:spacing w:after="0" w:line="240" w:lineRule="auto"/>
        <w:rPr>
          <w:rFonts w:cs="FuturaStd-ExtraBold"/>
          <w:bCs/>
          <w:sz w:val="22"/>
          <w:szCs w:val="20"/>
        </w:rPr>
      </w:pPr>
    </w:p>
    <w:p w:rsidR="00475981" w:rsidRDefault="00475981" w:rsidP="00292770">
      <w:pPr>
        <w:pStyle w:val="Prrafodelista"/>
        <w:numPr>
          <w:ilvl w:val="0"/>
          <w:numId w:val="14"/>
        </w:numPr>
        <w:spacing w:after="0" w:line="240" w:lineRule="auto"/>
        <w:rPr>
          <w:rFonts w:cs="FuturaStd-ExtraBold"/>
          <w:bCs/>
          <w:sz w:val="22"/>
          <w:szCs w:val="20"/>
        </w:rPr>
      </w:pPr>
      <w:r w:rsidRPr="00F47939">
        <w:rPr>
          <w:rFonts w:cs="FuturaStd-ExtraBold"/>
          <w:b/>
          <w:bCs/>
          <w:sz w:val="22"/>
          <w:szCs w:val="20"/>
        </w:rPr>
        <w:t>Realizar mesas de trabajo con el DNP para presentación de los 8 proyectos</w:t>
      </w:r>
      <w:r w:rsidRPr="00F47939">
        <w:rPr>
          <w:rFonts w:cs="FuturaStd-ExtraBold"/>
          <w:bCs/>
          <w:sz w:val="22"/>
          <w:szCs w:val="20"/>
        </w:rPr>
        <w:t>: Se adelantaron las mesas de trabajo con el DNP, donde se presentaron los 8 proyectos.</w:t>
      </w:r>
    </w:p>
    <w:p w:rsidR="00F47939" w:rsidRPr="00F47939" w:rsidRDefault="00F47939" w:rsidP="00F47939">
      <w:pPr>
        <w:spacing w:after="0" w:line="240" w:lineRule="auto"/>
        <w:rPr>
          <w:rFonts w:cs="FuturaStd-ExtraBold"/>
          <w:bCs/>
          <w:sz w:val="22"/>
          <w:szCs w:val="20"/>
        </w:rPr>
      </w:pPr>
    </w:p>
    <w:p w:rsidR="00475981" w:rsidRPr="00F47939" w:rsidRDefault="00475981" w:rsidP="00292770">
      <w:pPr>
        <w:pStyle w:val="Prrafodelista"/>
        <w:numPr>
          <w:ilvl w:val="0"/>
          <w:numId w:val="14"/>
        </w:numPr>
        <w:spacing w:after="0" w:line="240" w:lineRule="auto"/>
        <w:rPr>
          <w:rFonts w:cs="FuturaStd-ExtraBold"/>
          <w:b/>
          <w:bCs/>
          <w:sz w:val="22"/>
          <w:szCs w:val="20"/>
        </w:rPr>
      </w:pPr>
      <w:r w:rsidRPr="00F47939">
        <w:rPr>
          <w:rFonts w:cs="FuturaStd-ExtraBold"/>
          <w:b/>
          <w:bCs/>
          <w:sz w:val="22"/>
          <w:szCs w:val="20"/>
        </w:rPr>
        <w:t xml:space="preserve">Cargar proyectos ajustados al aplicativo MGA –Web: </w:t>
      </w:r>
      <w:r w:rsidRPr="00F47939">
        <w:rPr>
          <w:rFonts w:cs="FuturaStd-ExtraBold"/>
          <w:bCs/>
          <w:sz w:val="22"/>
          <w:szCs w:val="20"/>
        </w:rPr>
        <w:t>Los 8 proyectos fueron cargados en el aplicativo.</w:t>
      </w:r>
    </w:p>
    <w:p w:rsidR="00797009" w:rsidRPr="00F47939" w:rsidRDefault="00797009" w:rsidP="00797009">
      <w:pPr>
        <w:spacing w:after="0" w:line="240" w:lineRule="auto"/>
        <w:rPr>
          <w:rFonts w:cs="FuturaStd-ExtraBold"/>
          <w:b/>
          <w:bCs/>
          <w:sz w:val="22"/>
          <w:szCs w:val="20"/>
        </w:rPr>
      </w:pPr>
    </w:p>
    <w:p w:rsidR="007148DF" w:rsidRPr="00F47939" w:rsidRDefault="007148DF" w:rsidP="00182309">
      <w:pPr>
        <w:spacing w:after="0" w:line="240" w:lineRule="auto"/>
        <w:rPr>
          <w:rFonts w:cs="FuturaStd-ExtraBold"/>
          <w:b/>
          <w:bCs/>
          <w:sz w:val="22"/>
          <w:szCs w:val="20"/>
        </w:rPr>
      </w:pPr>
    </w:p>
    <w:p w:rsidR="00326D3B" w:rsidRDefault="0052078E" w:rsidP="00A40DF3">
      <w:pPr>
        <w:spacing w:after="0" w:line="240" w:lineRule="auto"/>
        <w:rPr>
          <w:rFonts w:cs="FuturaStd-ExtraBold"/>
          <w:bCs/>
          <w:sz w:val="22"/>
          <w:szCs w:val="20"/>
        </w:rPr>
      </w:pPr>
      <w:r w:rsidRPr="00F47939">
        <w:rPr>
          <w:rFonts w:cs="FuturaStd-ExtraBold"/>
          <w:b/>
          <w:bCs/>
          <w:sz w:val="22"/>
          <w:szCs w:val="20"/>
        </w:rPr>
        <w:t xml:space="preserve">6. </w:t>
      </w:r>
      <w:r w:rsidR="00182309" w:rsidRPr="00F47939">
        <w:rPr>
          <w:rFonts w:cs="FuturaStd-ExtraBold"/>
          <w:b/>
          <w:bCs/>
          <w:sz w:val="22"/>
          <w:szCs w:val="20"/>
        </w:rPr>
        <w:t>Actualizar el Sistema Integrado de Gestión del Ministerio de Vivienda, Ciu</w:t>
      </w:r>
      <w:r w:rsidR="0033774E" w:rsidRPr="00F47939">
        <w:rPr>
          <w:rFonts w:cs="FuturaStd-ExtraBold"/>
          <w:b/>
          <w:bCs/>
          <w:sz w:val="22"/>
          <w:szCs w:val="20"/>
        </w:rPr>
        <w:t xml:space="preserve">dad y Territorio y FONVIVIENDA: </w:t>
      </w:r>
      <w:r w:rsidR="009B45D3" w:rsidRPr="00F47939">
        <w:rPr>
          <w:sz w:val="22"/>
          <w:szCs w:val="20"/>
        </w:rPr>
        <w:t xml:space="preserve">Acorde con la modificación realizada al Sistema, relacionada con el mapa de procesos, durante el tercer trimestre de 2017 se apoyó a las dependencias en la identificación de causas de planes de mejoramiento, en el monitoreo del tercer trimestre de los  mapa de riesgos integrado (corrupción y gestión) y se dio inició con el diagnóstico de documentación que surtirán el trámite de actualización documental del Sistema Integrado de Gestión. Se recertificó el Ministerio de Vivienda, Ciudad, y Territorio y FONVIVIENDA en el mes de julio. </w:t>
      </w:r>
      <w:r w:rsidR="009B45D3" w:rsidRPr="00F47939">
        <w:rPr>
          <w:rFonts w:cs="FuturaStd-ExtraBold"/>
          <w:bCs/>
          <w:sz w:val="22"/>
          <w:szCs w:val="20"/>
        </w:rPr>
        <w:t xml:space="preserve">Dado el avance en cada una de las actividades planteadas, la gestión de la presente iniciativa estratégica se reporta en un </w:t>
      </w:r>
      <w:r w:rsidR="00797009" w:rsidRPr="00F47939">
        <w:rPr>
          <w:rFonts w:cs="FuturaStd-ExtraBold"/>
          <w:bCs/>
          <w:sz w:val="22"/>
          <w:szCs w:val="20"/>
        </w:rPr>
        <w:t>96</w:t>
      </w:r>
      <w:r w:rsidR="009B45D3" w:rsidRPr="00F47939">
        <w:rPr>
          <w:rFonts w:cs="FuturaStd-ExtraBold"/>
          <w:bCs/>
          <w:sz w:val="22"/>
          <w:szCs w:val="20"/>
        </w:rPr>
        <w:t>%.</w:t>
      </w:r>
    </w:p>
    <w:p w:rsidR="00F47939" w:rsidRDefault="00F47939" w:rsidP="00A40DF3">
      <w:pPr>
        <w:spacing w:after="0" w:line="240" w:lineRule="auto"/>
        <w:rPr>
          <w:rFonts w:cs="FuturaStd-ExtraBold"/>
          <w:bCs/>
          <w:sz w:val="22"/>
          <w:szCs w:val="20"/>
        </w:rPr>
      </w:pPr>
    </w:p>
    <w:p w:rsidR="00F47939" w:rsidRPr="00F47939" w:rsidRDefault="00F47939" w:rsidP="00A40DF3">
      <w:pPr>
        <w:spacing w:after="0" w:line="240" w:lineRule="auto"/>
        <w:rPr>
          <w:rFonts w:cs="FuturaStd-ExtraBold"/>
          <w:bCs/>
          <w:sz w:val="22"/>
          <w:szCs w:val="20"/>
        </w:rPr>
      </w:pPr>
    </w:p>
    <w:p w:rsidR="00326D3B" w:rsidRPr="00797009" w:rsidRDefault="00326D3B" w:rsidP="00A40DF3">
      <w:pPr>
        <w:spacing w:after="0" w:line="240" w:lineRule="auto"/>
        <w:rPr>
          <w:rFonts w:cs="FuturaStd-ExtraBold"/>
          <w:bCs/>
          <w:sz w:val="20"/>
          <w:szCs w:val="20"/>
        </w:rPr>
      </w:pPr>
    </w:p>
    <w:p w:rsidR="00D37968" w:rsidRPr="008843E7" w:rsidRDefault="00894886" w:rsidP="008843E7">
      <w:pPr>
        <w:tabs>
          <w:tab w:val="left" w:pos="0"/>
          <w:tab w:val="left" w:pos="13041"/>
        </w:tabs>
        <w:spacing w:after="0" w:line="240" w:lineRule="auto"/>
        <w:rPr>
          <w:rFonts w:eastAsiaTheme="majorEastAsia" w:cstheme="majorBidi"/>
          <w:b/>
          <w:bCs/>
          <w:sz w:val="28"/>
          <w:szCs w:val="28"/>
        </w:rPr>
      </w:pPr>
      <w:r w:rsidRPr="008843E7">
        <w:rPr>
          <w:rFonts w:eastAsiaTheme="majorEastAsia" w:cstheme="majorBidi"/>
          <w:b/>
          <w:bCs/>
          <w:noProof/>
          <w:sz w:val="28"/>
          <w:szCs w:val="28"/>
          <w:lang w:eastAsia="es-CO"/>
        </w:rPr>
        <w:lastRenderedPageBreak/>
        <w:drawing>
          <wp:anchor distT="0" distB="0" distL="114300" distR="114300" simplePos="0" relativeHeight="251869184" behindDoc="0" locked="0" layoutInCell="1" allowOverlap="1" wp14:anchorId="488B9252" wp14:editId="2D792730">
            <wp:simplePos x="0" y="0"/>
            <wp:positionH relativeFrom="column">
              <wp:posOffset>6878320</wp:posOffset>
            </wp:positionH>
            <wp:positionV relativeFrom="paragraph">
              <wp:posOffset>-78105</wp:posOffset>
            </wp:positionV>
            <wp:extent cx="832485" cy="1167130"/>
            <wp:effectExtent l="0" t="0" r="5715"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4">
                      <a:extLst>
                        <a:ext uri="{28A0092B-C50C-407E-A947-70E740481C1C}">
                          <a14:useLocalDpi xmlns:a14="http://schemas.microsoft.com/office/drawing/2010/main" val="0"/>
                        </a:ext>
                      </a:extLst>
                    </a:blip>
                    <a:srcRect l="69742"/>
                    <a:stretch/>
                  </pic:blipFill>
                  <pic:spPr bwMode="auto">
                    <a:xfrm>
                      <a:off x="0" y="0"/>
                      <a:ext cx="832485" cy="1167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24F" w:rsidRPr="008843E7">
        <w:rPr>
          <w:rFonts w:eastAsiaTheme="majorEastAsia" w:cstheme="majorBidi"/>
          <w:b/>
          <w:bCs/>
          <w:sz w:val="28"/>
          <w:szCs w:val="28"/>
        </w:rPr>
        <w:t>6</w:t>
      </w:r>
      <w:r w:rsidR="00850A3D" w:rsidRPr="008843E7">
        <w:rPr>
          <w:rFonts w:eastAsiaTheme="majorEastAsia" w:cstheme="majorBidi"/>
          <w:b/>
          <w:bCs/>
          <w:sz w:val="28"/>
          <w:szCs w:val="28"/>
        </w:rPr>
        <w:t>.</w:t>
      </w:r>
      <w:r w:rsidR="00C4024F" w:rsidRPr="008843E7">
        <w:rPr>
          <w:rFonts w:eastAsiaTheme="majorEastAsia" w:cstheme="majorBidi"/>
          <w:b/>
          <w:bCs/>
          <w:sz w:val="28"/>
          <w:szCs w:val="28"/>
        </w:rPr>
        <w:t xml:space="preserve"> </w:t>
      </w:r>
      <w:r w:rsidR="007B5965" w:rsidRPr="008843E7">
        <w:rPr>
          <w:rFonts w:eastAsiaTheme="majorEastAsia" w:cstheme="majorBidi"/>
          <w:b/>
          <w:bCs/>
          <w:sz w:val="28"/>
          <w:szCs w:val="28"/>
        </w:rPr>
        <w:t>GRUPO DE COMUNICACIONES ESTRATÉGICAS</w:t>
      </w:r>
    </w:p>
    <w:p w:rsidR="00371B5B" w:rsidRDefault="00A90B93" w:rsidP="000E5071">
      <w:pPr>
        <w:spacing w:after="0" w:line="240" w:lineRule="auto"/>
      </w:pPr>
      <w:r>
        <w:t xml:space="preserve">     </w:t>
      </w:r>
      <w:r w:rsidR="00D37968" w:rsidRPr="003C51B9">
        <w:t xml:space="preserve">Dra. </w:t>
      </w:r>
      <w:r w:rsidR="0070004E">
        <w:t>Karen Cardenas</w:t>
      </w:r>
    </w:p>
    <w:p w:rsidR="00DA7FF7" w:rsidRDefault="00DA7FF7" w:rsidP="000E5071">
      <w:pPr>
        <w:spacing w:after="0" w:line="240" w:lineRule="auto"/>
      </w:pPr>
    </w:p>
    <w:tbl>
      <w:tblPr>
        <w:tblpPr w:leftFromText="141" w:rightFromText="141" w:vertAnchor="text" w:horzAnchor="margin" w:tblpY="43"/>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84"/>
        <w:gridCol w:w="1688"/>
        <w:gridCol w:w="2986"/>
        <w:gridCol w:w="1680"/>
      </w:tblGrid>
      <w:tr w:rsidR="00DA7FF7" w:rsidRPr="00B1123B" w:rsidTr="00797009">
        <w:trPr>
          <w:trHeight w:val="410"/>
        </w:trPr>
        <w:tc>
          <w:tcPr>
            <w:tcW w:w="2984" w:type="dxa"/>
            <w:shd w:val="clear" w:color="auto" w:fill="993366"/>
            <w:vAlign w:val="center"/>
          </w:tcPr>
          <w:p w:rsidR="00DA7FF7" w:rsidRPr="00F9219C" w:rsidRDefault="00DA7FF7" w:rsidP="0020721E">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688" w:type="dxa"/>
            <w:shd w:val="clear" w:color="auto" w:fill="auto"/>
            <w:vAlign w:val="center"/>
          </w:tcPr>
          <w:p w:rsidR="00DA7FF7" w:rsidRPr="00F9219C" w:rsidRDefault="00797009" w:rsidP="0020721E">
            <w:pPr>
              <w:spacing w:after="0" w:line="240" w:lineRule="auto"/>
              <w:ind w:right="20"/>
              <w:jc w:val="center"/>
              <w:rPr>
                <w:rFonts w:eastAsia="Arial Narrow"/>
                <w:b/>
                <w:color w:val="FF0000"/>
              </w:rPr>
            </w:pPr>
            <w:r w:rsidRPr="00797009">
              <w:rPr>
                <w:rFonts w:eastAsia="Arial Narrow"/>
                <w:b/>
              </w:rPr>
              <w:t>96,08%</w:t>
            </w:r>
          </w:p>
        </w:tc>
        <w:tc>
          <w:tcPr>
            <w:tcW w:w="2986" w:type="dxa"/>
            <w:shd w:val="clear" w:color="auto" w:fill="993366"/>
          </w:tcPr>
          <w:p w:rsidR="00DA7FF7" w:rsidRPr="00B1123B" w:rsidRDefault="00DA7FF7" w:rsidP="0020721E">
            <w:pPr>
              <w:spacing w:after="0" w:line="240" w:lineRule="auto"/>
              <w:ind w:right="20"/>
              <w:jc w:val="center"/>
              <w:rPr>
                <w:rFonts w:eastAsia="Arial Narrow"/>
              </w:rPr>
            </w:pPr>
            <w:r w:rsidRPr="007E4FEC">
              <w:rPr>
                <w:rFonts w:eastAsia="Arial Narrow"/>
                <w:b/>
                <w:color w:val="FFFFFF" w:themeColor="background1"/>
              </w:rPr>
              <w:t xml:space="preserve">Número de </w:t>
            </w:r>
            <w:r>
              <w:rPr>
                <w:rFonts w:eastAsia="Arial Narrow"/>
                <w:b/>
                <w:color w:val="FFFFFF" w:themeColor="background1"/>
              </w:rPr>
              <w:t xml:space="preserve">Iniciativas </w:t>
            </w:r>
          </w:p>
        </w:tc>
        <w:tc>
          <w:tcPr>
            <w:tcW w:w="1680" w:type="dxa"/>
            <w:vAlign w:val="center"/>
          </w:tcPr>
          <w:p w:rsidR="00DA7FF7" w:rsidRPr="00307938" w:rsidRDefault="00DD4CB7" w:rsidP="0020721E">
            <w:pPr>
              <w:spacing w:after="0" w:line="240" w:lineRule="auto"/>
              <w:ind w:right="20"/>
              <w:jc w:val="center"/>
              <w:rPr>
                <w:rFonts w:eastAsia="Arial Narrow"/>
                <w:b/>
              </w:rPr>
            </w:pPr>
            <w:r>
              <w:rPr>
                <w:rFonts w:eastAsia="Arial Narrow"/>
                <w:b/>
              </w:rPr>
              <w:t>2</w:t>
            </w:r>
          </w:p>
        </w:tc>
      </w:tr>
    </w:tbl>
    <w:p w:rsidR="00DA7FF7" w:rsidRPr="003C51B9" w:rsidRDefault="00DA7FF7" w:rsidP="000E5071">
      <w:pPr>
        <w:spacing w:after="0" w:line="240" w:lineRule="auto"/>
      </w:pPr>
    </w:p>
    <w:p w:rsidR="007E4FEC" w:rsidRDefault="007E4FEC" w:rsidP="00CC17A4">
      <w:pPr>
        <w:spacing w:after="0" w:line="240" w:lineRule="auto"/>
        <w:rPr>
          <w:rFonts w:cs="FuturaStd-ExtraBold"/>
          <w:bCs/>
          <w:szCs w:val="24"/>
        </w:rPr>
      </w:pPr>
    </w:p>
    <w:p w:rsidR="008843E7" w:rsidRDefault="008843E7" w:rsidP="00316A7D">
      <w:pPr>
        <w:spacing w:after="0" w:line="240" w:lineRule="auto"/>
        <w:rPr>
          <w:rFonts w:cs="FuturaStd-ExtraBold"/>
          <w:bCs/>
          <w:sz w:val="22"/>
          <w:szCs w:val="20"/>
        </w:rPr>
      </w:pPr>
    </w:p>
    <w:p w:rsidR="008843E7" w:rsidRPr="00F47939" w:rsidRDefault="008843E7" w:rsidP="00316A7D">
      <w:pPr>
        <w:spacing w:after="0" w:line="240" w:lineRule="auto"/>
        <w:rPr>
          <w:rFonts w:cs="FuturaStd-ExtraBold"/>
          <w:bCs/>
          <w:szCs w:val="20"/>
        </w:rPr>
      </w:pPr>
    </w:p>
    <w:p w:rsidR="00DD4CB7" w:rsidRPr="00F47939" w:rsidRDefault="00D65D86" w:rsidP="00316A7D">
      <w:pPr>
        <w:spacing w:after="0" w:line="240" w:lineRule="auto"/>
        <w:rPr>
          <w:sz w:val="22"/>
          <w:szCs w:val="20"/>
        </w:rPr>
      </w:pPr>
      <w:r w:rsidRPr="00F47939">
        <w:rPr>
          <w:rFonts w:cs="FuturaStd-ExtraBold"/>
          <w:bCs/>
          <w:sz w:val="22"/>
          <w:szCs w:val="20"/>
        </w:rPr>
        <w:t>La oficina es responsable de</w:t>
      </w:r>
      <w:r w:rsidR="00DD4CB7" w:rsidRPr="00F47939">
        <w:rPr>
          <w:rFonts w:cs="FuturaStd-ExtraBold"/>
          <w:bCs/>
          <w:sz w:val="22"/>
          <w:szCs w:val="20"/>
        </w:rPr>
        <w:t xml:space="preserve"> dos</w:t>
      </w:r>
      <w:r w:rsidRPr="00F47939">
        <w:rPr>
          <w:rFonts w:cs="FuturaStd-ExtraBold"/>
          <w:bCs/>
          <w:sz w:val="22"/>
          <w:szCs w:val="20"/>
        </w:rPr>
        <w:t xml:space="preserve"> </w:t>
      </w:r>
      <w:r w:rsidR="00DD4CB7" w:rsidRPr="00F47939">
        <w:rPr>
          <w:rFonts w:cs="FuturaStd-ExtraBold"/>
          <w:bCs/>
          <w:sz w:val="22"/>
          <w:szCs w:val="20"/>
        </w:rPr>
        <w:t xml:space="preserve">(2) iniciativas estratégicas, las cuales, </w:t>
      </w:r>
      <w:r w:rsidR="00316A7D" w:rsidRPr="00F47939">
        <w:rPr>
          <w:rFonts w:cs="FuturaStd-ExtraBold"/>
          <w:bCs/>
          <w:sz w:val="22"/>
          <w:szCs w:val="20"/>
        </w:rPr>
        <w:t>tienen como objetivo d</w:t>
      </w:r>
      <w:r w:rsidR="00DD4CB7" w:rsidRPr="00F47939">
        <w:rPr>
          <w:sz w:val="22"/>
          <w:szCs w:val="20"/>
        </w:rPr>
        <w:t>ar a conocer a la ciudadanía, a las partes interesadas y a los servidores públicos, mediante canales y procedimientos efectivos, las políticas, programas, proyectos, planes y actuaciones del Ministerio, para lograr una divulgación de información suficiente y atención oportuna y pertinente.</w:t>
      </w:r>
    </w:p>
    <w:p w:rsidR="00FD4C80" w:rsidRPr="00F47939" w:rsidRDefault="00FD4C80" w:rsidP="003D745F">
      <w:pPr>
        <w:rPr>
          <w:b/>
          <w:sz w:val="28"/>
        </w:rPr>
      </w:pPr>
    </w:p>
    <w:p w:rsidR="00FC6AD4" w:rsidRDefault="00FC6AD4" w:rsidP="00FC6AD4">
      <w:pPr>
        <w:jc w:val="center"/>
        <w:rPr>
          <w:b/>
        </w:rPr>
      </w:pPr>
      <w:r w:rsidRPr="004C5315">
        <w:rPr>
          <w:noProof/>
          <w:bdr w:val="single" w:sz="12" w:space="0" w:color="auto"/>
          <w:lang w:eastAsia="es-CO"/>
        </w:rPr>
        <w:drawing>
          <wp:inline distT="0" distB="0" distL="0" distR="0" wp14:anchorId="0854353E" wp14:editId="218B3F27">
            <wp:extent cx="7196447" cy="3431969"/>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04480" cy="3435800"/>
                    </a:xfrm>
                    <a:prstGeom prst="rect">
                      <a:avLst/>
                    </a:prstGeom>
                    <a:noFill/>
                    <a:ln>
                      <a:noFill/>
                    </a:ln>
                  </pic:spPr>
                </pic:pic>
              </a:graphicData>
            </a:graphic>
          </wp:inline>
        </w:drawing>
      </w:r>
    </w:p>
    <w:p w:rsidR="00B07BAA" w:rsidRPr="00F47939" w:rsidRDefault="00B07BAA" w:rsidP="00B07BAA">
      <w:pPr>
        <w:rPr>
          <w:sz w:val="22"/>
          <w:szCs w:val="20"/>
        </w:rPr>
      </w:pPr>
      <w:r w:rsidRPr="00F47939">
        <w:rPr>
          <w:b/>
          <w:sz w:val="22"/>
          <w:szCs w:val="20"/>
        </w:rPr>
        <w:lastRenderedPageBreak/>
        <w:t xml:space="preserve">Desarrollar el Plan estratégico  de comunicaciones internas del Ministerio. </w:t>
      </w:r>
      <w:r w:rsidRPr="00F47939">
        <w:rPr>
          <w:sz w:val="22"/>
          <w:szCs w:val="20"/>
        </w:rPr>
        <w:t xml:space="preserve">Reporta un avance acumulado </w:t>
      </w:r>
      <w:r w:rsidR="00935746" w:rsidRPr="00F47939">
        <w:rPr>
          <w:sz w:val="22"/>
          <w:szCs w:val="20"/>
        </w:rPr>
        <w:t xml:space="preserve">del </w:t>
      </w:r>
      <w:r w:rsidR="0070004E" w:rsidRPr="00F47939">
        <w:rPr>
          <w:sz w:val="22"/>
          <w:szCs w:val="20"/>
        </w:rPr>
        <w:t>9</w:t>
      </w:r>
      <w:r w:rsidR="0065292E" w:rsidRPr="00F47939">
        <w:rPr>
          <w:sz w:val="22"/>
          <w:szCs w:val="20"/>
        </w:rPr>
        <w:t>9</w:t>
      </w:r>
      <w:r w:rsidR="0070004E" w:rsidRPr="00F47939">
        <w:rPr>
          <w:sz w:val="22"/>
          <w:szCs w:val="20"/>
        </w:rPr>
        <w:t>.</w:t>
      </w:r>
      <w:r w:rsidR="0065292E" w:rsidRPr="00F47939">
        <w:rPr>
          <w:sz w:val="22"/>
          <w:szCs w:val="20"/>
        </w:rPr>
        <w:t>84</w:t>
      </w:r>
      <w:r w:rsidR="00935746" w:rsidRPr="00F47939">
        <w:rPr>
          <w:sz w:val="22"/>
          <w:szCs w:val="20"/>
        </w:rPr>
        <w:t>%. Para el periodo de análisis,  se viene adelantándola implementación del plan estratégico de comunicación interna el cual tuvo un avance del 16%  y un acumulado del 80% en esta actividad y  la Elaboración y puesta en marcha de materiales de comunicación para los  canales internos del ministerio, mediante la realizaron 98 diseños de productos de comunicación interna, el cual busca fortalecer la comunicación en la entidad, así como la cultura organizacional. Tres de las actividades de esta inicia</w:t>
      </w:r>
      <w:r w:rsidR="0065292E" w:rsidRPr="00F47939">
        <w:rPr>
          <w:sz w:val="22"/>
          <w:szCs w:val="20"/>
        </w:rPr>
        <w:t xml:space="preserve">tiva, ya cumplieron con el 100%, estas son: Actualización de guía comunicaciones internas, Elaboración del diagnóstico de comunicaciones internas y la Construcción del plan estratégico de comunicaciones internas, cuya implementación se ha ejecutado en un 96,89%. </w:t>
      </w:r>
    </w:p>
    <w:p w:rsidR="00FC6AD4" w:rsidRPr="00FB3AFA" w:rsidRDefault="00FC6AD4" w:rsidP="00B07BAA">
      <w:pPr>
        <w:rPr>
          <w:rFonts w:eastAsia="Times New Roman" w:cs="Times New Roman"/>
          <w:sz w:val="22"/>
          <w:szCs w:val="20"/>
          <w:lang w:eastAsia="es-CO"/>
        </w:rPr>
      </w:pPr>
      <w:r w:rsidRPr="004C5315">
        <w:rPr>
          <w:noProof/>
          <w:bdr w:val="single" w:sz="12" w:space="0" w:color="auto"/>
          <w:lang w:eastAsia="es-CO"/>
        </w:rPr>
        <w:drawing>
          <wp:inline distT="0" distB="0" distL="0" distR="0" wp14:anchorId="5738D7A7" wp14:editId="3AB61715">
            <wp:extent cx="8253350" cy="402573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8175" cy="4028088"/>
                    </a:xfrm>
                    <a:prstGeom prst="rect">
                      <a:avLst/>
                    </a:prstGeom>
                    <a:noFill/>
                    <a:ln>
                      <a:noFill/>
                    </a:ln>
                  </pic:spPr>
                </pic:pic>
              </a:graphicData>
            </a:graphic>
          </wp:inline>
        </w:drawing>
      </w:r>
    </w:p>
    <w:p w:rsidR="00935746" w:rsidRPr="00F47939" w:rsidRDefault="008843E7" w:rsidP="00935746">
      <w:pPr>
        <w:spacing w:after="200" w:line="276" w:lineRule="auto"/>
        <w:rPr>
          <w:sz w:val="22"/>
          <w:szCs w:val="20"/>
        </w:rPr>
      </w:pPr>
      <w:r w:rsidRPr="00F47939">
        <w:rPr>
          <w:b/>
          <w:sz w:val="22"/>
          <w:szCs w:val="20"/>
        </w:rPr>
        <w:lastRenderedPageBreak/>
        <w:t xml:space="preserve">Implementar el plan estratégico de comunicaciones externas del Ministerio </w:t>
      </w:r>
      <w:r w:rsidR="00935746" w:rsidRPr="00F47939">
        <w:rPr>
          <w:sz w:val="22"/>
          <w:szCs w:val="20"/>
        </w:rPr>
        <w:t xml:space="preserve">El comportamiento de la iniciativa, presenta un acumulado de enero a septiembre del </w:t>
      </w:r>
      <w:r w:rsidR="0070004E" w:rsidRPr="00F47939">
        <w:rPr>
          <w:sz w:val="22"/>
          <w:szCs w:val="20"/>
        </w:rPr>
        <w:t>92.31</w:t>
      </w:r>
      <w:r w:rsidR="00935746" w:rsidRPr="00F47939">
        <w:rPr>
          <w:sz w:val="22"/>
          <w:szCs w:val="20"/>
        </w:rPr>
        <w:t>%, pues se vienen  desarrollando las actividades que conforman esta iniciativa, las cuales algunas ya cumplieron el 100%.</w:t>
      </w:r>
    </w:p>
    <w:p w:rsidR="00935746" w:rsidRPr="00F47939" w:rsidRDefault="00935746" w:rsidP="00935746">
      <w:pPr>
        <w:spacing w:after="200" w:line="276" w:lineRule="auto"/>
        <w:rPr>
          <w:sz w:val="22"/>
          <w:szCs w:val="20"/>
        </w:rPr>
      </w:pPr>
      <w:r w:rsidRPr="00F47939">
        <w:rPr>
          <w:sz w:val="22"/>
          <w:szCs w:val="20"/>
        </w:rPr>
        <w:t>Además se adelantan las actividades propias del Grupo de Comunicaciones, como boletines de prensa, ruedas de prensa y entrevistas con medios de comunicación, como actualización de la página web y redes sociales, de los cuales se destaca en este mes el siguiente avance:</w:t>
      </w:r>
    </w:p>
    <w:p w:rsidR="00F47939" w:rsidRDefault="00935746" w:rsidP="00F47939">
      <w:pPr>
        <w:spacing w:after="0" w:line="240" w:lineRule="auto"/>
        <w:rPr>
          <w:sz w:val="22"/>
          <w:szCs w:val="20"/>
        </w:rPr>
      </w:pPr>
      <w:r w:rsidRPr="00F47939">
        <w:rPr>
          <w:sz w:val="22"/>
          <w:szCs w:val="20"/>
        </w:rPr>
        <w:t>•</w:t>
      </w:r>
      <w:r w:rsidRPr="00F47939">
        <w:rPr>
          <w:sz w:val="22"/>
          <w:szCs w:val="20"/>
        </w:rPr>
        <w:tab/>
        <w:t>La Realización y emisión del periódico electrónico mensual, remitido a empresas y entidades interesada</w:t>
      </w:r>
      <w:r w:rsidR="00F47939">
        <w:rPr>
          <w:sz w:val="22"/>
          <w:szCs w:val="20"/>
        </w:rPr>
        <w:t xml:space="preserve">s del sector vivienda y agua.  </w:t>
      </w:r>
    </w:p>
    <w:p w:rsidR="00935746" w:rsidRPr="00F47939" w:rsidRDefault="00935746" w:rsidP="00F47939">
      <w:pPr>
        <w:spacing w:after="0" w:line="240" w:lineRule="auto"/>
        <w:rPr>
          <w:sz w:val="22"/>
          <w:szCs w:val="20"/>
        </w:rPr>
      </w:pPr>
      <w:r w:rsidRPr="00F47939">
        <w:rPr>
          <w:sz w:val="22"/>
          <w:szCs w:val="20"/>
        </w:rPr>
        <w:t>•</w:t>
      </w:r>
      <w:r w:rsidRPr="00F47939">
        <w:rPr>
          <w:sz w:val="22"/>
          <w:szCs w:val="20"/>
        </w:rPr>
        <w:tab/>
        <w:t xml:space="preserve">64 actualizaciones en promedio en el mes de Redes sociales como el Facebook, twitter y google, aumentando el número de  seguidores de la siguiente forma: Facebook, un total de 69.729 y para Twitter un total de 241.931. </w:t>
      </w:r>
    </w:p>
    <w:p w:rsidR="00935746" w:rsidRPr="00F47939" w:rsidRDefault="00935746" w:rsidP="00F47939">
      <w:pPr>
        <w:spacing w:after="0" w:line="240" w:lineRule="auto"/>
        <w:rPr>
          <w:sz w:val="22"/>
          <w:szCs w:val="20"/>
        </w:rPr>
      </w:pPr>
      <w:r w:rsidRPr="00F47939">
        <w:rPr>
          <w:sz w:val="22"/>
          <w:szCs w:val="20"/>
        </w:rPr>
        <w:t>•</w:t>
      </w:r>
      <w:r w:rsidRPr="00F47939">
        <w:rPr>
          <w:sz w:val="22"/>
          <w:szCs w:val="20"/>
        </w:rPr>
        <w:tab/>
        <w:t>105 actualizaciones de contenidos en  la página web en la secciones de noticias, periódico electrónico, audios, imágenes, fotografías y  galerías.</w:t>
      </w:r>
    </w:p>
    <w:p w:rsidR="00935746" w:rsidRPr="00F47939" w:rsidRDefault="00935746" w:rsidP="00F47939">
      <w:pPr>
        <w:spacing w:after="0" w:line="240" w:lineRule="auto"/>
        <w:rPr>
          <w:sz w:val="22"/>
          <w:szCs w:val="20"/>
        </w:rPr>
      </w:pPr>
      <w:r w:rsidRPr="00F47939">
        <w:rPr>
          <w:sz w:val="22"/>
          <w:szCs w:val="20"/>
        </w:rPr>
        <w:t>•</w:t>
      </w:r>
      <w:r w:rsidRPr="00F47939">
        <w:rPr>
          <w:sz w:val="22"/>
          <w:szCs w:val="20"/>
        </w:rPr>
        <w:tab/>
        <w:t>37 comunicados de prensa en el mes, para un total acumulado de 259 comunicados en el año.</w:t>
      </w:r>
    </w:p>
    <w:p w:rsidR="00935746" w:rsidRPr="00F47939" w:rsidRDefault="00935746" w:rsidP="00F47939">
      <w:pPr>
        <w:spacing w:after="0" w:line="240" w:lineRule="auto"/>
        <w:rPr>
          <w:sz w:val="22"/>
          <w:szCs w:val="20"/>
        </w:rPr>
      </w:pPr>
      <w:r w:rsidRPr="00F47939">
        <w:rPr>
          <w:sz w:val="22"/>
          <w:szCs w:val="20"/>
        </w:rPr>
        <w:t>•</w:t>
      </w:r>
      <w:r w:rsidRPr="00F47939">
        <w:rPr>
          <w:sz w:val="22"/>
          <w:szCs w:val="20"/>
        </w:rPr>
        <w:tab/>
        <w:t>8 Cubrimientos de ruedas de prensa y declaraciones a medios de comunicación.</w:t>
      </w:r>
    </w:p>
    <w:p w:rsidR="00935746" w:rsidRPr="00F47939" w:rsidRDefault="00935746" w:rsidP="00F47939">
      <w:pPr>
        <w:spacing w:after="0" w:line="240" w:lineRule="auto"/>
        <w:rPr>
          <w:sz w:val="22"/>
          <w:szCs w:val="20"/>
        </w:rPr>
      </w:pPr>
      <w:r w:rsidRPr="00F47939">
        <w:rPr>
          <w:sz w:val="22"/>
          <w:szCs w:val="20"/>
        </w:rPr>
        <w:t>•</w:t>
      </w:r>
      <w:r w:rsidRPr="00F47939">
        <w:rPr>
          <w:sz w:val="22"/>
          <w:szCs w:val="20"/>
        </w:rPr>
        <w:tab/>
        <w:t>Se cubrieron y registraron fotográficamente 59 eventos del Ministerio de Vivienda</w:t>
      </w:r>
    </w:p>
    <w:p w:rsidR="00935746" w:rsidRDefault="00935746" w:rsidP="00F47939">
      <w:pPr>
        <w:spacing w:after="0" w:line="240" w:lineRule="auto"/>
        <w:rPr>
          <w:sz w:val="22"/>
          <w:szCs w:val="20"/>
        </w:rPr>
      </w:pPr>
      <w:r w:rsidRPr="00F47939">
        <w:rPr>
          <w:sz w:val="22"/>
          <w:szCs w:val="20"/>
        </w:rPr>
        <w:t>•</w:t>
      </w:r>
      <w:r w:rsidRPr="00F47939">
        <w:rPr>
          <w:sz w:val="22"/>
          <w:szCs w:val="20"/>
        </w:rPr>
        <w:tab/>
        <w:t>60 Diseños de piezas y  productos de comunicación externa requeridas para desarrollar diferentes actividades del Ministerio.</w:t>
      </w:r>
    </w:p>
    <w:p w:rsidR="00F47939" w:rsidRPr="00F47939" w:rsidRDefault="00F47939" w:rsidP="00F47939">
      <w:pPr>
        <w:spacing w:after="0" w:line="240" w:lineRule="auto"/>
        <w:rPr>
          <w:sz w:val="22"/>
          <w:szCs w:val="20"/>
        </w:rPr>
      </w:pPr>
    </w:p>
    <w:p w:rsidR="00935746" w:rsidRPr="00F47939" w:rsidRDefault="00935746" w:rsidP="00935746">
      <w:pPr>
        <w:spacing w:after="200" w:line="276" w:lineRule="auto"/>
        <w:rPr>
          <w:sz w:val="22"/>
          <w:szCs w:val="20"/>
        </w:rPr>
      </w:pPr>
      <w:r w:rsidRPr="00F47939">
        <w:rPr>
          <w:sz w:val="22"/>
          <w:szCs w:val="20"/>
        </w:rPr>
        <w:t>En meses pasados,  se realizó un cambio en la redacción y reducción en la unidad de medida de la primera actividad, debido a los ajustes presupuestales que presentó el Ministerio, pasando a 30 “realizaciones de productos audiovisuales de carácter institucional”. Lo anterior, no afectó el indicador, ya que los productos audiovisuales de carácter institucional se vienen realizando y difundiendo por medios digitales y redes sociales.</w:t>
      </w:r>
    </w:p>
    <w:p w:rsidR="00935746" w:rsidRPr="00F47939" w:rsidRDefault="00935746" w:rsidP="00935746">
      <w:pPr>
        <w:spacing w:after="200" w:line="276" w:lineRule="auto"/>
        <w:rPr>
          <w:sz w:val="22"/>
          <w:szCs w:val="20"/>
        </w:rPr>
      </w:pPr>
      <w:r w:rsidRPr="00F47939">
        <w:rPr>
          <w:sz w:val="22"/>
          <w:szCs w:val="20"/>
        </w:rPr>
        <w:t>Los temas relacionados con comunicación externa se informan a la ciudadanía en general y se busca mantener una imagen positiva de la entidad. Los temas más relevantes del mes de septiembre consistieron en:</w:t>
      </w:r>
    </w:p>
    <w:p w:rsidR="00935746" w:rsidRPr="00F47939" w:rsidRDefault="00935746" w:rsidP="00935746">
      <w:pPr>
        <w:spacing w:after="200" w:line="276" w:lineRule="auto"/>
        <w:rPr>
          <w:sz w:val="22"/>
          <w:szCs w:val="20"/>
        </w:rPr>
      </w:pPr>
      <w:r w:rsidRPr="00F47939">
        <w:rPr>
          <w:sz w:val="22"/>
          <w:szCs w:val="20"/>
        </w:rPr>
        <w:t>Visitas de obras de equipamientos y avances de alcantarillados y acueductos, entrega de viviendas para ahorradores en Barranca, Huila y Valle, inversiones para Vivienda y Agua en la Guajira y Cesar, y 20 años de la ley de desarrollo territorial.</w:t>
      </w:r>
    </w:p>
    <w:p w:rsidR="00B0194C" w:rsidRDefault="00B0194C" w:rsidP="00935746">
      <w:pPr>
        <w:spacing w:after="200" w:line="276" w:lineRule="auto"/>
      </w:pPr>
    </w:p>
    <w:p w:rsidR="00A861CF" w:rsidRDefault="00A861CF" w:rsidP="00A861CF">
      <w:pPr>
        <w:pStyle w:val="Ttulo1"/>
        <w:spacing w:before="0" w:line="240" w:lineRule="auto"/>
        <w:rPr>
          <w:rFonts w:eastAsia="Arial Narrow"/>
        </w:rPr>
      </w:pPr>
      <w:bookmarkStart w:id="9" w:name="_Toc496861733"/>
      <w:r w:rsidRPr="007E4FEC">
        <w:rPr>
          <w:rFonts w:eastAsia="Arial Narrow"/>
          <w:noProof/>
          <w:lang w:eastAsia="es-CO"/>
        </w:rPr>
        <w:lastRenderedPageBreak/>
        <w:drawing>
          <wp:anchor distT="0" distB="0" distL="114300" distR="114300" simplePos="0" relativeHeight="251900928" behindDoc="0" locked="0" layoutInCell="1" allowOverlap="1" wp14:anchorId="0620F52E" wp14:editId="396A9F8E">
            <wp:simplePos x="0" y="0"/>
            <wp:positionH relativeFrom="column">
              <wp:posOffset>7164705</wp:posOffset>
            </wp:positionH>
            <wp:positionV relativeFrom="paragraph">
              <wp:posOffset>-49530</wp:posOffset>
            </wp:positionV>
            <wp:extent cx="1022985" cy="1435100"/>
            <wp:effectExtent l="0" t="0" r="5715" b="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4">
                      <a:extLst>
                        <a:ext uri="{28A0092B-C50C-407E-A947-70E740481C1C}">
                          <a14:useLocalDpi xmlns:a14="http://schemas.microsoft.com/office/drawing/2010/main" val="0"/>
                        </a:ext>
                      </a:extLst>
                    </a:blip>
                    <a:srcRect l="69742"/>
                    <a:stretch/>
                  </pic:blipFill>
                  <pic:spPr bwMode="auto">
                    <a:xfrm>
                      <a:off x="0" y="0"/>
                      <a:ext cx="1022985" cy="143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4254">
        <w:rPr>
          <w:rFonts w:eastAsia="Arial Narrow"/>
        </w:rPr>
        <w:t>SECRETARÍA GENERAL</w:t>
      </w:r>
      <w:bookmarkEnd w:id="9"/>
    </w:p>
    <w:p w:rsidR="00A861CF" w:rsidRDefault="00A861CF" w:rsidP="00A861CF">
      <w:pPr>
        <w:spacing w:after="0" w:line="240" w:lineRule="auto"/>
      </w:pPr>
      <w:r w:rsidRPr="00064254">
        <w:t xml:space="preserve">Dr. Raúl José </w:t>
      </w:r>
      <w:proofErr w:type="spellStart"/>
      <w:r w:rsidRPr="00064254">
        <w:t>Lacouture</w:t>
      </w:r>
      <w:proofErr w:type="spellEnd"/>
      <w:r w:rsidRPr="00064254">
        <w:t xml:space="preserve"> Daza</w:t>
      </w:r>
    </w:p>
    <w:p w:rsidR="00A861CF" w:rsidRPr="00064254" w:rsidRDefault="00A861CF" w:rsidP="00A861CF">
      <w:pPr>
        <w:spacing w:after="0" w:line="240" w:lineRule="auto"/>
      </w:pPr>
    </w:p>
    <w:p w:rsidR="00A861CF" w:rsidRPr="007559AB" w:rsidRDefault="00850A3D" w:rsidP="00850A3D">
      <w:pPr>
        <w:pStyle w:val="Ttulo2"/>
        <w:rPr>
          <w:rFonts w:ascii="Verdana" w:eastAsia="Arial Narrow" w:hAnsi="Verdana"/>
        </w:rPr>
      </w:pPr>
      <w:bookmarkStart w:id="10" w:name="_Toc496861734"/>
      <w:r w:rsidRPr="007559AB">
        <w:rPr>
          <w:rFonts w:ascii="Verdana" w:eastAsia="Arial Narrow" w:hAnsi="Verdana"/>
        </w:rPr>
        <w:t xml:space="preserve">1 </w:t>
      </w:r>
      <w:r w:rsidR="00A861CF" w:rsidRPr="007559AB">
        <w:rPr>
          <w:rFonts w:ascii="Verdana" w:eastAsia="Arial Narrow" w:hAnsi="Verdana"/>
        </w:rPr>
        <w:t>GRUPO CONTROL INTERNO DISCIPLINARIO</w:t>
      </w:r>
      <w:bookmarkEnd w:id="10"/>
    </w:p>
    <w:p w:rsidR="00A861CF" w:rsidRDefault="00A861CF" w:rsidP="00A861CF">
      <w:pPr>
        <w:spacing w:after="0" w:line="240" w:lineRule="auto"/>
      </w:pPr>
      <w:r>
        <w:t xml:space="preserve">     </w:t>
      </w:r>
      <w:r w:rsidRPr="007B41A9">
        <w:t>Coordinador: Dr. Juan Gabriel Duran Sánchez</w:t>
      </w:r>
    </w:p>
    <w:tbl>
      <w:tblPr>
        <w:tblpPr w:leftFromText="141" w:rightFromText="141" w:vertAnchor="text" w:horzAnchor="margin" w:tblpY="156"/>
        <w:tblW w:w="1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31"/>
        <w:gridCol w:w="1997"/>
        <w:gridCol w:w="3534"/>
        <w:gridCol w:w="1988"/>
      </w:tblGrid>
      <w:tr w:rsidR="004C5315" w:rsidRPr="00B1123B" w:rsidTr="004C5315">
        <w:trPr>
          <w:trHeight w:val="327"/>
        </w:trPr>
        <w:tc>
          <w:tcPr>
            <w:tcW w:w="3531" w:type="dxa"/>
            <w:shd w:val="clear" w:color="auto" w:fill="993366"/>
            <w:vAlign w:val="center"/>
          </w:tcPr>
          <w:p w:rsidR="004C5315" w:rsidRPr="00F9219C" w:rsidRDefault="004C5315" w:rsidP="004C5315">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997" w:type="dxa"/>
            <w:vAlign w:val="center"/>
          </w:tcPr>
          <w:p w:rsidR="004C5315" w:rsidRPr="00F9219C" w:rsidRDefault="004C5315" w:rsidP="004C5315">
            <w:pPr>
              <w:spacing w:after="0" w:line="240" w:lineRule="auto"/>
              <w:ind w:right="20"/>
              <w:jc w:val="center"/>
              <w:rPr>
                <w:rFonts w:eastAsia="Arial Narrow"/>
                <w:b/>
                <w:color w:val="FF0000"/>
              </w:rPr>
            </w:pPr>
            <w:r>
              <w:rPr>
                <w:rFonts w:eastAsia="Arial Narrow"/>
                <w:b/>
              </w:rPr>
              <w:t>98.75%</w:t>
            </w:r>
          </w:p>
        </w:tc>
        <w:tc>
          <w:tcPr>
            <w:tcW w:w="3534" w:type="dxa"/>
            <w:shd w:val="clear" w:color="auto" w:fill="993366"/>
          </w:tcPr>
          <w:p w:rsidR="004C5315" w:rsidRPr="00B1123B" w:rsidRDefault="004C5315" w:rsidP="004C5315">
            <w:pPr>
              <w:spacing w:after="0" w:line="240" w:lineRule="auto"/>
              <w:ind w:right="20"/>
              <w:jc w:val="center"/>
              <w:rPr>
                <w:rFonts w:eastAsia="Arial Narrow"/>
              </w:rPr>
            </w:pPr>
            <w:r w:rsidRPr="007E4FEC">
              <w:rPr>
                <w:rFonts w:eastAsia="Arial Narrow"/>
                <w:b/>
                <w:color w:val="FFFFFF" w:themeColor="background1"/>
              </w:rPr>
              <w:t xml:space="preserve">Número de </w:t>
            </w:r>
            <w:r>
              <w:rPr>
                <w:rFonts w:eastAsia="Arial Narrow"/>
                <w:b/>
                <w:color w:val="FFFFFF" w:themeColor="background1"/>
              </w:rPr>
              <w:t xml:space="preserve">Iniciativas </w:t>
            </w:r>
          </w:p>
        </w:tc>
        <w:tc>
          <w:tcPr>
            <w:tcW w:w="1988" w:type="dxa"/>
            <w:vAlign w:val="center"/>
          </w:tcPr>
          <w:p w:rsidR="004C5315" w:rsidRPr="00307938" w:rsidRDefault="004C5315" w:rsidP="004C5315">
            <w:pPr>
              <w:spacing w:after="0" w:line="240" w:lineRule="auto"/>
              <w:ind w:right="20"/>
              <w:jc w:val="center"/>
              <w:rPr>
                <w:rFonts w:eastAsia="Arial Narrow"/>
                <w:b/>
              </w:rPr>
            </w:pPr>
            <w:r>
              <w:rPr>
                <w:rFonts w:eastAsia="Arial Narrow"/>
                <w:b/>
              </w:rPr>
              <w:t>2</w:t>
            </w:r>
          </w:p>
        </w:tc>
      </w:tr>
    </w:tbl>
    <w:p w:rsidR="004C5315" w:rsidRDefault="004C5315" w:rsidP="000F66A3">
      <w:pPr>
        <w:pStyle w:val="epgrafe"/>
        <w:rPr>
          <w:rFonts w:ascii="Verdana" w:hAnsi="Verdana"/>
          <w:sz w:val="22"/>
          <w:szCs w:val="20"/>
        </w:rPr>
      </w:pPr>
    </w:p>
    <w:p w:rsidR="00EB4D55" w:rsidRDefault="000F66A3" w:rsidP="000F66A3">
      <w:pPr>
        <w:pStyle w:val="epgrafe"/>
        <w:rPr>
          <w:rFonts w:ascii="Verdana" w:hAnsi="Verdana"/>
          <w:sz w:val="22"/>
          <w:szCs w:val="20"/>
        </w:rPr>
      </w:pPr>
      <w:r w:rsidRPr="00F47939">
        <w:rPr>
          <w:rFonts w:ascii="Verdana" w:hAnsi="Verdana"/>
          <w:sz w:val="22"/>
          <w:szCs w:val="20"/>
        </w:rPr>
        <w:t xml:space="preserve">El Grupo de Control Interno Disciplinario de la Secretaría General, tiene como objetivo,  contribuir en el adecuado ejercicio de la función pública, adelantando los procesos disciplinarios en primera instancia, de acuerdo con el procedimiento establecido en la Ley 734 de 2002, respecto de los comportamientos constitutivos de falta disciplinaria, realizados por los servidores y ex servidores públicos del MVCT y FONVIVIENDA, así como, las actividades orientadas a prevenir faltas disciplinarias y garantizar el buen funcionamiento de la función pública. </w:t>
      </w:r>
    </w:p>
    <w:p w:rsidR="00F47939" w:rsidRDefault="00F47939" w:rsidP="00F47939">
      <w:pPr>
        <w:pStyle w:val="epgrafe"/>
        <w:rPr>
          <w:rFonts w:ascii="Verdana" w:eastAsia="Times New Roman" w:hAnsi="Verdana"/>
          <w:sz w:val="22"/>
          <w:szCs w:val="20"/>
          <w:lang w:eastAsia="es-CO"/>
        </w:rPr>
      </w:pPr>
      <w:r w:rsidRPr="00F47939">
        <w:rPr>
          <w:rFonts w:ascii="Verdana" w:hAnsi="Verdana"/>
          <w:sz w:val="22"/>
          <w:szCs w:val="20"/>
        </w:rPr>
        <w:t>En cumplimiento de los mencionados objetivos y en consideración a lo establecido en el Código Disciplinario Único, el Grupo de Control Interno Disciplinario, para la vigencia 2017, formuló dentro de su plan estratégico, las siguientes</w:t>
      </w:r>
      <w:r w:rsidRPr="00F47939">
        <w:rPr>
          <w:rFonts w:ascii="Verdana" w:eastAsia="Times New Roman" w:hAnsi="Verdana"/>
          <w:sz w:val="22"/>
          <w:szCs w:val="20"/>
          <w:lang w:eastAsia="es-CO"/>
        </w:rPr>
        <w:t xml:space="preserve"> iniciativas estratégicas, las cuales, con corte al  tercer trimestre, reflejan el siguiente comportamiento:</w:t>
      </w:r>
    </w:p>
    <w:p w:rsidR="00F47939" w:rsidRPr="00F47939" w:rsidRDefault="00F47939" w:rsidP="00F47939">
      <w:pPr>
        <w:spacing w:after="0" w:line="240" w:lineRule="auto"/>
        <w:rPr>
          <w:sz w:val="22"/>
          <w:szCs w:val="20"/>
        </w:rPr>
      </w:pPr>
      <w:r w:rsidRPr="00F47939">
        <w:rPr>
          <w:b/>
          <w:sz w:val="22"/>
          <w:szCs w:val="20"/>
        </w:rPr>
        <w:t>1.</w:t>
      </w:r>
      <w:r w:rsidRPr="00F47939">
        <w:rPr>
          <w:sz w:val="22"/>
          <w:szCs w:val="20"/>
        </w:rPr>
        <w:t xml:space="preserve"> </w:t>
      </w:r>
      <w:r w:rsidRPr="00F47939">
        <w:rPr>
          <w:b/>
          <w:sz w:val="22"/>
          <w:szCs w:val="20"/>
        </w:rPr>
        <w:t xml:space="preserve">Investigar y fallar en primera instancia las conductas constitutivas de faltas disciplinarias realizadas por funcionarios y exfuncionarios del Ministerio de Vivienda, Ciudad y Territorio, y </w:t>
      </w:r>
      <w:proofErr w:type="spellStart"/>
      <w:r w:rsidRPr="00F47939">
        <w:rPr>
          <w:b/>
          <w:sz w:val="22"/>
          <w:szCs w:val="20"/>
        </w:rPr>
        <w:t>Fonvivienda</w:t>
      </w:r>
      <w:proofErr w:type="spellEnd"/>
      <w:r w:rsidRPr="00F47939">
        <w:rPr>
          <w:b/>
          <w:sz w:val="22"/>
          <w:szCs w:val="20"/>
        </w:rPr>
        <w:t xml:space="preserve">. </w:t>
      </w:r>
      <w:r w:rsidRPr="00F47939">
        <w:rPr>
          <w:sz w:val="22"/>
          <w:szCs w:val="20"/>
        </w:rPr>
        <w:t xml:space="preserve">Se viene adelantado actuaciones procesales, evaluando ciento treinta y dos (132) informes y diecisiete (17) quejas disciplinarias, para un total de ciento cuarenta y nueve (149) hasta el 30 de septiembre de 2017, teniendo en cuenta que este mismo número es el total de quejas e informes recibidos, la iniciativa estratégica se reporta con un avance del 100%, cabe señalar que se adelantaron los impulsos procesales y se tomaron las decisiones de fondo. </w:t>
      </w:r>
    </w:p>
    <w:p w:rsidR="00F47939" w:rsidRPr="00F47939" w:rsidRDefault="00F47939" w:rsidP="00F47939">
      <w:pPr>
        <w:pStyle w:val="epgrafe"/>
        <w:rPr>
          <w:rFonts w:ascii="Verdana" w:eastAsia="Times New Roman" w:hAnsi="Verdana"/>
          <w:sz w:val="22"/>
          <w:szCs w:val="20"/>
          <w:lang w:val="es-CO" w:eastAsia="es-CO"/>
        </w:rPr>
      </w:pPr>
      <w:r w:rsidRPr="00F47939">
        <w:rPr>
          <w:rFonts w:ascii="Verdana" w:hAnsi="Verdana"/>
          <w:b/>
          <w:sz w:val="22"/>
          <w:szCs w:val="20"/>
        </w:rPr>
        <w:t xml:space="preserve">2. </w:t>
      </w:r>
      <w:r w:rsidRPr="00F47939">
        <w:rPr>
          <w:rFonts w:ascii="Verdana" w:hAnsi="Verdana"/>
          <w:b/>
          <w:i/>
          <w:sz w:val="22"/>
          <w:szCs w:val="20"/>
        </w:rPr>
        <w:t xml:space="preserve">Fortalecer las capacidades de los servidores públicos en derecho disciplinario. </w:t>
      </w:r>
      <w:r w:rsidRPr="00F47939">
        <w:rPr>
          <w:rFonts w:ascii="Verdana" w:hAnsi="Verdana"/>
          <w:sz w:val="22"/>
          <w:szCs w:val="20"/>
        </w:rPr>
        <w:t>Para fortalecer las capacidades y conocimiento de los servidores públicos en Derecho disciplinario para la vigencia 2017, se estableció la realización de 4 concursos, para los meses de marzo, junio, septiembre y diciembre, de los cuales se procedió a</w:t>
      </w:r>
    </w:p>
    <w:p w:rsidR="00F47939" w:rsidRPr="00F47939" w:rsidRDefault="00F47939" w:rsidP="000F66A3">
      <w:pPr>
        <w:pStyle w:val="epgrafe"/>
        <w:rPr>
          <w:rFonts w:ascii="Verdana" w:hAnsi="Verdana"/>
          <w:sz w:val="22"/>
          <w:szCs w:val="20"/>
          <w:lang w:val="es-CO"/>
        </w:rPr>
      </w:pPr>
    </w:p>
    <w:p w:rsidR="00EB4D55" w:rsidRDefault="00905161" w:rsidP="00EB4D55">
      <w:pPr>
        <w:pStyle w:val="epgrafe"/>
        <w:jc w:val="center"/>
        <w:rPr>
          <w:rFonts w:ascii="Verdana" w:hAnsi="Verdana"/>
          <w:sz w:val="22"/>
        </w:rPr>
      </w:pPr>
      <w:r w:rsidRPr="004C5315">
        <w:rPr>
          <w:noProof/>
          <w:bdr w:val="single" w:sz="12" w:space="0" w:color="auto"/>
          <w:lang w:val="es-CO" w:eastAsia="es-CO"/>
        </w:rPr>
        <w:lastRenderedPageBreak/>
        <w:drawing>
          <wp:inline distT="0" distB="0" distL="0" distR="0" wp14:anchorId="0B1488F7" wp14:editId="2DD71AB6">
            <wp:extent cx="8258175" cy="399035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58175" cy="3990351"/>
                    </a:xfrm>
                    <a:prstGeom prst="rect">
                      <a:avLst/>
                    </a:prstGeom>
                    <a:noFill/>
                    <a:ln>
                      <a:noFill/>
                    </a:ln>
                  </pic:spPr>
                </pic:pic>
              </a:graphicData>
            </a:graphic>
          </wp:inline>
        </w:drawing>
      </w:r>
    </w:p>
    <w:p w:rsidR="00F47939" w:rsidRPr="00F47939" w:rsidRDefault="00F47939" w:rsidP="00F47939">
      <w:pPr>
        <w:spacing w:after="0" w:line="240" w:lineRule="auto"/>
        <w:rPr>
          <w:sz w:val="22"/>
          <w:szCs w:val="20"/>
        </w:rPr>
      </w:pPr>
      <w:r w:rsidRPr="00F47939">
        <w:rPr>
          <w:sz w:val="22"/>
          <w:szCs w:val="20"/>
        </w:rPr>
        <w:t xml:space="preserve">Definir las áreas a participar por grupos. Se precisó  el cronograma de jornadas de sensibilización, las preguntas y se establecieron las condiciones y requisitos. Hasta el 30 de septiembre de 2017, se han realizado el I, II y III GRAN CONCURSO EN CONOCIMIENTOS EN DERECHO DISCIPLINARIO – 2017 “¿QUIÉN QUIERE SER DISCIPLINADO?”, por lo anterior, esta segunda iniciativa presenta una ejecución del 97.50%. </w:t>
      </w:r>
    </w:p>
    <w:p w:rsidR="00F47939" w:rsidRPr="00F47939" w:rsidRDefault="00F47939" w:rsidP="00F47939">
      <w:pPr>
        <w:pStyle w:val="epgrafe"/>
        <w:rPr>
          <w:rFonts w:ascii="Verdana" w:eastAsiaTheme="minorHAnsi" w:hAnsi="Verdana" w:cstheme="minorBidi"/>
          <w:sz w:val="22"/>
          <w:szCs w:val="20"/>
          <w:lang w:val="es-CO" w:eastAsia="en-US"/>
        </w:rPr>
      </w:pPr>
      <w:r w:rsidRPr="00F47939">
        <w:rPr>
          <w:rFonts w:ascii="Verdana" w:eastAsiaTheme="minorHAnsi" w:hAnsi="Verdana" w:cstheme="minorBidi"/>
          <w:sz w:val="22"/>
          <w:szCs w:val="20"/>
          <w:lang w:val="es-CO" w:eastAsia="en-US"/>
        </w:rPr>
        <w:t>Se designó por parte de la Oficina de Control Interno para el Primer, Segundo y Tercer Concurso de Prevención y Sensibilización en Derecho Disciplinario a la señora RITA CONSUELO PEREZ OTERO, como Veedora del mismo, y se concedieron  por parte de CAFAM los premios, para el grupo ganador, con el fin de incentivar la participación de los funcionarios y contratistas.</w:t>
      </w:r>
    </w:p>
    <w:p w:rsidR="00F47939" w:rsidRPr="00F47939" w:rsidRDefault="00F47939" w:rsidP="00EB4D55">
      <w:pPr>
        <w:pStyle w:val="epgrafe"/>
        <w:jc w:val="center"/>
        <w:rPr>
          <w:rFonts w:ascii="Verdana" w:hAnsi="Verdana"/>
          <w:sz w:val="22"/>
          <w:lang w:val="es-CO"/>
        </w:rPr>
      </w:pPr>
    </w:p>
    <w:p w:rsidR="00B0194C" w:rsidRDefault="00696A35" w:rsidP="00AC5422">
      <w:pPr>
        <w:jc w:val="center"/>
      </w:pPr>
      <w:r w:rsidRPr="004C5315">
        <w:rPr>
          <w:noProof/>
          <w:bdr w:val="single" w:sz="12" w:space="0" w:color="auto"/>
          <w:lang w:eastAsia="es-CO"/>
        </w:rPr>
        <w:drawing>
          <wp:inline distT="0" distB="0" distL="0" distR="0" wp14:anchorId="3A8E7378" wp14:editId="05F0A1D5">
            <wp:extent cx="7942997" cy="5049671"/>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45249" cy="5051103"/>
                    </a:xfrm>
                    <a:prstGeom prst="rect">
                      <a:avLst/>
                    </a:prstGeom>
                    <a:noFill/>
                    <a:ln>
                      <a:noFill/>
                    </a:ln>
                  </pic:spPr>
                </pic:pic>
              </a:graphicData>
            </a:graphic>
          </wp:inline>
        </w:drawing>
      </w:r>
    </w:p>
    <w:p w:rsidR="00EB4D55" w:rsidRPr="00F47939" w:rsidRDefault="00EB4D55" w:rsidP="00EB4D55">
      <w:pPr>
        <w:spacing w:after="0" w:line="240" w:lineRule="auto"/>
        <w:rPr>
          <w:sz w:val="22"/>
          <w:szCs w:val="20"/>
        </w:rPr>
      </w:pPr>
    </w:p>
    <w:p w:rsidR="00F47939" w:rsidRDefault="00F47939" w:rsidP="00AC5422">
      <w:pPr>
        <w:jc w:val="center"/>
        <w:rPr>
          <w:sz w:val="28"/>
        </w:rPr>
      </w:pPr>
    </w:p>
    <w:p w:rsidR="00465F0F" w:rsidRDefault="009E08AF" w:rsidP="00F47939">
      <w:pPr>
        <w:jc w:val="center"/>
      </w:pPr>
      <w:r w:rsidRPr="00F47939">
        <w:rPr>
          <w:rFonts w:eastAsia="Arial Narrow"/>
          <w:noProof/>
          <w:sz w:val="28"/>
          <w:lang w:eastAsia="es-CO"/>
        </w:rPr>
        <w:lastRenderedPageBreak/>
        <w:drawing>
          <wp:anchor distT="0" distB="0" distL="114300" distR="114300" simplePos="0" relativeHeight="251828224" behindDoc="0" locked="0" layoutInCell="1" allowOverlap="1" wp14:anchorId="26221D5D" wp14:editId="05CD34F5">
            <wp:simplePos x="0" y="0"/>
            <wp:positionH relativeFrom="column">
              <wp:posOffset>7222490</wp:posOffset>
            </wp:positionH>
            <wp:positionV relativeFrom="paragraph">
              <wp:posOffset>220980</wp:posOffset>
            </wp:positionV>
            <wp:extent cx="988695" cy="1386205"/>
            <wp:effectExtent l="0" t="0" r="1905" b="4445"/>
            <wp:wrapSquare wrapText="bothSides"/>
            <wp:docPr id="25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4">
                      <a:extLst>
                        <a:ext uri="{28A0092B-C50C-407E-A947-70E740481C1C}">
                          <a14:useLocalDpi xmlns:a14="http://schemas.microsoft.com/office/drawing/2010/main" val="0"/>
                        </a:ext>
                      </a:extLst>
                    </a:blip>
                    <a:srcRect l="69742"/>
                    <a:stretch/>
                  </pic:blipFill>
                  <pic:spPr bwMode="auto">
                    <a:xfrm>
                      <a:off x="0" y="0"/>
                      <a:ext cx="988695"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27D6" w:rsidRPr="007559AB" w:rsidRDefault="00850A3D" w:rsidP="00850A3D">
      <w:pPr>
        <w:pStyle w:val="Ttulo2"/>
        <w:rPr>
          <w:rFonts w:ascii="Verdana" w:eastAsia="Arial Narrow" w:hAnsi="Verdana"/>
        </w:rPr>
      </w:pPr>
      <w:bookmarkStart w:id="11" w:name="_Toc496861735"/>
      <w:r w:rsidRPr="007559AB">
        <w:rPr>
          <w:rFonts w:ascii="Verdana" w:eastAsia="Arial Narrow" w:hAnsi="Verdana"/>
        </w:rPr>
        <w:t xml:space="preserve">2 </w:t>
      </w:r>
      <w:r w:rsidR="00DA6068" w:rsidRPr="007559AB">
        <w:rPr>
          <w:rFonts w:ascii="Verdana" w:eastAsia="Arial Narrow" w:hAnsi="Verdana"/>
        </w:rPr>
        <w:t>GRUPO DE TALENTO HUMANO</w:t>
      </w:r>
      <w:bookmarkEnd w:id="11"/>
    </w:p>
    <w:p w:rsidR="003E27D6" w:rsidRPr="007B41A9" w:rsidRDefault="003E27D6" w:rsidP="00DA6068">
      <w:r w:rsidRPr="007B41A9">
        <w:t>Coordinador: Dra. Constanza Martínez Guevara</w:t>
      </w:r>
    </w:p>
    <w:tbl>
      <w:tblPr>
        <w:tblpPr w:leftFromText="141" w:rightFromText="141" w:vertAnchor="text" w:horzAnchor="margin" w:tblpY="43"/>
        <w:tblW w:w="10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19"/>
        <w:gridCol w:w="1934"/>
        <w:gridCol w:w="3421"/>
        <w:gridCol w:w="1924"/>
      </w:tblGrid>
      <w:tr w:rsidR="00C13C1B" w:rsidRPr="00B1123B" w:rsidTr="009E08AF">
        <w:trPr>
          <w:trHeight w:val="454"/>
        </w:trPr>
        <w:tc>
          <w:tcPr>
            <w:tcW w:w="3419" w:type="dxa"/>
            <w:shd w:val="clear" w:color="auto" w:fill="993366"/>
            <w:vAlign w:val="center"/>
          </w:tcPr>
          <w:p w:rsidR="00C13C1B" w:rsidRPr="00F9219C" w:rsidRDefault="00C13C1B" w:rsidP="00C13C1B">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934" w:type="dxa"/>
            <w:shd w:val="clear" w:color="auto" w:fill="auto"/>
            <w:vAlign w:val="center"/>
          </w:tcPr>
          <w:p w:rsidR="00C13C1B" w:rsidRPr="002E06B1" w:rsidRDefault="009E08AF" w:rsidP="00C13C1B">
            <w:pPr>
              <w:spacing w:after="0" w:line="240" w:lineRule="auto"/>
              <w:ind w:right="20"/>
              <w:jc w:val="center"/>
              <w:rPr>
                <w:rFonts w:eastAsia="Arial Narrow"/>
                <w:b/>
              </w:rPr>
            </w:pPr>
            <w:r>
              <w:rPr>
                <w:rFonts w:eastAsia="Arial Narrow"/>
                <w:b/>
              </w:rPr>
              <w:t>83.46%</w:t>
            </w:r>
          </w:p>
        </w:tc>
        <w:tc>
          <w:tcPr>
            <w:tcW w:w="3421" w:type="dxa"/>
            <w:shd w:val="clear" w:color="auto" w:fill="993366"/>
          </w:tcPr>
          <w:p w:rsidR="00C13C1B" w:rsidRPr="00B1123B" w:rsidRDefault="00C13C1B" w:rsidP="00C13C1B">
            <w:pPr>
              <w:spacing w:after="0" w:line="240" w:lineRule="auto"/>
              <w:ind w:right="20"/>
              <w:jc w:val="center"/>
              <w:rPr>
                <w:rFonts w:eastAsia="Arial Narrow"/>
              </w:rPr>
            </w:pPr>
            <w:r w:rsidRPr="007E4FEC">
              <w:rPr>
                <w:rFonts w:eastAsia="Arial Narrow"/>
                <w:b/>
                <w:color w:val="FFFFFF" w:themeColor="background1"/>
              </w:rPr>
              <w:t xml:space="preserve">Número de </w:t>
            </w:r>
            <w:r>
              <w:rPr>
                <w:rFonts w:eastAsia="Arial Narrow"/>
                <w:b/>
                <w:color w:val="FFFFFF" w:themeColor="background1"/>
              </w:rPr>
              <w:t xml:space="preserve">Iniciativas </w:t>
            </w:r>
          </w:p>
        </w:tc>
        <w:tc>
          <w:tcPr>
            <w:tcW w:w="1924" w:type="dxa"/>
            <w:vAlign w:val="center"/>
          </w:tcPr>
          <w:p w:rsidR="00C13C1B" w:rsidRPr="00307938" w:rsidRDefault="00C13C1B" w:rsidP="00C13C1B">
            <w:pPr>
              <w:spacing w:after="0" w:line="240" w:lineRule="auto"/>
              <w:ind w:right="20"/>
              <w:jc w:val="center"/>
              <w:rPr>
                <w:rFonts w:eastAsia="Arial Narrow"/>
                <w:b/>
              </w:rPr>
            </w:pPr>
            <w:r>
              <w:rPr>
                <w:rFonts w:eastAsia="Arial Narrow"/>
                <w:b/>
              </w:rPr>
              <w:t>6</w:t>
            </w:r>
          </w:p>
        </w:tc>
      </w:tr>
    </w:tbl>
    <w:p w:rsidR="003E27D6" w:rsidRDefault="003E27D6" w:rsidP="003E27D6">
      <w:pPr>
        <w:pStyle w:val="Prrafodelista"/>
        <w:spacing w:after="0" w:line="240" w:lineRule="auto"/>
        <w:ind w:left="0"/>
        <w:rPr>
          <w:rFonts w:eastAsia="Arial Narrow"/>
          <w:b/>
          <w:sz w:val="28"/>
          <w:szCs w:val="28"/>
        </w:rPr>
      </w:pPr>
    </w:p>
    <w:p w:rsidR="0083793E" w:rsidRPr="00B07BAA" w:rsidRDefault="0083793E" w:rsidP="00A473F4">
      <w:pPr>
        <w:spacing w:after="0" w:line="240" w:lineRule="auto"/>
        <w:jc w:val="center"/>
        <w:rPr>
          <w:rFonts w:cs="FuturaStd-ExtraBold"/>
          <w:bCs/>
          <w:sz w:val="22"/>
        </w:rPr>
      </w:pPr>
    </w:p>
    <w:p w:rsidR="00F47939" w:rsidRDefault="00F47939" w:rsidP="002471F9">
      <w:pPr>
        <w:rPr>
          <w:b/>
          <w:sz w:val="22"/>
          <w:szCs w:val="20"/>
        </w:rPr>
      </w:pPr>
    </w:p>
    <w:p w:rsidR="002471F9" w:rsidRPr="00F47939" w:rsidRDefault="002471F9" w:rsidP="002471F9">
      <w:pPr>
        <w:rPr>
          <w:sz w:val="22"/>
          <w:szCs w:val="20"/>
        </w:rPr>
      </w:pPr>
      <w:r w:rsidRPr="00F47939">
        <w:rPr>
          <w:b/>
          <w:sz w:val="22"/>
          <w:szCs w:val="20"/>
        </w:rPr>
        <w:t xml:space="preserve">1. Plan Institucional de Capacitación: </w:t>
      </w:r>
      <w:r w:rsidRPr="00F47939">
        <w:rPr>
          <w:sz w:val="22"/>
          <w:szCs w:val="20"/>
        </w:rPr>
        <w:t xml:space="preserve">la entidad contribuye al fortalecimiento de las competencias de los funcionarios, a través de la identificación de necesidades de capacitación teniendo en cuenta los requerimientos de las Oficinas de Control Interno, Planeación, Contratos, SINTRAVIVIENDA y la alta Dirección. Se  identificó y consolidó el diagnóstico de necesidades de capacitación de acuerdo con la metodología de los Proyectos de Aprendizaje en equipo – PAE, de conformidad con los plazos establecidos por la entidad y las recomendaciones del Departamento Administrativo de la Función Pública - DAFP. Se formuló y adoptó el  Plan Institucional de Capacitación – PIC de conformidad con la Resolución 0112 de Febrero de 2017. Durante el primer semestre, realizó cinco capacitaciones, las cuales fueron contratadas con la Universidad Militar Nueva Granada, en el marco del PIC, y de la ejecución  del contrato interadministrativo 524 de 2017 suscrito entre el MVCT y la UNMG, denominado “Curso Formación de Auditores Líderes en calidad en el marco de la Norma ISO 9001:2015 con certificación IRCA”  que contó con la participación de diez (10) funcionarios de la Entidad del 13 y el 23 de Junio, Seminario en Contratación Estatal el cual conto con la participación de diez y siete (17) funcionarios y se dio inicio a los Grupos 1y 2 del curso de actualización de Office (Word, Excel, </w:t>
      </w:r>
      <w:proofErr w:type="spellStart"/>
      <w:r w:rsidRPr="00F47939">
        <w:rPr>
          <w:sz w:val="22"/>
          <w:szCs w:val="20"/>
        </w:rPr>
        <w:t>Power</w:t>
      </w:r>
      <w:proofErr w:type="spellEnd"/>
      <w:r w:rsidRPr="00F47939">
        <w:rPr>
          <w:sz w:val="22"/>
          <w:szCs w:val="20"/>
        </w:rPr>
        <w:t xml:space="preserve"> Point y Outlook)  y Seminario en Elaboración e Interpretación de Indicadores y Estadísticas.  Considerando lo anteriormente descrito, y  teniendo en cuenta las capacitaciones realizadas la ejecución del PIC está en 55.55%, se evidencia para la presente iniciativa estratégica una avance de 63.13%. Esta iniciativa presenta un rezago en su ejecución debido a dificultades  en la ejecución del contrato 524 de 2017 suscrito con la Universidad Militar Nueva Granada, teniendo en cuenta los requisitos establecidos en el Plan Operativo del Contrato, se aplican acciones  de mejora  las cuales permitirán finalizar el mes de Octubre con una ejecución cercana al </w:t>
      </w:r>
      <w:r w:rsidR="009E08AF" w:rsidRPr="00F47939">
        <w:rPr>
          <w:sz w:val="22"/>
          <w:szCs w:val="20"/>
        </w:rPr>
        <w:t>63.33</w:t>
      </w:r>
      <w:r w:rsidRPr="00F47939">
        <w:rPr>
          <w:sz w:val="22"/>
          <w:szCs w:val="20"/>
        </w:rPr>
        <w:t>% del PIC.</w:t>
      </w:r>
    </w:p>
    <w:p w:rsidR="009E08AF" w:rsidRDefault="00054A26" w:rsidP="009E08AF">
      <w:pPr>
        <w:jc w:val="center"/>
        <w:rPr>
          <w:sz w:val="20"/>
          <w:szCs w:val="20"/>
        </w:rPr>
      </w:pPr>
      <w:r w:rsidRPr="004C5315">
        <w:rPr>
          <w:noProof/>
          <w:bdr w:val="single" w:sz="12" w:space="0" w:color="auto"/>
          <w:lang w:eastAsia="es-CO"/>
        </w:rPr>
        <w:lastRenderedPageBreak/>
        <w:drawing>
          <wp:inline distT="0" distB="0" distL="0" distR="0" wp14:anchorId="203C9E9F" wp14:editId="509E1027">
            <wp:extent cx="6958941" cy="4512623"/>
            <wp:effectExtent l="0" t="0" r="0" b="2540"/>
            <wp:docPr id="2486" name="Imagen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53250" cy="4508933"/>
                    </a:xfrm>
                    <a:prstGeom prst="rect">
                      <a:avLst/>
                    </a:prstGeom>
                    <a:noFill/>
                    <a:ln>
                      <a:noFill/>
                    </a:ln>
                  </pic:spPr>
                </pic:pic>
              </a:graphicData>
            </a:graphic>
          </wp:inline>
        </w:drawing>
      </w:r>
    </w:p>
    <w:p w:rsidR="002471F9" w:rsidRPr="00F47939" w:rsidRDefault="002471F9" w:rsidP="002471F9">
      <w:pPr>
        <w:rPr>
          <w:sz w:val="22"/>
          <w:szCs w:val="20"/>
        </w:rPr>
      </w:pPr>
      <w:r w:rsidRPr="00F47939">
        <w:rPr>
          <w:b/>
          <w:sz w:val="22"/>
          <w:szCs w:val="20"/>
        </w:rPr>
        <w:t xml:space="preserve">2. Plan Anual de Vacantes: </w:t>
      </w:r>
      <w:r w:rsidRPr="00F47939">
        <w:rPr>
          <w:rFonts w:cs="Arial"/>
          <w:sz w:val="22"/>
          <w:szCs w:val="20"/>
        </w:rPr>
        <w:t>En cumplimiento del literal d) del artículo 14 de la Ley 909</w:t>
      </w:r>
      <w:r w:rsidRPr="00F47939">
        <w:rPr>
          <w:rStyle w:val="Refdenotaalpie"/>
          <w:sz w:val="22"/>
          <w:szCs w:val="20"/>
        </w:rPr>
        <w:footnoteReference w:id="1"/>
      </w:r>
      <w:r w:rsidRPr="00F47939">
        <w:rPr>
          <w:rFonts w:cs="Arial"/>
          <w:sz w:val="22"/>
          <w:szCs w:val="20"/>
        </w:rPr>
        <w:t xml:space="preserve">, el MVCT realizó la actualización de la matriz denominada “PLAN DE VACANTES”, suministrada por el Departamento Administrativo de la Función Pública – DAFP. </w:t>
      </w:r>
      <w:r w:rsidRPr="00F47939">
        <w:rPr>
          <w:sz w:val="22"/>
          <w:szCs w:val="20"/>
        </w:rPr>
        <w:t xml:space="preserve">Durante los meses de febrero y marzo de 2017, el Grupo de Talento Humano realizó los procesos necesarios para consolidar el Plan Anual de Vacantes, en atención a la normativa vigente y las directrices </w:t>
      </w:r>
      <w:r w:rsidRPr="00F47939">
        <w:rPr>
          <w:sz w:val="22"/>
          <w:szCs w:val="20"/>
        </w:rPr>
        <w:lastRenderedPageBreak/>
        <w:t>del DAFP, en las matrices desarrolladas para tal fin, este documento puede ser consultado accediendo al siguiente link:</w:t>
      </w:r>
    </w:p>
    <w:p w:rsidR="002471F9" w:rsidRPr="00F47939" w:rsidRDefault="004E11A7" w:rsidP="002471F9">
      <w:pPr>
        <w:rPr>
          <w:rStyle w:val="Hipervnculo"/>
          <w:color w:val="auto"/>
          <w:sz w:val="22"/>
        </w:rPr>
      </w:pPr>
      <w:hyperlink r:id="rId31" w:history="1">
        <w:r w:rsidR="006B57DA" w:rsidRPr="002E7562">
          <w:rPr>
            <w:rStyle w:val="Hipervnculo"/>
            <w:sz w:val="22"/>
          </w:rPr>
          <w:t>http://portal.minvivienda.local/Documents/Sobre%20el%20Ministerio/Talento%20humano/PLAN%20DE%20VACANTES.pdf</w:t>
        </w:r>
      </w:hyperlink>
    </w:p>
    <w:p w:rsidR="002471F9" w:rsidRPr="00F47939" w:rsidRDefault="002471F9" w:rsidP="002471F9">
      <w:pPr>
        <w:rPr>
          <w:sz w:val="22"/>
        </w:rPr>
      </w:pPr>
      <w:r w:rsidRPr="00F47939">
        <w:rPr>
          <w:sz w:val="22"/>
        </w:rPr>
        <w:t>Por lo anterior, se dio cumplimiento a todas las actividades establecidas en el plan de acción, por lo que la iniciativa estratégica se ejecutó en un 100%.</w:t>
      </w:r>
    </w:p>
    <w:p w:rsidR="002471F9" w:rsidRPr="00F47939" w:rsidRDefault="002471F9" w:rsidP="002471F9">
      <w:pPr>
        <w:rPr>
          <w:sz w:val="22"/>
        </w:rPr>
      </w:pPr>
      <w:r w:rsidRPr="00F47939">
        <w:rPr>
          <w:b/>
          <w:sz w:val="22"/>
        </w:rPr>
        <w:t xml:space="preserve">3. Plan Anual de Trabajo de Seguridad y Salud en el Trabajo: </w:t>
      </w:r>
      <w:r w:rsidRPr="00F47939">
        <w:rPr>
          <w:sz w:val="22"/>
        </w:rPr>
        <w:t xml:space="preserve">Ministerio de Vivienda, Ciudad y Territorio, en cumplimiento de lo establecido en el numeral 7 del Artículo </w:t>
      </w:r>
      <w:r w:rsidRPr="00F47939">
        <w:rPr>
          <w:bCs/>
          <w:sz w:val="22"/>
        </w:rPr>
        <w:t xml:space="preserve">2.2.4.6.8. </w:t>
      </w:r>
      <w:r w:rsidRPr="00F47939">
        <w:rPr>
          <w:bCs/>
          <w:i/>
          <w:iCs/>
          <w:sz w:val="22"/>
        </w:rPr>
        <w:t>Obligaciones de los empleadores</w:t>
      </w:r>
      <w:r w:rsidRPr="00F47939">
        <w:rPr>
          <w:rStyle w:val="Refdenotaalpie"/>
          <w:sz w:val="22"/>
        </w:rPr>
        <w:footnoteReference w:id="2"/>
      </w:r>
      <w:r w:rsidRPr="00F47939">
        <w:rPr>
          <w:sz w:val="22"/>
        </w:rPr>
        <w:t xml:space="preserve"> del Decreto 1072 de 2015,  programó  un plan de trabajo, el cual contempla la realización de actividades encaminadas al mantenimiento y la mejora continua del mismo. De las 280 actividades establecidas en este plan anual, a fecha de Septiembre  30 de 2017, se han realizado 218 de las mismas, adicionalmente se han efectuado las consultas mensuales sobre emisión de normativa que afecte el SGSST y los correspondientes informes de evaluación. Por lo anterior, la iniciativa estratégica reporta un avance del </w:t>
      </w:r>
      <w:r w:rsidR="009E08AF" w:rsidRPr="00F47939">
        <w:rPr>
          <w:sz w:val="22"/>
        </w:rPr>
        <w:t>85.34</w:t>
      </w:r>
      <w:r w:rsidRPr="00F47939">
        <w:rPr>
          <w:sz w:val="22"/>
        </w:rPr>
        <w:t>%, teniendo en cuenta que también se identificaron los peligros, y se valoraron y evaluaron los riesgos de todos los centros de trabajo de la Entidad</w:t>
      </w:r>
    </w:p>
    <w:p w:rsidR="009E08AF" w:rsidRPr="00F47939" w:rsidRDefault="009E08AF" w:rsidP="009E08AF">
      <w:pPr>
        <w:rPr>
          <w:sz w:val="22"/>
        </w:rPr>
      </w:pPr>
      <w:r w:rsidRPr="00F47939">
        <w:rPr>
          <w:b/>
          <w:sz w:val="22"/>
        </w:rPr>
        <w:t xml:space="preserve">4. Plan de Bienestar e Incentivos: </w:t>
      </w:r>
      <w:r w:rsidRPr="00F47939">
        <w:rPr>
          <w:sz w:val="22"/>
        </w:rPr>
        <w:t xml:space="preserve">en cumplimiento del marco legal y constitucional, la Secretaria General y el Grupo de Talento Humano presentan el Plan de Bienestar Social, encaminado a la sostenibilidad y potencialización de su talento humano, con el fin de propiciar las condiciones que favorezcan el desarrollo de la creatividad, la identidad, la participación de los servidores públicos de la entidad, así como la eficiencia y efectividad en su desempeño. De las 134 actividades establecidas en el plan de bienestar e incentivos formulado, se han ejecutado 90  Por lo anterior, la iniciativa estratégica presenta un avance del 62.09%. </w:t>
      </w:r>
    </w:p>
    <w:p w:rsidR="009E08AF" w:rsidRPr="00F47939" w:rsidRDefault="009E08AF" w:rsidP="006B57DA">
      <w:pPr>
        <w:spacing w:after="0" w:line="240" w:lineRule="auto"/>
        <w:rPr>
          <w:rStyle w:val="apple-converted-space"/>
          <w:rFonts w:eastAsia="Times New Roman" w:cs="Arial"/>
          <w:sz w:val="22"/>
        </w:rPr>
      </w:pPr>
      <w:r w:rsidRPr="00F47939">
        <w:rPr>
          <w:b/>
          <w:sz w:val="22"/>
        </w:rPr>
        <w:t xml:space="preserve">5. Plan Estratégico de Recursos Humanos: </w:t>
      </w:r>
      <w:r w:rsidRPr="00F47939">
        <w:rPr>
          <w:rStyle w:val="apple-converted-space"/>
          <w:rFonts w:eastAsia="Times New Roman" w:cs="Arial"/>
          <w:sz w:val="22"/>
        </w:rPr>
        <w:t xml:space="preserve">como principal herramienta para la toma de decisiones en la entidad, principalmente contribuye a desarrollar estrategias que permitan fortalecer las competencias de sus funcionarios, su bienestar integral y su calidad de vida. Así mismo, </w:t>
      </w:r>
      <w:r w:rsidRPr="00F47939">
        <w:rPr>
          <w:rStyle w:val="Textoennegrita"/>
          <w:rFonts w:eastAsia="Times New Roman" w:cs="Arial"/>
          <w:b w:val="0"/>
          <w:sz w:val="22"/>
        </w:rPr>
        <w:t>contribuye significativamente en los logros y cumplimiento de las Políticas, Planes, Programas y Proyectos del MVCT</w:t>
      </w:r>
      <w:r w:rsidRPr="00F47939">
        <w:rPr>
          <w:rStyle w:val="Textoennegrita"/>
          <w:rFonts w:eastAsia="Times New Roman" w:cs="Arial"/>
          <w:sz w:val="22"/>
        </w:rPr>
        <w:t xml:space="preserve">, </w:t>
      </w:r>
      <w:r w:rsidRPr="00F47939">
        <w:rPr>
          <w:rFonts w:eastAsia="Times New Roman" w:cs="Arial"/>
          <w:sz w:val="22"/>
        </w:rPr>
        <w:t xml:space="preserve">teniendo en cuenta como eje fundamental para lograrlo, su capital humano, ya que éste, es el motor esencial </w:t>
      </w:r>
      <w:r w:rsidRPr="00F47939">
        <w:rPr>
          <w:rFonts w:eastAsia="Times New Roman" w:cs="Arial"/>
          <w:bCs/>
          <w:sz w:val="22"/>
        </w:rPr>
        <w:t>para responder de forma positiva</w:t>
      </w:r>
      <w:r w:rsidRPr="00F47939">
        <w:rPr>
          <w:rStyle w:val="apple-converted-space"/>
          <w:rFonts w:eastAsia="Times New Roman" w:cs="Arial"/>
          <w:sz w:val="22"/>
        </w:rPr>
        <w:t xml:space="preserve"> en esta significativa tarea. En el periodo transcurrido (enero a junio de 2017) se ha Actualizado y elaborado el Plan Estratégico de Recursos Humanos </w:t>
      </w:r>
      <w:r w:rsidRPr="00F47939">
        <w:rPr>
          <w:rStyle w:val="apple-converted-space"/>
          <w:rFonts w:eastAsia="Times New Roman" w:cs="Arial"/>
          <w:sz w:val="22"/>
        </w:rPr>
        <w:lastRenderedPageBreak/>
        <w:t xml:space="preserve">y se hizo la publicación respectiva. La evaluación estratégica del mismo, se llevará a cabo en el mes de diciembre. Por lo anterior, a la fecha, la iniciativa estratégica presenta una ejecución del 90%. </w:t>
      </w:r>
    </w:p>
    <w:p w:rsidR="009E08AF" w:rsidRPr="009E08AF" w:rsidRDefault="009E08AF" w:rsidP="006B57DA">
      <w:pPr>
        <w:spacing w:after="0" w:line="240" w:lineRule="auto"/>
        <w:rPr>
          <w:sz w:val="20"/>
          <w:szCs w:val="20"/>
        </w:rPr>
      </w:pPr>
    </w:p>
    <w:p w:rsidR="002471F9" w:rsidRDefault="00A30E4B" w:rsidP="006B57DA">
      <w:pPr>
        <w:spacing w:after="0" w:line="240" w:lineRule="auto"/>
        <w:jc w:val="center"/>
        <w:rPr>
          <w:sz w:val="22"/>
          <w:szCs w:val="20"/>
        </w:rPr>
      </w:pPr>
      <w:r w:rsidRPr="004C5315">
        <w:rPr>
          <w:noProof/>
          <w:bdr w:val="single" w:sz="12" w:space="0" w:color="auto"/>
          <w:lang w:eastAsia="es-CO"/>
        </w:rPr>
        <w:drawing>
          <wp:inline distT="0" distB="0" distL="0" distR="0" wp14:anchorId="27A99BD2" wp14:editId="30CB8448">
            <wp:extent cx="8015841" cy="5106390"/>
            <wp:effectExtent l="0" t="0" r="4445" b="0"/>
            <wp:docPr id="2487" name="Imagen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17350" cy="5107352"/>
                    </a:xfrm>
                    <a:prstGeom prst="rect">
                      <a:avLst/>
                    </a:prstGeom>
                    <a:noFill/>
                    <a:ln>
                      <a:noFill/>
                    </a:ln>
                  </pic:spPr>
                </pic:pic>
              </a:graphicData>
            </a:graphic>
          </wp:inline>
        </w:drawing>
      </w:r>
    </w:p>
    <w:p w:rsidR="006B57DA" w:rsidRPr="006B57DA" w:rsidRDefault="006B57DA" w:rsidP="006B57DA">
      <w:pPr>
        <w:rPr>
          <w:lang w:val="es-ES" w:eastAsia="es-ES"/>
        </w:rPr>
      </w:pPr>
    </w:p>
    <w:p w:rsidR="006B57DA" w:rsidRDefault="006B57DA" w:rsidP="00850A3D">
      <w:pPr>
        <w:pStyle w:val="Ttulo2"/>
        <w:rPr>
          <w:rFonts w:ascii="Verdana" w:eastAsia="Arial Narrow" w:hAnsi="Verdana"/>
        </w:rPr>
      </w:pPr>
    </w:p>
    <w:p w:rsidR="002A3D5B" w:rsidRPr="00A473F4" w:rsidRDefault="004C5315" w:rsidP="00850A3D">
      <w:pPr>
        <w:pStyle w:val="Ttulo2"/>
        <w:rPr>
          <w:rFonts w:ascii="Verdana" w:eastAsia="Arial Narrow" w:hAnsi="Verdana"/>
        </w:rPr>
      </w:pPr>
      <w:bookmarkStart w:id="12" w:name="_Toc496861736"/>
      <w:r>
        <w:rPr>
          <w:rFonts w:ascii="Verdana" w:eastAsia="Arial Narrow" w:hAnsi="Verdana"/>
          <w:noProof/>
          <w:lang w:val="es-CO" w:eastAsia="es-CO"/>
        </w:rPr>
        <w:drawing>
          <wp:anchor distT="0" distB="0" distL="114300" distR="114300" simplePos="0" relativeHeight="251933696" behindDoc="0" locked="0" layoutInCell="1" allowOverlap="1" wp14:anchorId="00652CE2" wp14:editId="44778B2E">
            <wp:simplePos x="0" y="0"/>
            <wp:positionH relativeFrom="column">
              <wp:posOffset>7125335</wp:posOffset>
            </wp:positionH>
            <wp:positionV relativeFrom="paragraph">
              <wp:posOffset>8255</wp:posOffset>
            </wp:positionV>
            <wp:extent cx="904875" cy="1276350"/>
            <wp:effectExtent l="0" t="0" r="9525" b="0"/>
            <wp:wrapSquare wrapText="bothSides"/>
            <wp:docPr id="24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amarillo.png"/>
                    <pic:cNvPicPr/>
                  </pic:nvPicPr>
                  <pic:blipFill>
                    <a:blip r:embed="rId33">
                      <a:extLst>
                        <a:ext uri="{28A0092B-C50C-407E-A947-70E740481C1C}">
                          <a14:useLocalDpi xmlns:a14="http://schemas.microsoft.com/office/drawing/2010/main" val="0"/>
                        </a:ext>
                      </a:extLst>
                    </a:blip>
                    <a:stretch>
                      <a:fillRect/>
                    </a:stretch>
                  </pic:blipFill>
                  <pic:spPr>
                    <a:xfrm>
                      <a:off x="0" y="0"/>
                      <a:ext cx="904875" cy="1276350"/>
                    </a:xfrm>
                    <a:prstGeom prst="rect">
                      <a:avLst/>
                    </a:prstGeom>
                  </pic:spPr>
                </pic:pic>
              </a:graphicData>
            </a:graphic>
            <wp14:sizeRelH relativeFrom="page">
              <wp14:pctWidth>0</wp14:pctWidth>
            </wp14:sizeRelH>
            <wp14:sizeRelV relativeFrom="page">
              <wp14:pctHeight>0</wp14:pctHeight>
            </wp14:sizeRelV>
          </wp:anchor>
        </w:drawing>
      </w:r>
      <w:r w:rsidR="00850A3D" w:rsidRPr="00A473F4">
        <w:rPr>
          <w:rFonts w:ascii="Verdana" w:eastAsia="Arial Narrow" w:hAnsi="Verdana"/>
        </w:rPr>
        <w:t xml:space="preserve">3 </w:t>
      </w:r>
      <w:r w:rsidR="002A3D5B" w:rsidRPr="00A473F4">
        <w:rPr>
          <w:rFonts w:ascii="Verdana" w:eastAsia="Arial Narrow" w:hAnsi="Verdana"/>
        </w:rPr>
        <w:t>SUBDIRECCIÓN DE FINANZAS Y PRESUPUESTO</w:t>
      </w:r>
      <w:bookmarkEnd w:id="12"/>
    </w:p>
    <w:p w:rsidR="00DA7FF7" w:rsidRPr="009E08AF" w:rsidRDefault="002A3D5B" w:rsidP="002A3D5B">
      <w:pPr>
        <w:rPr>
          <w:rFonts w:cs="FuturaStd-ExtraBold"/>
          <w:bCs/>
          <w:szCs w:val="20"/>
        </w:rPr>
      </w:pPr>
      <w:r w:rsidRPr="009E08AF">
        <w:rPr>
          <w:rFonts w:eastAsia="Arial Narrow"/>
          <w:szCs w:val="28"/>
        </w:rPr>
        <w:t>Subdirector: Dr. Iván David Borrero Henríquez</w:t>
      </w:r>
      <w:r w:rsidRPr="009E08AF">
        <w:rPr>
          <w:rFonts w:eastAsia="Arial Narrow"/>
          <w:noProof/>
          <w:lang w:eastAsia="es-CO"/>
        </w:rPr>
        <w:t xml:space="preserve"> </w:t>
      </w:r>
    </w:p>
    <w:tbl>
      <w:tblPr>
        <w:tblpPr w:leftFromText="141" w:rightFromText="141" w:vertAnchor="text" w:horzAnchor="margin" w:tblpY="2"/>
        <w:tblW w:w="10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90"/>
        <w:gridCol w:w="1861"/>
        <w:gridCol w:w="3292"/>
        <w:gridCol w:w="1852"/>
      </w:tblGrid>
      <w:tr w:rsidR="002A3D5B" w:rsidRPr="00B1123B" w:rsidTr="002A3D5B">
        <w:trPr>
          <w:trHeight w:val="526"/>
        </w:trPr>
        <w:tc>
          <w:tcPr>
            <w:tcW w:w="3290" w:type="dxa"/>
            <w:shd w:val="clear" w:color="auto" w:fill="993366"/>
            <w:vAlign w:val="center"/>
          </w:tcPr>
          <w:p w:rsidR="002A3D5B" w:rsidRPr="009E08AF" w:rsidRDefault="002A3D5B" w:rsidP="002A3D5B">
            <w:pPr>
              <w:spacing w:after="0" w:line="240" w:lineRule="auto"/>
              <w:ind w:left="120"/>
              <w:jc w:val="center"/>
              <w:rPr>
                <w:rFonts w:eastAsia="Arial Narrow"/>
                <w:b/>
                <w:color w:val="FF0000"/>
              </w:rPr>
            </w:pPr>
            <w:r w:rsidRPr="009E08AF">
              <w:rPr>
                <w:rFonts w:eastAsia="Arial Narrow"/>
                <w:b/>
                <w:color w:val="FFFFFF" w:themeColor="background1"/>
              </w:rPr>
              <w:t>Avance registrado</w:t>
            </w:r>
          </w:p>
        </w:tc>
        <w:tc>
          <w:tcPr>
            <w:tcW w:w="1861" w:type="dxa"/>
            <w:vAlign w:val="center"/>
          </w:tcPr>
          <w:p w:rsidR="002A3D5B" w:rsidRPr="009E08AF" w:rsidRDefault="00D92978" w:rsidP="00D92978">
            <w:pPr>
              <w:spacing w:after="0" w:line="240" w:lineRule="auto"/>
              <w:ind w:right="20"/>
              <w:jc w:val="center"/>
              <w:rPr>
                <w:rFonts w:eastAsia="Arial Narrow"/>
                <w:b/>
              </w:rPr>
            </w:pPr>
            <w:r>
              <w:rPr>
                <w:rFonts w:eastAsia="Arial Narrow"/>
                <w:b/>
              </w:rPr>
              <w:t>86.67%</w:t>
            </w:r>
          </w:p>
        </w:tc>
        <w:tc>
          <w:tcPr>
            <w:tcW w:w="3292" w:type="dxa"/>
            <w:shd w:val="clear" w:color="auto" w:fill="993366"/>
          </w:tcPr>
          <w:p w:rsidR="002A3D5B" w:rsidRPr="009E08AF" w:rsidRDefault="002A3D5B" w:rsidP="002A3D5B">
            <w:pPr>
              <w:spacing w:after="0" w:line="240" w:lineRule="auto"/>
              <w:ind w:right="20"/>
              <w:jc w:val="center"/>
              <w:rPr>
                <w:rFonts w:eastAsia="Arial Narrow"/>
              </w:rPr>
            </w:pPr>
            <w:r w:rsidRPr="009E08AF">
              <w:rPr>
                <w:rFonts w:eastAsia="Arial Narrow"/>
                <w:b/>
                <w:color w:val="FFFFFF" w:themeColor="background1"/>
              </w:rPr>
              <w:t xml:space="preserve">Número de Iniciativas </w:t>
            </w:r>
          </w:p>
        </w:tc>
        <w:tc>
          <w:tcPr>
            <w:tcW w:w="1852" w:type="dxa"/>
            <w:vAlign w:val="center"/>
          </w:tcPr>
          <w:p w:rsidR="002A3D5B" w:rsidRPr="00307938" w:rsidRDefault="002A3D5B" w:rsidP="002A3D5B">
            <w:pPr>
              <w:spacing w:after="0" w:line="240" w:lineRule="auto"/>
              <w:ind w:right="20"/>
              <w:jc w:val="center"/>
              <w:rPr>
                <w:rFonts w:eastAsia="Arial Narrow"/>
                <w:b/>
              </w:rPr>
            </w:pPr>
            <w:r w:rsidRPr="009E08AF">
              <w:rPr>
                <w:rFonts w:eastAsia="Arial Narrow"/>
                <w:b/>
              </w:rPr>
              <w:t>3</w:t>
            </w:r>
          </w:p>
        </w:tc>
      </w:tr>
    </w:tbl>
    <w:p w:rsidR="00D37968" w:rsidRPr="005D16DD" w:rsidRDefault="00D37968" w:rsidP="0083793E">
      <w:pPr>
        <w:pStyle w:val="Prrafodelista"/>
        <w:spacing w:after="0" w:line="240" w:lineRule="auto"/>
        <w:ind w:left="0"/>
        <w:rPr>
          <w:rFonts w:eastAsia="Arial Narrow"/>
          <w:szCs w:val="28"/>
        </w:rPr>
      </w:pPr>
    </w:p>
    <w:p w:rsidR="007B5965" w:rsidRDefault="007B5965" w:rsidP="001E681B">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1E681B" w:rsidRPr="006B57DA" w:rsidRDefault="001E681B" w:rsidP="001E681B">
      <w:pPr>
        <w:spacing w:after="0" w:line="240" w:lineRule="auto"/>
        <w:rPr>
          <w:rFonts w:cs="FuturaStd-ExtraBold"/>
          <w:bCs/>
          <w:sz w:val="28"/>
          <w:szCs w:val="24"/>
        </w:rPr>
      </w:pPr>
    </w:p>
    <w:p w:rsidR="00363C85" w:rsidRPr="006B57DA" w:rsidRDefault="00363C85" w:rsidP="00230EAE">
      <w:pPr>
        <w:spacing w:after="0" w:line="240" w:lineRule="auto"/>
        <w:rPr>
          <w:rFonts w:cs="FuturaStd-ExtraBold"/>
          <w:bCs/>
          <w:sz w:val="22"/>
          <w:szCs w:val="20"/>
        </w:rPr>
      </w:pPr>
      <w:r w:rsidRPr="006B57DA">
        <w:rPr>
          <w:rFonts w:cs="FuturaStd-ExtraBold"/>
          <w:bCs/>
          <w:sz w:val="22"/>
          <w:szCs w:val="20"/>
        </w:rPr>
        <w:t xml:space="preserve">La </w:t>
      </w:r>
      <w:r w:rsidR="00535FB9" w:rsidRPr="006B57DA">
        <w:rPr>
          <w:rFonts w:cs="FuturaStd-ExtraBold"/>
          <w:bCs/>
          <w:sz w:val="22"/>
          <w:szCs w:val="20"/>
        </w:rPr>
        <w:t>Subdirección es responsable de</w:t>
      </w:r>
      <w:r w:rsidRPr="006B57DA">
        <w:rPr>
          <w:rFonts w:cs="FuturaStd-ExtraBold"/>
          <w:bCs/>
          <w:sz w:val="22"/>
          <w:szCs w:val="20"/>
        </w:rPr>
        <w:t xml:space="preserve"> </w:t>
      </w:r>
      <w:r w:rsidR="00766E23" w:rsidRPr="006B57DA">
        <w:rPr>
          <w:rFonts w:cs="FuturaStd-ExtraBold"/>
          <w:bCs/>
          <w:sz w:val="22"/>
          <w:szCs w:val="20"/>
        </w:rPr>
        <w:t xml:space="preserve">3 iniciativas las cuales </w:t>
      </w:r>
      <w:r w:rsidR="00535FB9" w:rsidRPr="006B57DA">
        <w:rPr>
          <w:rFonts w:cs="FuturaStd-ExtraBold"/>
          <w:bCs/>
          <w:sz w:val="22"/>
          <w:szCs w:val="20"/>
        </w:rPr>
        <w:t>se detallan a continuación</w:t>
      </w:r>
      <w:r w:rsidRPr="006B57DA">
        <w:rPr>
          <w:rFonts w:cs="FuturaStd-ExtraBold"/>
          <w:bCs/>
          <w:sz w:val="22"/>
          <w:szCs w:val="20"/>
        </w:rPr>
        <w:t xml:space="preserve">: </w:t>
      </w:r>
    </w:p>
    <w:p w:rsidR="000D1CFA" w:rsidRPr="006B57DA" w:rsidRDefault="000D1CFA" w:rsidP="00230EAE">
      <w:pPr>
        <w:spacing w:after="0" w:line="240" w:lineRule="auto"/>
        <w:rPr>
          <w:rFonts w:cs="FuturaStd-ExtraBold"/>
          <w:bCs/>
          <w:sz w:val="22"/>
          <w:szCs w:val="20"/>
        </w:rPr>
      </w:pPr>
    </w:p>
    <w:p w:rsidR="00EF1092" w:rsidRPr="006B57DA" w:rsidRDefault="00EF1092" w:rsidP="00230EAE">
      <w:pPr>
        <w:pStyle w:val="epgrafe"/>
        <w:spacing w:after="0" w:afterAutospacing="0"/>
        <w:rPr>
          <w:rFonts w:ascii="Verdana" w:hAnsi="Verdana"/>
          <w:b/>
          <w:sz w:val="22"/>
          <w:szCs w:val="20"/>
          <w:lang w:val="es-CO"/>
        </w:rPr>
      </w:pPr>
      <w:r w:rsidRPr="006B57DA">
        <w:rPr>
          <w:rFonts w:ascii="Verdana" w:hAnsi="Verdana"/>
          <w:b/>
          <w:sz w:val="22"/>
          <w:szCs w:val="20"/>
          <w:lang w:val="es-CO"/>
        </w:rPr>
        <w:t xml:space="preserve">1. Optimizar la ejecución presupuestal de los recursos: </w:t>
      </w:r>
    </w:p>
    <w:p w:rsidR="00EF1092" w:rsidRPr="006B57DA" w:rsidRDefault="00EF1092" w:rsidP="00230EAE">
      <w:pPr>
        <w:pStyle w:val="Sinespaciado"/>
        <w:jc w:val="both"/>
        <w:rPr>
          <w:rFonts w:ascii="Verdana" w:hAnsi="Verdana"/>
          <w:szCs w:val="20"/>
          <w:lang w:val="es-ES"/>
        </w:rPr>
      </w:pPr>
      <w:r w:rsidRPr="006B57DA">
        <w:rPr>
          <w:rFonts w:ascii="Verdana" w:hAnsi="Verdana"/>
          <w:szCs w:val="20"/>
        </w:rPr>
        <w:t xml:space="preserve">La subdirección verificó la información consignada en las solicitudes de certificados de Disponibilidad Presupuestal y Registros Presupuestales, realizándolo satisfactoriamente para los </w:t>
      </w:r>
      <w:proofErr w:type="spellStart"/>
      <w:r w:rsidRPr="006B57DA">
        <w:rPr>
          <w:rFonts w:ascii="Verdana" w:hAnsi="Verdana"/>
          <w:szCs w:val="20"/>
        </w:rPr>
        <w:t>CDP’s</w:t>
      </w:r>
      <w:proofErr w:type="spellEnd"/>
      <w:r w:rsidRPr="006B57DA">
        <w:rPr>
          <w:rFonts w:ascii="Verdana" w:hAnsi="Verdana"/>
          <w:szCs w:val="20"/>
        </w:rPr>
        <w:t xml:space="preserve"> y </w:t>
      </w:r>
      <w:proofErr w:type="spellStart"/>
      <w:r w:rsidRPr="006B57DA">
        <w:rPr>
          <w:rFonts w:ascii="Verdana" w:hAnsi="Verdana"/>
          <w:szCs w:val="20"/>
        </w:rPr>
        <w:t>RP´s</w:t>
      </w:r>
      <w:proofErr w:type="spellEnd"/>
      <w:r w:rsidRPr="006B57DA">
        <w:rPr>
          <w:rFonts w:ascii="Verdana" w:hAnsi="Verdana"/>
          <w:szCs w:val="20"/>
        </w:rPr>
        <w:t xml:space="preserve"> que fueron expedidos hasta</w:t>
      </w:r>
      <w:r w:rsidRPr="006B57DA">
        <w:rPr>
          <w:rFonts w:ascii="Verdana" w:hAnsi="Verdana"/>
          <w:szCs w:val="20"/>
          <w:lang w:val="es-ES"/>
        </w:rPr>
        <w:t xml:space="preserve"> el tercer trimestre de la vigencia, comprendido entre el 1 de Enero  al 30 de Septiembre de 2017; se registraron en los sistemas de información un total de 1549 CDP´S y 2141  RP´S, distribuidos de la siguiente manera: MVCT 1364  (88.1%)  y 185 FONVIVIENDA  (11.9%)  y 1983 RP MVCT (92,6%)  y 158 FONVIVIENDA  (7,4%).</w:t>
      </w:r>
    </w:p>
    <w:p w:rsidR="00EF1092" w:rsidRPr="006B57DA" w:rsidRDefault="00EF1092" w:rsidP="00230EAE">
      <w:pPr>
        <w:pStyle w:val="Sinespaciado"/>
        <w:jc w:val="both"/>
        <w:rPr>
          <w:rFonts w:ascii="Verdana" w:hAnsi="Verdana"/>
          <w:szCs w:val="20"/>
          <w:lang w:val="es-ES"/>
        </w:rPr>
      </w:pPr>
    </w:p>
    <w:p w:rsidR="00EF1092" w:rsidRPr="006B57DA" w:rsidRDefault="00EF1092" w:rsidP="00EF1092">
      <w:pPr>
        <w:rPr>
          <w:sz w:val="22"/>
          <w:szCs w:val="20"/>
        </w:rPr>
      </w:pPr>
      <w:r w:rsidRPr="006B57DA">
        <w:rPr>
          <w:sz w:val="22"/>
          <w:szCs w:val="20"/>
          <w:lang w:val="es-ES"/>
        </w:rPr>
        <w:t xml:space="preserve">Todos los </w:t>
      </w:r>
      <w:proofErr w:type="spellStart"/>
      <w:r w:rsidRPr="006B57DA">
        <w:rPr>
          <w:sz w:val="22"/>
          <w:szCs w:val="20"/>
          <w:lang w:val="es-ES"/>
        </w:rPr>
        <w:t>CDPs</w:t>
      </w:r>
      <w:proofErr w:type="spellEnd"/>
      <w:r w:rsidRPr="006B57DA">
        <w:rPr>
          <w:sz w:val="22"/>
          <w:szCs w:val="20"/>
          <w:lang w:val="es-ES"/>
        </w:rPr>
        <w:t xml:space="preserve"> y </w:t>
      </w:r>
      <w:proofErr w:type="spellStart"/>
      <w:r w:rsidRPr="006B57DA">
        <w:rPr>
          <w:sz w:val="22"/>
          <w:szCs w:val="20"/>
          <w:lang w:val="es-ES"/>
        </w:rPr>
        <w:t>RPs</w:t>
      </w:r>
      <w:proofErr w:type="spellEnd"/>
      <w:r w:rsidRPr="006B57DA">
        <w:rPr>
          <w:sz w:val="22"/>
          <w:szCs w:val="20"/>
          <w:lang w:val="es-ES"/>
        </w:rPr>
        <w:t xml:space="preserve"> solicitados fueron expedidos dentro del tiempo establecido, estos se pueden evidenciar en el aplicativo SIIF NACION II, del Ministerio de Hacienda y Crédito Público, en donde reposa el detalle de cada uno de los registros realizados durante el año y hasta el 30 de Septiembre, los cuales se pueden solicitar a esta Subdirección en caso necesario. Igualmente, se </w:t>
      </w:r>
      <w:r w:rsidRPr="006B57DA">
        <w:rPr>
          <w:sz w:val="22"/>
          <w:szCs w:val="20"/>
        </w:rPr>
        <w:t>realizó el control de los recursos ejecutados usando como herramienta una matriz denominada: “ejecución presupuestal”.</w:t>
      </w:r>
    </w:p>
    <w:p w:rsidR="00230EAE" w:rsidRPr="006B57DA" w:rsidRDefault="00230EAE" w:rsidP="00230EAE">
      <w:pPr>
        <w:pStyle w:val="epgrafe"/>
        <w:rPr>
          <w:rFonts w:ascii="Verdana" w:hAnsi="Verdana"/>
          <w:b/>
          <w:bCs/>
          <w:sz w:val="22"/>
          <w:szCs w:val="20"/>
          <w:lang w:val="es-CO"/>
        </w:rPr>
      </w:pPr>
      <w:r w:rsidRPr="006B57DA">
        <w:rPr>
          <w:rFonts w:ascii="Verdana" w:hAnsi="Verdana"/>
          <w:b/>
          <w:bCs/>
          <w:sz w:val="22"/>
          <w:szCs w:val="20"/>
          <w:lang w:val="es-CO"/>
        </w:rPr>
        <w:t xml:space="preserve">2. Fortalecer los procesos de entrega oportuna y confiable de la información contable: </w:t>
      </w:r>
    </w:p>
    <w:p w:rsidR="00230EAE" w:rsidRPr="006B57DA" w:rsidRDefault="00230EAE" w:rsidP="00230EAE">
      <w:pPr>
        <w:pStyle w:val="epgrafe"/>
        <w:rPr>
          <w:rFonts w:ascii="Verdana" w:hAnsi="Verdana"/>
          <w:sz w:val="22"/>
          <w:szCs w:val="20"/>
        </w:rPr>
      </w:pPr>
      <w:r w:rsidRPr="006B57DA">
        <w:rPr>
          <w:rFonts w:ascii="Verdana" w:hAnsi="Verdana"/>
          <w:sz w:val="22"/>
          <w:szCs w:val="20"/>
        </w:rPr>
        <w:t xml:space="preserve">La Subdirección de Finanzas y Presupuesto, hasta el tercer trimestre del año realizó: i) Dos comunicaciones a través de la intranet, en marzo y mayo, dirigidas a todos los colaboradores del Ministerio, mediante las cuales se impartieron instrucciones relacionadas con el proceso contable de la vigencia 2017 y reporte de conciliación de operaciones reciprocas; ii) Realizó el primer comité técnico de sostenibilidad contable, el 13 de Junio de 2017, iii)  Se trasmitieron a la  Contaduría General de la Nación tres reportes de Estados Financieros, así: con corte a 31 de diciembre de </w:t>
      </w:r>
      <w:r w:rsidR="000834A0" w:rsidRPr="006B57DA">
        <w:rPr>
          <w:rFonts w:ascii="Verdana" w:hAnsi="Verdana"/>
          <w:sz w:val="22"/>
          <w:szCs w:val="20"/>
        </w:rPr>
        <w:t xml:space="preserve">2016, a marzo y a junio de 2017. La fecha máxima para reportar el cuarto informe se encuentra establecida para el 31 de octubre de 2017, por lo tanto esta iniciativa si bien presenta una ejecución menor al </w:t>
      </w:r>
      <w:r w:rsidR="000834A0" w:rsidRPr="006B57DA">
        <w:rPr>
          <w:rFonts w:ascii="Verdana" w:hAnsi="Verdana"/>
          <w:sz w:val="22"/>
          <w:szCs w:val="20"/>
        </w:rPr>
        <w:lastRenderedPageBreak/>
        <w:t xml:space="preserve">programado, una vez se remita el último informe de los estados financieros, presentará una ejecución cercana al 100% de lo programado. </w:t>
      </w:r>
    </w:p>
    <w:p w:rsidR="00230EAE" w:rsidRPr="006B57DA" w:rsidRDefault="00230EAE" w:rsidP="00EF1092">
      <w:pPr>
        <w:rPr>
          <w:sz w:val="22"/>
          <w:szCs w:val="20"/>
          <w:lang w:val="es-ES"/>
        </w:rPr>
      </w:pPr>
    </w:p>
    <w:p w:rsidR="00230EAE" w:rsidRDefault="00A30E4B" w:rsidP="00230EAE">
      <w:pPr>
        <w:jc w:val="center"/>
        <w:rPr>
          <w:sz w:val="20"/>
          <w:szCs w:val="20"/>
        </w:rPr>
      </w:pPr>
      <w:r w:rsidRPr="004C5315">
        <w:rPr>
          <w:noProof/>
          <w:bdr w:val="single" w:sz="12" w:space="0" w:color="auto"/>
          <w:lang w:eastAsia="es-CO"/>
        </w:rPr>
        <w:drawing>
          <wp:inline distT="0" distB="0" distL="0" distR="0" wp14:anchorId="5D19EFB9" wp14:editId="470E80F2">
            <wp:extent cx="6163966" cy="3336967"/>
            <wp:effectExtent l="0" t="0" r="8255" b="0"/>
            <wp:docPr id="2489" name="Imagen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72200" cy="3341424"/>
                    </a:xfrm>
                    <a:prstGeom prst="rect">
                      <a:avLst/>
                    </a:prstGeom>
                    <a:noFill/>
                    <a:ln>
                      <a:noFill/>
                    </a:ln>
                  </pic:spPr>
                </pic:pic>
              </a:graphicData>
            </a:graphic>
          </wp:inline>
        </w:drawing>
      </w:r>
    </w:p>
    <w:p w:rsidR="00230EAE" w:rsidRPr="00230EAE" w:rsidRDefault="00230EAE" w:rsidP="00EF1092">
      <w:pPr>
        <w:rPr>
          <w:sz w:val="20"/>
          <w:szCs w:val="20"/>
          <w:lang w:val="es-ES"/>
        </w:rPr>
      </w:pPr>
    </w:p>
    <w:p w:rsidR="00EF1092" w:rsidRPr="006B57DA" w:rsidRDefault="00EF1092" w:rsidP="00EF1092">
      <w:pPr>
        <w:pStyle w:val="epgrafe"/>
        <w:spacing w:before="0" w:beforeAutospacing="0" w:after="0" w:afterAutospacing="0"/>
        <w:rPr>
          <w:rFonts w:ascii="Verdana" w:hAnsi="Verdana"/>
          <w:bCs/>
          <w:sz w:val="22"/>
          <w:szCs w:val="20"/>
          <w:lang w:val="es-CO"/>
        </w:rPr>
      </w:pPr>
      <w:r w:rsidRPr="006B57DA">
        <w:rPr>
          <w:rFonts w:ascii="Verdana" w:hAnsi="Verdana"/>
          <w:b/>
          <w:bCs/>
          <w:sz w:val="22"/>
          <w:szCs w:val="20"/>
          <w:lang w:val="es-CO"/>
        </w:rPr>
        <w:t>3. Cumplir oportunamente con la programación de las solicitudes de recursos al MHCP</w:t>
      </w:r>
      <w:r w:rsidRPr="006B57DA">
        <w:rPr>
          <w:rFonts w:ascii="Verdana" w:hAnsi="Verdana"/>
          <w:bCs/>
          <w:sz w:val="22"/>
          <w:szCs w:val="20"/>
          <w:lang w:val="es-CO"/>
        </w:rPr>
        <w:t xml:space="preserve">. </w:t>
      </w:r>
    </w:p>
    <w:p w:rsidR="00EF1092" w:rsidRPr="006B57DA" w:rsidRDefault="00EF1092" w:rsidP="00EF1092">
      <w:pPr>
        <w:pStyle w:val="epgrafe"/>
        <w:spacing w:before="0" w:beforeAutospacing="0" w:after="0" w:afterAutospacing="0"/>
        <w:rPr>
          <w:rFonts w:ascii="Verdana" w:hAnsi="Verdana"/>
          <w:bCs/>
          <w:sz w:val="22"/>
          <w:szCs w:val="20"/>
          <w:lang w:val="es-CO"/>
        </w:rPr>
      </w:pPr>
    </w:p>
    <w:p w:rsidR="00EF1092" w:rsidRPr="006B57DA" w:rsidRDefault="000834A0" w:rsidP="00EF1092">
      <w:pPr>
        <w:pStyle w:val="Sinespaciado"/>
        <w:jc w:val="both"/>
        <w:rPr>
          <w:rFonts w:ascii="Verdana" w:hAnsi="Verdana"/>
          <w:bCs/>
          <w:szCs w:val="20"/>
        </w:rPr>
      </w:pPr>
      <w:r w:rsidRPr="006B57DA">
        <w:rPr>
          <w:rFonts w:ascii="Verdana" w:hAnsi="Verdana"/>
          <w:bCs/>
          <w:szCs w:val="20"/>
        </w:rPr>
        <w:t xml:space="preserve">Esta iniciativa cuenta con una ejecución del 95% frente a la meta establecida para el año 2017. </w:t>
      </w:r>
      <w:r w:rsidR="00EF1092" w:rsidRPr="006B57DA">
        <w:rPr>
          <w:rFonts w:ascii="Verdana" w:hAnsi="Verdana"/>
          <w:bCs/>
          <w:szCs w:val="20"/>
        </w:rPr>
        <w:t xml:space="preserve">La Subdirección de Finanzas y Presupuesto,  emitió los memorandos 2017IE0000027 de fecha 4 de Enero de 2017 y 2017IE0006063 de fecha 8 de Junio de 2017, mediante los cuales se estableció el cronograma de programación del PAC para el primer y segundo semestre del año respectivamente, es de anotar que dicha comunicación fue divulgada por el correo institucional con destino a todo el personal del Ministerio en la fecha señalada. Adicionalmente, Se solicitaron al Ministerio de Hacienda y Crédito público las modificaciones al PAC requeridas para el periodo de enero a septiembre </w:t>
      </w:r>
      <w:r w:rsidR="00EF1092" w:rsidRPr="006B57DA">
        <w:rPr>
          <w:rFonts w:ascii="Verdana" w:hAnsi="Verdana"/>
          <w:bCs/>
          <w:szCs w:val="20"/>
        </w:rPr>
        <w:lastRenderedPageBreak/>
        <w:t xml:space="preserve">de 2017, de acuerdo a las solicitudes presentadas por cada una de las áreas de la entidad. Y seguidamente, Se realizó el seguimiento correspondiente al PAC del periodo 01 de Enero a 30 de septiembre de 2017 mediante el Indicador de PAC No Utilizado INANUT. </w:t>
      </w:r>
    </w:p>
    <w:p w:rsidR="00EF1092" w:rsidRPr="006B57DA" w:rsidRDefault="00EF1092" w:rsidP="00EF1092">
      <w:pPr>
        <w:pStyle w:val="Sinespaciado"/>
        <w:jc w:val="both"/>
        <w:rPr>
          <w:rFonts w:ascii="Verdana" w:hAnsi="Verdana"/>
          <w:bCs/>
          <w:szCs w:val="20"/>
        </w:rPr>
      </w:pPr>
    </w:p>
    <w:p w:rsidR="00EF1092" w:rsidRPr="006B57DA" w:rsidRDefault="00EF1092" w:rsidP="00EF1092">
      <w:pPr>
        <w:pStyle w:val="Sinespaciado"/>
        <w:jc w:val="both"/>
        <w:rPr>
          <w:rFonts w:ascii="Verdana" w:hAnsi="Verdana"/>
          <w:bCs/>
          <w:szCs w:val="20"/>
        </w:rPr>
      </w:pPr>
      <w:r w:rsidRPr="006B57DA">
        <w:rPr>
          <w:rFonts w:ascii="Verdana" w:hAnsi="Verdana"/>
          <w:bCs/>
          <w:szCs w:val="20"/>
        </w:rPr>
        <w:t xml:space="preserve">Por otra parte, el PAC ejecutando desde enero a septiembre es de </w:t>
      </w:r>
      <w:r w:rsidRPr="006B57DA">
        <w:rPr>
          <w:rFonts w:ascii="Verdana" w:hAnsi="Verdana"/>
          <w:szCs w:val="20"/>
        </w:rPr>
        <w:t>$1.444.303.934.074,14  y el solicitado de $1.504.932.749.455,32,</w:t>
      </w:r>
      <w:r w:rsidRPr="006B57DA">
        <w:rPr>
          <w:rFonts w:ascii="Verdana" w:hAnsi="Verdana"/>
          <w:bCs/>
          <w:szCs w:val="20"/>
        </w:rPr>
        <w:t xml:space="preserve"> presentando un promedi</w:t>
      </w:r>
      <w:r w:rsidR="00D92978" w:rsidRPr="006B57DA">
        <w:rPr>
          <w:rFonts w:ascii="Verdana" w:hAnsi="Verdana"/>
          <w:bCs/>
          <w:szCs w:val="20"/>
        </w:rPr>
        <w:t>o acumulado de ejecución del 95</w:t>
      </w:r>
      <w:r w:rsidRPr="006B57DA">
        <w:rPr>
          <w:rFonts w:ascii="Verdana" w:hAnsi="Verdana"/>
          <w:bCs/>
          <w:szCs w:val="20"/>
        </w:rPr>
        <w:t xml:space="preserve">%. </w:t>
      </w:r>
    </w:p>
    <w:p w:rsidR="00EF1092" w:rsidRPr="00230EAE" w:rsidRDefault="00EF1092" w:rsidP="00EF1092">
      <w:pPr>
        <w:rPr>
          <w:sz w:val="20"/>
          <w:szCs w:val="20"/>
        </w:rPr>
      </w:pPr>
    </w:p>
    <w:p w:rsidR="00F717E0" w:rsidRDefault="00A30E4B" w:rsidP="00F717E0">
      <w:pPr>
        <w:pStyle w:val="epgrafe"/>
        <w:jc w:val="center"/>
        <w:rPr>
          <w:rFonts w:ascii="Verdana" w:hAnsi="Verdana"/>
          <w:sz w:val="20"/>
          <w:szCs w:val="20"/>
        </w:rPr>
      </w:pPr>
      <w:r w:rsidRPr="004C5315">
        <w:rPr>
          <w:noProof/>
          <w:bdr w:val="single" w:sz="12" w:space="0" w:color="auto"/>
          <w:lang w:val="es-CO" w:eastAsia="es-CO"/>
        </w:rPr>
        <w:drawing>
          <wp:inline distT="0" distB="0" distL="0" distR="0" wp14:anchorId="452C070B" wp14:editId="451712A1">
            <wp:extent cx="8253350" cy="4453247"/>
            <wp:effectExtent l="0" t="0" r="0" b="5080"/>
            <wp:docPr id="2490" name="Imagen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58175" cy="4455850"/>
                    </a:xfrm>
                    <a:prstGeom prst="rect">
                      <a:avLst/>
                    </a:prstGeom>
                    <a:noFill/>
                    <a:ln>
                      <a:noFill/>
                    </a:ln>
                  </pic:spPr>
                </pic:pic>
              </a:graphicData>
            </a:graphic>
          </wp:inline>
        </w:drawing>
      </w:r>
    </w:p>
    <w:p w:rsidR="00D37968" w:rsidRPr="008843E7" w:rsidRDefault="008742A6" w:rsidP="008843E7">
      <w:pPr>
        <w:pStyle w:val="Ttulo2"/>
        <w:rPr>
          <w:rFonts w:ascii="Verdana" w:eastAsia="Arial Narrow" w:hAnsi="Verdana"/>
        </w:rPr>
      </w:pPr>
      <w:bookmarkStart w:id="13" w:name="_Toc496861737"/>
      <w:r>
        <w:rPr>
          <w:rFonts w:ascii="Verdana" w:eastAsia="Arial Narrow" w:hAnsi="Verdana"/>
          <w:noProof/>
          <w:lang w:val="es-CO" w:eastAsia="es-CO"/>
        </w:rPr>
        <w:lastRenderedPageBreak/>
        <w:drawing>
          <wp:anchor distT="0" distB="0" distL="114300" distR="114300" simplePos="0" relativeHeight="251929600" behindDoc="0" locked="0" layoutInCell="1" allowOverlap="1" wp14:anchorId="4AA2DAD6" wp14:editId="64B22BF7">
            <wp:simplePos x="0" y="0"/>
            <wp:positionH relativeFrom="column">
              <wp:posOffset>6951345</wp:posOffset>
            </wp:positionH>
            <wp:positionV relativeFrom="paragraph">
              <wp:posOffset>80645</wp:posOffset>
            </wp:positionV>
            <wp:extent cx="904875" cy="1276350"/>
            <wp:effectExtent l="0" t="0" r="9525" b="0"/>
            <wp:wrapSquare wrapText="bothSides"/>
            <wp:docPr id="24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amarillo.png"/>
                    <pic:cNvPicPr/>
                  </pic:nvPicPr>
                  <pic:blipFill>
                    <a:blip r:embed="rId33">
                      <a:extLst>
                        <a:ext uri="{28A0092B-C50C-407E-A947-70E740481C1C}">
                          <a14:useLocalDpi xmlns:a14="http://schemas.microsoft.com/office/drawing/2010/main" val="0"/>
                        </a:ext>
                      </a:extLst>
                    </a:blip>
                    <a:stretch>
                      <a:fillRect/>
                    </a:stretch>
                  </pic:blipFill>
                  <pic:spPr>
                    <a:xfrm>
                      <a:off x="0" y="0"/>
                      <a:ext cx="904875" cy="1276350"/>
                    </a:xfrm>
                    <a:prstGeom prst="rect">
                      <a:avLst/>
                    </a:prstGeom>
                  </pic:spPr>
                </pic:pic>
              </a:graphicData>
            </a:graphic>
            <wp14:sizeRelH relativeFrom="page">
              <wp14:pctWidth>0</wp14:pctWidth>
            </wp14:sizeRelH>
            <wp14:sizeRelV relativeFrom="page">
              <wp14:pctHeight>0</wp14:pctHeight>
            </wp14:sizeRelV>
          </wp:anchor>
        </w:drawing>
      </w:r>
      <w:r w:rsidR="003F410B" w:rsidRPr="008843E7">
        <w:rPr>
          <w:rFonts w:ascii="Verdana" w:eastAsia="Arial Narrow" w:hAnsi="Verdana"/>
        </w:rPr>
        <w:t xml:space="preserve">4 </w:t>
      </w:r>
      <w:r w:rsidR="00637D97" w:rsidRPr="008843E7">
        <w:rPr>
          <w:rFonts w:ascii="Verdana" w:eastAsia="Arial Narrow" w:hAnsi="Verdana"/>
        </w:rPr>
        <w:t>SUBDIRECCIÓN DE SERVICIOS ADMINISTRATIVOS</w:t>
      </w:r>
      <w:bookmarkEnd w:id="13"/>
    </w:p>
    <w:p w:rsidR="00D37968" w:rsidRPr="00DA6068" w:rsidRDefault="00D37968" w:rsidP="00F62B2F">
      <w:pPr>
        <w:pStyle w:val="Prrafodelista"/>
        <w:spacing w:after="0" w:line="240" w:lineRule="auto"/>
        <w:ind w:left="0"/>
        <w:rPr>
          <w:rFonts w:eastAsia="Arial Narrow"/>
          <w:sz w:val="28"/>
          <w:szCs w:val="28"/>
        </w:rPr>
      </w:pPr>
      <w:r w:rsidRPr="00DA6068">
        <w:rPr>
          <w:rFonts w:eastAsia="Arial Narrow"/>
          <w:sz w:val="28"/>
          <w:szCs w:val="28"/>
        </w:rPr>
        <w:t xml:space="preserve">Subdirector: Dr. </w:t>
      </w:r>
      <w:r w:rsidR="009B7D8C" w:rsidRPr="009B7D8C">
        <w:rPr>
          <w:rFonts w:eastAsia="Arial Narrow"/>
          <w:sz w:val="28"/>
          <w:szCs w:val="28"/>
        </w:rPr>
        <w:t xml:space="preserve">Nelson David </w:t>
      </w:r>
      <w:proofErr w:type="spellStart"/>
      <w:r w:rsidR="009B7D8C" w:rsidRPr="009B7D8C">
        <w:rPr>
          <w:rFonts w:eastAsia="Arial Narrow"/>
          <w:sz w:val="28"/>
          <w:szCs w:val="28"/>
        </w:rPr>
        <w:t>Gutierrez</w:t>
      </w:r>
      <w:proofErr w:type="spellEnd"/>
      <w:r w:rsidR="009B7D8C" w:rsidRPr="009B7D8C">
        <w:rPr>
          <w:rFonts w:eastAsia="Arial Narrow"/>
          <w:sz w:val="28"/>
          <w:szCs w:val="28"/>
        </w:rPr>
        <w:t xml:space="preserve"> Olaya </w:t>
      </w:r>
    </w:p>
    <w:tbl>
      <w:tblPr>
        <w:tblpPr w:leftFromText="141" w:rightFromText="141" w:vertAnchor="text" w:horzAnchor="margin" w:tblpY="352"/>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48"/>
        <w:gridCol w:w="1724"/>
        <w:gridCol w:w="3049"/>
        <w:gridCol w:w="1715"/>
      </w:tblGrid>
      <w:tr w:rsidR="00DA7FF7" w:rsidRPr="00B1123B" w:rsidTr="00D92978">
        <w:trPr>
          <w:trHeight w:val="513"/>
        </w:trPr>
        <w:tc>
          <w:tcPr>
            <w:tcW w:w="3048" w:type="dxa"/>
            <w:shd w:val="clear" w:color="auto" w:fill="993366"/>
            <w:vAlign w:val="center"/>
          </w:tcPr>
          <w:p w:rsidR="00DA7FF7" w:rsidRPr="00F9219C" w:rsidRDefault="00DA7FF7" w:rsidP="0020721E">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724" w:type="dxa"/>
            <w:shd w:val="clear" w:color="auto" w:fill="auto"/>
            <w:vAlign w:val="center"/>
          </w:tcPr>
          <w:p w:rsidR="00DA7FF7" w:rsidRPr="00F9219C" w:rsidRDefault="00D92978" w:rsidP="0020721E">
            <w:pPr>
              <w:spacing w:after="0" w:line="240" w:lineRule="auto"/>
              <w:ind w:right="20"/>
              <w:jc w:val="center"/>
              <w:rPr>
                <w:rFonts w:eastAsia="Arial Narrow"/>
                <w:b/>
                <w:color w:val="FF0000"/>
              </w:rPr>
            </w:pPr>
            <w:r w:rsidRPr="00D92978">
              <w:rPr>
                <w:rFonts w:eastAsia="Arial Narrow"/>
                <w:b/>
              </w:rPr>
              <w:t>80.85%</w:t>
            </w:r>
          </w:p>
        </w:tc>
        <w:tc>
          <w:tcPr>
            <w:tcW w:w="3049" w:type="dxa"/>
            <w:shd w:val="clear" w:color="auto" w:fill="993366"/>
          </w:tcPr>
          <w:p w:rsidR="00DA7FF7" w:rsidRPr="00B1123B" w:rsidRDefault="00DA7FF7" w:rsidP="0020721E">
            <w:pPr>
              <w:spacing w:after="0" w:line="240" w:lineRule="auto"/>
              <w:ind w:right="20"/>
              <w:jc w:val="center"/>
              <w:rPr>
                <w:rFonts w:eastAsia="Arial Narrow"/>
              </w:rPr>
            </w:pPr>
            <w:r w:rsidRPr="007E4FEC">
              <w:rPr>
                <w:rFonts w:eastAsia="Arial Narrow"/>
                <w:b/>
                <w:color w:val="FFFFFF" w:themeColor="background1"/>
              </w:rPr>
              <w:t xml:space="preserve">Número de </w:t>
            </w:r>
            <w:r>
              <w:rPr>
                <w:rFonts w:eastAsia="Arial Narrow"/>
                <w:b/>
                <w:color w:val="FFFFFF" w:themeColor="background1"/>
              </w:rPr>
              <w:t xml:space="preserve">Iniciativas </w:t>
            </w:r>
          </w:p>
        </w:tc>
        <w:tc>
          <w:tcPr>
            <w:tcW w:w="1715" w:type="dxa"/>
            <w:vAlign w:val="center"/>
          </w:tcPr>
          <w:p w:rsidR="00DA7FF7" w:rsidRPr="00307938" w:rsidRDefault="006E1539" w:rsidP="0020721E">
            <w:pPr>
              <w:spacing w:after="0" w:line="240" w:lineRule="auto"/>
              <w:ind w:right="20"/>
              <w:jc w:val="center"/>
              <w:rPr>
                <w:rFonts w:eastAsia="Arial Narrow"/>
                <w:b/>
              </w:rPr>
            </w:pPr>
            <w:r>
              <w:rPr>
                <w:rFonts w:eastAsia="Arial Narrow"/>
                <w:b/>
              </w:rPr>
              <w:t>8</w:t>
            </w:r>
          </w:p>
        </w:tc>
      </w:tr>
    </w:tbl>
    <w:p w:rsidR="005A322B" w:rsidRPr="005A322B" w:rsidRDefault="005A322B" w:rsidP="005A322B">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DA7FF7" w:rsidRDefault="00DA7FF7" w:rsidP="005A322B">
      <w:pPr>
        <w:spacing w:after="0" w:line="240" w:lineRule="auto"/>
        <w:rPr>
          <w:rFonts w:cs="FuturaStd-ExtraBold"/>
          <w:bCs/>
          <w:szCs w:val="20"/>
        </w:rPr>
      </w:pPr>
    </w:p>
    <w:p w:rsidR="00DA7FF7" w:rsidRDefault="00DA7FF7" w:rsidP="005A322B">
      <w:pPr>
        <w:spacing w:after="0" w:line="240" w:lineRule="auto"/>
        <w:rPr>
          <w:rFonts w:cs="FuturaStd-ExtraBold"/>
          <w:bCs/>
          <w:szCs w:val="20"/>
        </w:rPr>
      </w:pPr>
    </w:p>
    <w:p w:rsidR="00535FB9" w:rsidRPr="006B57DA" w:rsidRDefault="005A322B" w:rsidP="005A322B">
      <w:pPr>
        <w:spacing w:after="0" w:line="240" w:lineRule="auto"/>
        <w:rPr>
          <w:rFonts w:cs="FuturaStd-ExtraBold"/>
          <w:bCs/>
          <w:sz w:val="22"/>
        </w:rPr>
      </w:pPr>
      <w:r w:rsidRPr="006B57DA">
        <w:rPr>
          <w:rFonts w:cs="FuturaStd-ExtraBold"/>
          <w:bCs/>
          <w:sz w:val="22"/>
        </w:rPr>
        <w:t xml:space="preserve">La subdirección es responsable de </w:t>
      </w:r>
      <w:r w:rsidR="006E1539" w:rsidRPr="006B57DA">
        <w:rPr>
          <w:rFonts w:cs="FuturaStd-ExtraBold"/>
          <w:bCs/>
          <w:sz w:val="22"/>
        </w:rPr>
        <w:t xml:space="preserve">8 iniciativas </w:t>
      </w:r>
      <w:r w:rsidR="00B4708C" w:rsidRPr="006B57DA">
        <w:rPr>
          <w:rFonts w:cs="FuturaStd-ExtraBold"/>
          <w:bCs/>
          <w:sz w:val="22"/>
        </w:rPr>
        <w:t>enumerada</w:t>
      </w:r>
      <w:r w:rsidRPr="006B57DA">
        <w:rPr>
          <w:rFonts w:cs="FuturaStd-ExtraBold"/>
          <w:bCs/>
          <w:sz w:val="22"/>
        </w:rPr>
        <w:t>s a continuación junto con la gestión realizada en cada uno de ell</w:t>
      </w:r>
      <w:r w:rsidR="00B4708C" w:rsidRPr="006B57DA">
        <w:rPr>
          <w:rFonts w:cs="FuturaStd-ExtraBold"/>
          <w:bCs/>
          <w:sz w:val="22"/>
        </w:rPr>
        <w:t>a</w:t>
      </w:r>
      <w:r w:rsidRPr="006B57DA">
        <w:rPr>
          <w:rFonts w:cs="FuturaStd-ExtraBold"/>
          <w:bCs/>
          <w:sz w:val="22"/>
        </w:rPr>
        <w:t xml:space="preserve">s: </w:t>
      </w:r>
    </w:p>
    <w:p w:rsidR="00FD176A" w:rsidRPr="006B57DA" w:rsidRDefault="00FD176A" w:rsidP="00FD176A">
      <w:pPr>
        <w:spacing w:after="0" w:line="240" w:lineRule="auto"/>
        <w:rPr>
          <w:rFonts w:cs="FuturaStd-ExtraBold"/>
          <w:b/>
          <w:bCs/>
          <w:sz w:val="22"/>
        </w:rPr>
      </w:pPr>
    </w:p>
    <w:p w:rsidR="00606597" w:rsidRPr="006B57DA" w:rsidRDefault="0052078E" w:rsidP="00D92978">
      <w:pPr>
        <w:rPr>
          <w:sz w:val="22"/>
        </w:rPr>
      </w:pPr>
      <w:r w:rsidRPr="006B57DA">
        <w:rPr>
          <w:b/>
          <w:sz w:val="22"/>
        </w:rPr>
        <w:t xml:space="preserve">1. </w:t>
      </w:r>
      <w:r w:rsidR="00606597" w:rsidRPr="006B57DA">
        <w:rPr>
          <w:b/>
          <w:sz w:val="22"/>
        </w:rPr>
        <w:t xml:space="preserve">Implementar aspectos que propendan por la transparencia en los procesos de contratación, sometidos a convocatoria pública: </w:t>
      </w:r>
      <w:r w:rsidR="00606597" w:rsidRPr="006B57DA">
        <w:rPr>
          <w:sz w:val="22"/>
        </w:rPr>
        <w:t xml:space="preserve">Esta iniciativa es medida por el cumplimiento de cuatro </w:t>
      </w:r>
      <w:r w:rsidR="00361388" w:rsidRPr="006B57DA">
        <w:rPr>
          <w:sz w:val="22"/>
        </w:rPr>
        <w:t>actividades, dentro de las cuales la primera está programada para iniciar el octubre, motivo por el cual no se tiene reporte de avance.</w:t>
      </w:r>
    </w:p>
    <w:p w:rsidR="00361388" w:rsidRPr="006B57DA" w:rsidRDefault="00361388" w:rsidP="00D92978">
      <w:pPr>
        <w:rPr>
          <w:sz w:val="22"/>
        </w:rPr>
      </w:pPr>
      <w:r w:rsidRPr="006B57DA">
        <w:rPr>
          <w:sz w:val="22"/>
        </w:rPr>
        <w:t>Las otras 3 actividades son las siguientes:</w:t>
      </w:r>
    </w:p>
    <w:p w:rsidR="00361388" w:rsidRPr="006B57DA" w:rsidRDefault="00361388" w:rsidP="00D92978">
      <w:pPr>
        <w:pStyle w:val="Prrafodelista"/>
        <w:numPr>
          <w:ilvl w:val="0"/>
          <w:numId w:val="9"/>
        </w:numPr>
        <w:rPr>
          <w:rFonts w:cs="Times New Roman"/>
          <w:sz w:val="22"/>
        </w:rPr>
      </w:pPr>
      <w:r w:rsidRPr="006B57DA">
        <w:rPr>
          <w:b/>
          <w:sz w:val="22"/>
        </w:rPr>
        <w:t>C</w:t>
      </w:r>
      <w:r w:rsidR="00F11EDD" w:rsidRPr="006B57DA">
        <w:rPr>
          <w:b/>
          <w:sz w:val="22"/>
        </w:rPr>
        <w:t>rea</w:t>
      </w:r>
      <w:r w:rsidRPr="006B57DA">
        <w:rPr>
          <w:b/>
          <w:sz w:val="22"/>
        </w:rPr>
        <w:t>r</w:t>
      </w:r>
      <w:r w:rsidR="00F11EDD" w:rsidRPr="006B57DA">
        <w:rPr>
          <w:b/>
          <w:sz w:val="22"/>
        </w:rPr>
        <w:t xml:space="preserve"> un link para que los usuarios </w:t>
      </w:r>
      <w:r w:rsidRPr="006B57DA">
        <w:rPr>
          <w:b/>
          <w:sz w:val="22"/>
        </w:rPr>
        <w:t xml:space="preserve">para que los usuarios </w:t>
      </w:r>
      <w:r w:rsidR="00F11EDD" w:rsidRPr="006B57DA">
        <w:rPr>
          <w:b/>
          <w:sz w:val="22"/>
        </w:rPr>
        <w:t>manifiesten interés en la participación de los procesos de selec</w:t>
      </w:r>
      <w:r w:rsidR="00606597" w:rsidRPr="006B57DA">
        <w:rPr>
          <w:b/>
          <w:sz w:val="22"/>
        </w:rPr>
        <w:t>ción abreviada de menor cuantía</w:t>
      </w:r>
      <w:r w:rsidRPr="006B57DA">
        <w:rPr>
          <w:sz w:val="22"/>
        </w:rPr>
        <w:t>:</w:t>
      </w:r>
      <w:r w:rsidR="00606597" w:rsidRPr="006B57DA">
        <w:rPr>
          <w:sz w:val="22"/>
        </w:rPr>
        <w:t xml:space="preserve"> </w:t>
      </w:r>
      <w:r w:rsidRPr="006B57DA">
        <w:rPr>
          <w:sz w:val="22"/>
        </w:rPr>
        <w:t>E</w:t>
      </w:r>
      <w:r w:rsidR="00606597" w:rsidRPr="006B57DA">
        <w:rPr>
          <w:sz w:val="22"/>
        </w:rPr>
        <w:t>stá</w:t>
      </w:r>
      <w:r w:rsidR="00F11EDD" w:rsidRPr="006B57DA">
        <w:rPr>
          <w:sz w:val="22"/>
        </w:rPr>
        <w:t xml:space="preserve"> publicado en la página web del M</w:t>
      </w:r>
      <w:r w:rsidR="00B4708C" w:rsidRPr="006B57DA">
        <w:rPr>
          <w:sz w:val="22"/>
        </w:rPr>
        <w:t>VCT</w:t>
      </w:r>
      <w:r w:rsidR="00606597" w:rsidRPr="006B57DA">
        <w:rPr>
          <w:sz w:val="22"/>
        </w:rPr>
        <w:t xml:space="preserve"> </w:t>
      </w:r>
      <w:r w:rsidR="00F11EDD" w:rsidRPr="006B57DA">
        <w:rPr>
          <w:sz w:val="22"/>
        </w:rPr>
        <w:t xml:space="preserve">en el Link </w:t>
      </w:r>
      <w:hyperlink r:id="rId36" w:history="1">
        <w:r w:rsidR="00F11EDD" w:rsidRPr="006B57DA">
          <w:rPr>
            <w:rStyle w:val="Hipervnculo"/>
            <w:color w:val="auto"/>
            <w:sz w:val="22"/>
          </w:rPr>
          <w:t>www.sicofi.minvivienda.gov.co</w:t>
        </w:r>
      </w:hyperlink>
      <w:r w:rsidR="00F11EDD" w:rsidRPr="006B57DA">
        <w:rPr>
          <w:sz w:val="22"/>
        </w:rPr>
        <w:t xml:space="preserve">. </w:t>
      </w:r>
    </w:p>
    <w:p w:rsidR="00361388" w:rsidRPr="006B57DA" w:rsidRDefault="00361388" w:rsidP="00D92978">
      <w:pPr>
        <w:pStyle w:val="Prrafodelista"/>
        <w:numPr>
          <w:ilvl w:val="0"/>
          <w:numId w:val="9"/>
        </w:numPr>
        <w:rPr>
          <w:rFonts w:cs="Times New Roman"/>
          <w:sz w:val="22"/>
        </w:rPr>
      </w:pPr>
      <w:r w:rsidRPr="006B57DA">
        <w:rPr>
          <w:b/>
          <w:sz w:val="22"/>
        </w:rPr>
        <w:t>Publicación del manual de contratación actualizado</w:t>
      </w:r>
      <w:r w:rsidRPr="006B57DA">
        <w:rPr>
          <w:sz w:val="22"/>
        </w:rPr>
        <w:t xml:space="preserve">: Para la publicación del manual de contratación actualizado el 27 de enero de 2017 se envió por correo electrónico masivo a todos los funcionarios y contratistas del Ministerio el cronograma para la asistencia de las áreas </w:t>
      </w:r>
      <w:r w:rsidRPr="006B57DA">
        <w:rPr>
          <w:rFonts w:cs="Arial"/>
          <w:sz w:val="22"/>
        </w:rPr>
        <w:t xml:space="preserve">y representantes designados por cada grupo los cuales plantearon las observaciones, sugerencias y comentarios puntuales al Manual de Contratación, las cuales fueron socializadas.  </w:t>
      </w:r>
    </w:p>
    <w:p w:rsidR="00361388" w:rsidRPr="006B57DA" w:rsidRDefault="00361388" w:rsidP="00D92978">
      <w:pPr>
        <w:pStyle w:val="Prrafodelista"/>
        <w:numPr>
          <w:ilvl w:val="0"/>
          <w:numId w:val="9"/>
        </w:numPr>
        <w:rPr>
          <w:sz w:val="22"/>
        </w:rPr>
      </w:pPr>
      <w:r w:rsidRPr="006B57DA">
        <w:rPr>
          <w:b/>
          <w:sz w:val="22"/>
        </w:rPr>
        <w:t>Porcentaje de procesos de contratación desiertos</w:t>
      </w:r>
      <w:r w:rsidR="00C34B07" w:rsidRPr="006B57DA">
        <w:rPr>
          <w:b/>
          <w:sz w:val="22"/>
        </w:rPr>
        <w:t xml:space="preserve">: </w:t>
      </w:r>
      <w:r w:rsidR="00C34B07" w:rsidRPr="006B57DA">
        <w:rPr>
          <w:sz w:val="22"/>
        </w:rPr>
        <w:t xml:space="preserve">Durante el </w:t>
      </w:r>
      <w:r w:rsidR="00EF1092" w:rsidRPr="006B57DA">
        <w:rPr>
          <w:sz w:val="22"/>
        </w:rPr>
        <w:t>tercer trimestre</w:t>
      </w:r>
      <w:r w:rsidR="00C34B07" w:rsidRPr="006B57DA">
        <w:rPr>
          <w:sz w:val="22"/>
        </w:rPr>
        <w:t xml:space="preserve"> el porcentaje de procesos de contratación desiertos se sitúa en </w:t>
      </w:r>
      <w:r w:rsidR="00D07705" w:rsidRPr="006B57DA">
        <w:rPr>
          <w:sz w:val="22"/>
        </w:rPr>
        <w:t>8.70%</w:t>
      </w:r>
      <w:r w:rsidR="00EF1092" w:rsidRPr="006B57DA">
        <w:rPr>
          <w:sz w:val="22"/>
        </w:rPr>
        <w:t>.</w:t>
      </w:r>
    </w:p>
    <w:p w:rsidR="00F11EDD" w:rsidRPr="006B57DA" w:rsidRDefault="0052078E" w:rsidP="00D92978">
      <w:pPr>
        <w:rPr>
          <w:sz w:val="22"/>
        </w:rPr>
      </w:pPr>
      <w:r w:rsidRPr="006B57DA">
        <w:rPr>
          <w:b/>
          <w:sz w:val="22"/>
        </w:rPr>
        <w:t xml:space="preserve">2. </w:t>
      </w:r>
      <w:r w:rsidR="00F11EDD" w:rsidRPr="006B57DA">
        <w:rPr>
          <w:b/>
          <w:sz w:val="22"/>
        </w:rPr>
        <w:t>Sensibilizar el buen desarrollo de la actividad de la supervisión contractual</w:t>
      </w:r>
      <w:r w:rsidR="0023327E" w:rsidRPr="006B57DA">
        <w:rPr>
          <w:b/>
          <w:sz w:val="22"/>
        </w:rPr>
        <w:t>:</w:t>
      </w:r>
      <w:r w:rsidR="00F11EDD" w:rsidRPr="006B57DA">
        <w:rPr>
          <w:sz w:val="22"/>
        </w:rPr>
        <w:t xml:space="preserve"> desarrolla tres actividades </w:t>
      </w:r>
      <w:r w:rsidR="006068DC" w:rsidRPr="006B57DA">
        <w:rPr>
          <w:sz w:val="22"/>
        </w:rPr>
        <w:t>así: P</w:t>
      </w:r>
      <w:r w:rsidR="00F11EDD" w:rsidRPr="006B57DA">
        <w:rPr>
          <w:sz w:val="22"/>
        </w:rPr>
        <w:t xml:space="preserve">reparación de 6 talleres de sensibilización en temas de contratación, </w:t>
      </w:r>
      <w:r w:rsidR="0023327E" w:rsidRPr="006B57DA">
        <w:rPr>
          <w:sz w:val="22"/>
        </w:rPr>
        <w:t>r</w:t>
      </w:r>
      <w:r w:rsidR="00F11EDD" w:rsidRPr="006B57DA">
        <w:rPr>
          <w:sz w:val="22"/>
        </w:rPr>
        <w:t xml:space="preserve">ealizar las convocatorias para la asistencia de funcionarios y contratistas  y su respectiva ejecución. </w:t>
      </w:r>
      <w:r w:rsidR="0023327E" w:rsidRPr="006B57DA">
        <w:rPr>
          <w:sz w:val="22"/>
        </w:rPr>
        <w:t>A la fecha presenta un avance d</w:t>
      </w:r>
      <w:r w:rsidR="00F11EDD" w:rsidRPr="006B57DA">
        <w:rPr>
          <w:sz w:val="22"/>
        </w:rPr>
        <w:t>el 50% de las actividades.</w:t>
      </w:r>
      <w:r w:rsidR="00F11EDD" w:rsidRPr="006B57DA">
        <w:rPr>
          <w:b/>
          <w:sz w:val="22"/>
        </w:rPr>
        <w:t xml:space="preserve"> </w:t>
      </w:r>
    </w:p>
    <w:p w:rsidR="00F242DB" w:rsidRPr="006B57DA" w:rsidRDefault="0052078E" w:rsidP="00D92978">
      <w:pPr>
        <w:spacing w:after="0" w:line="240" w:lineRule="auto"/>
        <w:rPr>
          <w:sz w:val="22"/>
        </w:rPr>
      </w:pPr>
      <w:r w:rsidRPr="006B57DA">
        <w:rPr>
          <w:b/>
          <w:sz w:val="22"/>
        </w:rPr>
        <w:t xml:space="preserve">3. </w:t>
      </w:r>
      <w:r w:rsidR="006068DC" w:rsidRPr="006B57DA">
        <w:rPr>
          <w:b/>
          <w:sz w:val="22"/>
        </w:rPr>
        <w:t>Programación presupuestal de gastos generales</w:t>
      </w:r>
      <w:r w:rsidR="00F71D5E" w:rsidRPr="006B57DA">
        <w:rPr>
          <w:b/>
          <w:sz w:val="22"/>
        </w:rPr>
        <w:t>: En</w:t>
      </w:r>
      <w:r w:rsidR="00C34B07" w:rsidRPr="006B57DA">
        <w:rPr>
          <w:sz w:val="22"/>
        </w:rPr>
        <w:t xml:space="preserve"> el mes de enero la subdirección administrativa realizó la programación presupuestal de gastos generales.</w:t>
      </w:r>
    </w:p>
    <w:p w:rsidR="00C34B07" w:rsidRPr="006B57DA" w:rsidRDefault="00C34B07" w:rsidP="00F242DB">
      <w:pPr>
        <w:spacing w:after="0" w:line="240" w:lineRule="auto"/>
        <w:rPr>
          <w:i/>
          <w:sz w:val="22"/>
        </w:rPr>
      </w:pPr>
    </w:p>
    <w:p w:rsidR="00EF1092" w:rsidRPr="006B57DA" w:rsidRDefault="0052078E" w:rsidP="00EF1092">
      <w:pPr>
        <w:spacing w:after="0" w:line="240" w:lineRule="auto"/>
        <w:rPr>
          <w:sz w:val="22"/>
        </w:rPr>
      </w:pPr>
      <w:r w:rsidRPr="006B57DA">
        <w:rPr>
          <w:b/>
          <w:sz w:val="22"/>
        </w:rPr>
        <w:lastRenderedPageBreak/>
        <w:t xml:space="preserve">4. Plan de adquisiciones de gastos generales del MVCT: </w:t>
      </w:r>
      <w:r w:rsidR="00EF1092" w:rsidRPr="006B57DA">
        <w:rPr>
          <w:sz w:val="22"/>
        </w:rPr>
        <w:t>La ejecución acumulada presupuestal de gastos generales en términos de compromiso es de $8.341.419.417,67 equivale al 81.81%.</w:t>
      </w:r>
    </w:p>
    <w:p w:rsidR="00EF1092" w:rsidRPr="006B57DA" w:rsidRDefault="00EF1092" w:rsidP="00EF1092">
      <w:pPr>
        <w:spacing w:after="0" w:line="240" w:lineRule="auto"/>
        <w:rPr>
          <w:sz w:val="22"/>
        </w:rPr>
      </w:pPr>
    </w:p>
    <w:p w:rsidR="00EF1092" w:rsidRPr="006B57DA" w:rsidRDefault="00EF1092" w:rsidP="00EF1092">
      <w:pPr>
        <w:spacing w:after="0" w:line="240" w:lineRule="auto"/>
        <w:rPr>
          <w:sz w:val="22"/>
        </w:rPr>
      </w:pPr>
      <w:r w:rsidRPr="006B57DA">
        <w:rPr>
          <w:sz w:val="22"/>
        </w:rPr>
        <w:t>Las obligaciones acumuladas al cierre del mes es de $3.935.033.987,67 que corresponden al 38.59%.</w:t>
      </w:r>
    </w:p>
    <w:p w:rsidR="00EF1092" w:rsidRPr="006B57DA" w:rsidRDefault="00EF1092" w:rsidP="00EF1092">
      <w:pPr>
        <w:spacing w:after="0" w:line="240" w:lineRule="auto"/>
        <w:rPr>
          <w:sz w:val="22"/>
        </w:rPr>
      </w:pPr>
    </w:p>
    <w:p w:rsidR="00EF1092" w:rsidRDefault="00EF1092" w:rsidP="00EF1092">
      <w:pPr>
        <w:spacing w:after="0" w:line="240" w:lineRule="auto"/>
        <w:rPr>
          <w:sz w:val="20"/>
          <w:szCs w:val="20"/>
        </w:rPr>
      </w:pPr>
    </w:p>
    <w:p w:rsidR="008742A6" w:rsidRDefault="008742A6" w:rsidP="008742A6">
      <w:pPr>
        <w:spacing w:after="0" w:line="240" w:lineRule="auto"/>
        <w:jc w:val="center"/>
        <w:rPr>
          <w:sz w:val="20"/>
          <w:szCs w:val="20"/>
        </w:rPr>
      </w:pPr>
      <w:r w:rsidRPr="00124A49">
        <w:rPr>
          <w:noProof/>
          <w:bdr w:val="single" w:sz="12" w:space="0" w:color="auto"/>
          <w:lang w:eastAsia="es-CO"/>
        </w:rPr>
        <w:drawing>
          <wp:inline distT="0" distB="0" distL="0" distR="0" wp14:anchorId="59808345" wp14:editId="3238DF49">
            <wp:extent cx="6614555" cy="4334493"/>
            <wp:effectExtent l="0" t="0" r="0" b="9525"/>
            <wp:docPr id="2464" name="Imagen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0166" cy="4364382"/>
                    </a:xfrm>
                    <a:prstGeom prst="rect">
                      <a:avLst/>
                    </a:prstGeom>
                    <a:noFill/>
                    <a:ln>
                      <a:noFill/>
                    </a:ln>
                  </pic:spPr>
                </pic:pic>
              </a:graphicData>
            </a:graphic>
          </wp:inline>
        </w:drawing>
      </w:r>
    </w:p>
    <w:p w:rsidR="008742A6" w:rsidRPr="008742A6" w:rsidRDefault="008742A6" w:rsidP="00EF1092">
      <w:pPr>
        <w:spacing w:after="0" w:line="240" w:lineRule="auto"/>
        <w:rPr>
          <w:sz w:val="20"/>
          <w:szCs w:val="20"/>
        </w:rPr>
      </w:pPr>
    </w:p>
    <w:p w:rsidR="0070004E" w:rsidRDefault="0070004E" w:rsidP="0052078E">
      <w:pPr>
        <w:spacing w:after="0" w:line="240" w:lineRule="auto"/>
        <w:rPr>
          <w:b/>
          <w:sz w:val="20"/>
          <w:szCs w:val="20"/>
        </w:rPr>
      </w:pPr>
    </w:p>
    <w:p w:rsidR="0070004E" w:rsidRPr="006B57DA" w:rsidRDefault="0070004E" w:rsidP="0070004E">
      <w:pPr>
        <w:spacing w:after="0" w:line="240" w:lineRule="auto"/>
        <w:rPr>
          <w:sz w:val="22"/>
        </w:rPr>
      </w:pPr>
      <w:r w:rsidRPr="006B57DA">
        <w:rPr>
          <w:sz w:val="22"/>
        </w:rPr>
        <w:t>La apropiación disponible al cierre del mes es $1.475.398.836,36.</w:t>
      </w:r>
    </w:p>
    <w:p w:rsidR="0070004E" w:rsidRPr="006B57DA" w:rsidRDefault="0070004E" w:rsidP="0070004E">
      <w:pPr>
        <w:spacing w:after="0" w:line="240" w:lineRule="auto"/>
        <w:rPr>
          <w:sz w:val="22"/>
        </w:rPr>
      </w:pPr>
    </w:p>
    <w:p w:rsidR="0070004E" w:rsidRPr="006B57DA" w:rsidRDefault="0070004E" w:rsidP="0070004E">
      <w:pPr>
        <w:spacing w:after="0" w:line="240" w:lineRule="auto"/>
        <w:rPr>
          <w:sz w:val="22"/>
        </w:rPr>
      </w:pPr>
      <w:r w:rsidRPr="006B57DA">
        <w:rPr>
          <w:sz w:val="22"/>
        </w:rPr>
        <w:lastRenderedPageBreak/>
        <w:t>Los CDP expedidos y que no se comprometieron al cierre del mes es de $379.245.081,97.</w:t>
      </w:r>
    </w:p>
    <w:p w:rsidR="0070004E" w:rsidRPr="006B57DA" w:rsidRDefault="0070004E" w:rsidP="0070004E">
      <w:pPr>
        <w:spacing w:after="0" w:line="240" w:lineRule="auto"/>
        <w:rPr>
          <w:sz w:val="22"/>
        </w:rPr>
      </w:pPr>
    </w:p>
    <w:p w:rsidR="0070004E" w:rsidRPr="006B57DA" w:rsidRDefault="0070004E" w:rsidP="0070004E">
      <w:pPr>
        <w:spacing w:after="0" w:line="240" w:lineRule="auto"/>
        <w:rPr>
          <w:sz w:val="22"/>
        </w:rPr>
      </w:pPr>
      <w:r w:rsidRPr="006B57DA">
        <w:rPr>
          <w:sz w:val="22"/>
        </w:rPr>
        <w:t xml:space="preserve">El saldo de los compromisos por obligar de las reservas de gastos generales al cierre del mes de julio 2017 es de $541.724.409,00,  donde los valores más representativos son: $7.884.118,00 de arrendamiento de bienes muebles correspondiente al </w:t>
      </w:r>
      <w:proofErr w:type="spellStart"/>
      <w:r w:rsidRPr="006B57DA">
        <w:rPr>
          <w:sz w:val="22"/>
        </w:rPr>
        <w:t>outsourcing</w:t>
      </w:r>
      <w:proofErr w:type="spellEnd"/>
      <w:r w:rsidRPr="006B57DA">
        <w:rPr>
          <w:sz w:val="22"/>
        </w:rPr>
        <w:t xml:space="preserve"> de impresión, viáticos y gastos de viaje de $22.427.098,00 de suministro de tiquetes y la comisión 2016-2707 de Alberto Páez Cuervo, mantenimiento de bienes inmuebles de $498.140.000,00 el mayor valor corresponde a obras en el inmueble de la calle 12C, otros servicios públicos $9.108.323 correspondientes al servicio de internet, otros gastos por impresos y publicaciones de $665.000,00 correspondiente al contrato suscrito con la Imprenta Nacional, combustibles y lubricantes $ 15.401.438,00 saldo de la orden de compra con TERPEL.</w:t>
      </w:r>
    </w:p>
    <w:p w:rsidR="0070004E" w:rsidRPr="006B57DA" w:rsidRDefault="0070004E" w:rsidP="0052078E">
      <w:pPr>
        <w:spacing w:after="0" w:line="240" w:lineRule="auto"/>
        <w:rPr>
          <w:b/>
          <w:sz w:val="22"/>
        </w:rPr>
      </w:pPr>
    </w:p>
    <w:p w:rsidR="0052078E" w:rsidRPr="006B57DA" w:rsidRDefault="0052078E" w:rsidP="0052078E">
      <w:pPr>
        <w:spacing w:after="0" w:line="240" w:lineRule="auto"/>
        <w:rPr>
          <w:sz w:val="22"/>
        </w:rPr>
      </w:pPr>
      <w:r w:rsidRPr="006B57DA">
        <w:rPr>
          <w:b/>
          <w:sz w:val="22"/>
        </w:rPr>
        <w:t>5. Diagnosticar las condiciones de la infraestructura del MVCT</w:t>
      </w:r>
      <w:r w:rsidRPr="006B57DA">
        <w:rPr>
          <w:sz w:val="22"/>
        </w:rPr>
        <w:t>: Durante el primer semestre se realizó el diagnóstico de las condiciones de infraestructura del MVCT, el cual se tomó como insumo para realizar las mejoras en el Ministerio.</w:t>
      </w:r>
    </w:p>
    <w:p w:rsidR="0052078E" w:rsidRPr="006B57DA" w:rsidRDefault="0052078E" w:rsidP="0052078E">
      <w:pPr>
        <w:spacing w:after="0" w:line="240" w:lineRule="auto"/>
        <w:rPr>
          <w:sz w:val="22"/>
        </w:rPr>
      </w:pPr>
    </w:p>
    <w:p w:rsidR="00A324EA" w:rsidRPr="006B57DA" w:rsidRDefault="0052078E" w:rsidP="00A324EA">
      <w:pPr>
        <w:spacing w:after="0" w:line="240" w:lineRule="auto"/>
        <w:rPr>
          <w:sz w:val="22"/>
        </w:rPr>
      </w:pPr>
      <w:r w:rsidRPr="006B57DA">
        <w:rPr>
          <w:b/>
          <w:sz w:val="22"/>
        </w:rPr>
        <w:t>6. Mejorar las condiciones de infraestructura del MVCT.</w:t>
      </w:r>
      <w:r w:rsidR="0092108C" w:rsidRPr="006B57DA">
        <w:rPr>
          <w:b/>
          <w:sz w:val="22"/>
        </w:rPr>
        <w:t xml:space="preserve"> </w:t>
      </w:r>
      <w:r w:rsidR="00937C29" w:rsidRPr="006B57DA">
        <w:rPr>
          <w:sz w:val="22"/>
        </w:rPr>
        <w:t xml:space="preserve">Para el periodo de evaluación, la presente iniciativa reporta un avance del </w:t>
      </w:r>
      <w:r w:rsidR="00A324EA" w:rsidRPr="006B57DA">
        <w:rPr>
          <w:sz w:val="22"/>
        </w:rPr>
        <w:t>87.7</w:t>
      </w:r>
      <w:r w:rsidR="00937C29" w:rsidRPr="006B57DA">
        <w:rPr>
          <w:sz w:val="22"/>
        </w:rPr>
        <w:t xml:space="preserve">%, lo anterior </w:t>
      </w:r>
      <w:r w:rsidR="00A324EA" w:rsidRPr="006B57DA">
        <w:rPr>
          <w:sz w:val="22"/>
        </w:rPr>
        <w:t>, De conformidad con el contrato de obra No. 585 de 2017 con objeto “CONTRATAR OBRAS DE ADECUACIÓN PARA LA SEDE DEL MINISTERIO DE VIVIENDA, CIUDAD Y TERRITORIO DENOMINADA HOTEL DANN COLONIAL UBICADA EN LA CIUDAD DE BOGOTÁ D.C.” presentando los siguientes avances con corte a  septiembre: Alistado de pisos, Estuco y vinilos de las viguetas del cielo raso (Filos caras) y, Retiro de escombros  y sobrantes de obra ubicados en el patio. Adicionalmente, en relación al seguimiento de los sistemas, durante el mes de septiembre, se adelantaron trabajos principalmente en el sistema hidrosanitario y de extinción de incendios</w:t>
      </w:r>
    </w:p>
    <w:p w:rsidR="00A324EA" w:rsidRPr="006B57DA" w:rsidRDefault="00A324EA" w:rsidP="009054CD">
      <w:pPr>
        <w:spacing w:after="0" w:line="240" w:lineRule="auto"/>
        <w:rPr>
          <w:b/>
          <w:i/>
          <w:sz w:val="22"/>
        </w:rPr>
      </w:pPr>
    </w:p>
    <w:p w:rsidR="00A324EA" w:rsidRPr="006B57DA" w:rsidRDefault="0092108C" w:rsidP="00A324EA">
      <w:pPr>
        <w:rPr>
          <w:sz w:val="22"/>
        </w:rPr>
      </w:pPr>
      <w:r w:rsidRPr="006B57DA">
        <w:rPr>
          <w:b/>
          <w:sz w:val="22"/>
        </w:rPr>
        <w:t xml:space="preserve">7. </w:t>
      </w:r>
      <w:r w:rsidR="00F71D5E" w:rsidRPr="006B57DA">
        <w:rPr>
          <w:b/>
          <w:sz w:val="22"/>
        </w:rPr>
        <w:t xml:space="preserve">Implementar plan de mantenimiento de los bienes del MVCT: </w:t>
      </w:r>
      <w:r w:rsidR="00A324EA" w:rsidRPr="006B57DA">
        <w:rPr>
          <w:sz w:val="22"/>
        </w:rPr>
        <w:t xml:space="preserve">Durante el mes de septiembre se realizaron veinticuatro (24) acciones de mantenimiento preventivo sobre la infraestructura del Ministerio, de acuerdo a lo establecido en el Programa de mantenimiento, estas actividades de mantenimiento preventivo se realizaron por el personal contratado de la Unión Temporal SEISO. </w:t>
      </w:r>
    </w:p>
    <w:p w:rsidR="00A324EA" w:rsidRPr="006B57DA" w:rsidRDefault="00A324EA" w:rsidP="00A324EA">
      <w:pPr>
        <w:rPr>
          <w:sz w:val="22"/>
        </w:rPr>
      </w:pPr>
      <w:r w:rsidRPr="006B57DA">
        <w:rPr>
          <w:sz w:val="22"/>
        </w:rPr>
        <w:t>Para este mes se desarrollaron diez (10) acciones de mantenimiento correctivo.</w:t>
      </w:r>
    </w:p>
    <w:p w:rsidR="00A324EA" w:rsidRPr="006B57DA" w:rsidRDefault="00A324EA" w:rsidP="00A324EA">
      <w:pPr>
        <w:rPr>
          <w:sz w:val="22"/>
        </w:rPr>
      </w:pPr>
      <w:r w:rsidRPr="006B57DA">
        <w:rPr>
          <w:sz w:val="22"/>
        </w:rPr>
        <w:t>Para el mes de septiembre de 2017 la eficacia en la atención a las solicitudes de servicios de mantenimiento correctivo fue del 100%, toda vez que se atendieron las 10 solicitudes recibidas en el mes. Las solicitudes más relevantes están relacionadas con el arreglo de sillas, solicitud de llaves de escritorio y cambio de cables telefónicos.</w:t>
      </w:r>
    </w:p>
    <w:p w:rsidR="008742A6" w:rsidRPr="006B57DA" w:rsidRDefault="008742A6" w:rsidP="008742A6">
      <w:pPr>
        <w:rPr>
          <w:b/>
          <w:sz w:val="22"/>
        </w:rPr>
      </w:pPr>
      <w:r w:rsidRPr="006B57DA">
        <w:rPr>
          <w:b/>
          <w:sz w:val="22"/>
        </w:rPr>
        <w:t>8. Prestar los servicios administrativos para el adecuado desarrollo de las actividades en el MVCT:</w:t>
      </w:r>
    </w:p>
    <w:p w:rsidR="00837A4B" w:rsidRPr="006B57DA" w:rsidRDefault="00837A4B" w:rsidP="00837A4B">
      <w:pPr>
        <w:spacing w:after="0" w:line="240" w:lineRule="auto"/>
        <w:rPr>
          <w:sz w:val="22"/>
        </w:rPr>
      </w:pPr>
      <w:r w:rsidRPr="006B57DA">
        <w:rPr>
          <w:sz w:val="22"/>
        </w:rPr>
        <w:lastRenderedPageBreak/>
        <w:t xml:space="preserve">Esta iniciativa se encuentra con un cumplimiento del 95% frente a la meta establecida para el año 2017. Lo anterior corresponde a la ejecución de las siguientes actividades: </w:t>
      </w:r>
    </w:p>
    <w:p w:rsidR="00837A4B" w:rsidRPr="006B57DA" w:rsidRDefault="00837A4B" w:rsidP="008742A6">
      <w:pPr>
        <w:rPr>
          <w:b/>
          <w:sz w:val="22"/>
          <w:u w:val="single"/>
        </w:rPr>
      </w:pPr>
    </w:p>
    <w:p w:rsidR="008742A6" w:rsidRDefault="008742A6" w:rsidP="008742A6">
      <w:pPr>
        <w:rPr>
          <w:b/>
          <w:sz w:val="22"/>
          <w:u w:val="single"/>
        </w:rPr>
      </w:pPr>
      <w:r w:rsidRPr="006B57DA">
        <w:rPr>
          <w:b/>
          <w:sz w:val="22"/>
          <w:u w:val="single"/>
        </w:rPr>
        <w:t>REQUERIMIENTOS SOLICITADOS</w:t>
      </w:r>
    </w:p>
    <w:p w:rsidR="006B57DA" w:rsidRPr="006B57DA" w:rsidRDefault="006B57DA" w:rsidP="008742A6">
      <w:pPr>
        <w:rPr>
          <w:b/>
          <w:sz w:val="22"/>
          <w:u w:val="single"/>
        </w:rPr>
      </w:pPr>
    </w:p>
    <w:p w:rsidR="008742A6" w:rsidRPr="006B57DA" w:rsidRDefault="008742A6" w:rsidP="00837A4B">
      <w:pPr>
        <w:pStyle w:val="Prrafodelista"/>
        <w:numPr>
          <w:ilvl w:val="0"/>
          <w:numId w:val="26"/>
        </w:numPr>
        <w:spacing w:after="0" w:line="240" w:lineRule="auto"/>
        <w:rPr>
          <w:sz w:val="22"/>
        </w:rPr>
      </w:pPr>
      <w:r w:rsidRPr="006B57DA">
        <w:rPr>
          <w:sz w:val="22"/>
        </w:rPr>
        <w:t>Estudios previos: En el mes de septiembre de 2017 se realizaron dos (2) Estudios Previos los cuales fueron: Contrato de apoyo a la gestión, Mantenimiento de Plantas Eléctricas.</w:t>
      </w:r>
    </w:p>
    <w:p w:rsidR="008742A6" w:rsidRPr="006B57DA" w:rsidRDefault="008742A6" w:rsidP="00837A4B">
      <w:pPr>
        <w:pStyle w:val="Prrafodelista"/>
        <w:numPr>
          <w:ilvl w:val="0"/>
          <w:numId w:val="26"/>
        </w:numPr>
        <w:spacing w:after="0" w:line="240" w:lineRule="auto"/>
        <w:rPr>
          <w:sz w:val="22"/>
        </w:rPr>
      </w:pPr>
      <w:r w:rsidRPr="006B57DA">
        <w:rPr>
          <w:sz w:val="22"/>
        </w:rPr>
        <w:t>Inventarios: Durante el mes de Septiembre de 2017 se reportaron los siguientes movimientos: Ingreso y registro de Bienes en el aplicativo SEVEN: 6 ingresos.</w:t>
      </w:r>
    </w:p>
    <w:p w:rsidR="008742A6" w:rsidRDefault="008742A6" w:rsidP="00837A4B">
      <w:pPr>
        <w:pStyle w:val="Prrafodelista"/>
        <w:numPr>
          <w:ilvl w:val="0"/>
          <w:numId w:val="26"/>
        </w:numPr>
        <w:spacing w:after="0" w:line="240" w:lineRule="auto"/>
        <w:rPr>
          <w:sz w:val="22"/>
        </w:rPr>
      </w:pPr>
      <w:r w:rsidRPr="006B57DA">
        <w:rPr>
          <w:sz w:val="22"/>
        </w:rPr>
        <w:t>Ingreso por devolutivos: Para este mes se realizó el ingreso de 1 computador portátil de 15” marca ASUS por valor de $2.989.000, 2 neveras (</w:t>
      </w:r>
      <w:proofErr w:type="spellStart"/>
      <w:r w:rsidRPr="006B57DA">
        <w:rPr>
          <w:sz w:val="22"/>
        </w:rPr>
        <w:t>minibares</w:t>
      </w:r>
      <w:proofErr w:type="spellEnd"/>
      <w:r w:rsidRPr="006B57DA">
        <w:rPr>
          <w:sz w:val="22"/>
        </w:rPr>
        <w:t>) por valor de $841.800, 3 calefactores (calentadores de ambiente) marca KALLEY por valor de $599.700, para un total de: $4.430.500 en este mes no hubo bajas de elementos.</w:t>
      </w:r>
    </w:p>
    <w:p w:rsidR="006B57DA" w:rsidRPr="006B57DA" w:rsidRDefault="006B57DA" w:rsidP="006B57DA">
      <w:pPr>
        <w:pStyle w:val="Prrafodelista"/>
        <w:numPr>
          <w:ilvl w:val="0"/>
          <w:numId w:val="26"/>
        </w:numPr>
        <w:spacing w:after="0" w:line="240" w:lineRule="auto"/>
        <w:rPr>
          <w:sz w:val="22"/>
          <w:szCs w:val="20"/>
        </w:rPr>
      </w:pPr>
      <w:r w:rsidRPr="006B57DA">
        <w:rPr>
          <w:sz w:val="22"/>
          <w:szCs w:val="20"/>
        </w:rPr>
        <w:t xml:space="preserve">Transferencia y actualización de inventarios a los funcionarios y contratistas del MVCT, de conformidad con el levantamiento físico de inventarios efectuados durante el mes: Durante el mes de septiembre se realizaron 16 actualizaciones y transferencias de inventario. </w:t>
      </w:r>
    </w:p>
    <w:p w:rsidR="006B57DA" w:rsidRPr="006B57DA" w:rsidRDefault="006B57DA" w:rsidP="006B57DA">
      <w:pPr>
        <w:pStyle w:val="Prrafodelista"/>
        <w:numPr>
          <w:ilvl w:val="0"/>
          <w:numId w:val="26"/>
        </w:numPr>
        <w:spacing w:after="0" w:line="240" w:lineRule="auto"/>
        <w:rPr>
          <w:sz w:val="22"/>
          <w:szCs w:val="20"/>
        </w:rPr>
      </w:pPr>
      <w:r w:rsidRPr="006B57DA">
        <w:rPr>
          <w:sz w:val="22"/>
          <w:szCs w:val="20"/>
        </w:rPr>
        <w:t>Salidas de elementos para uso personalizado: 6 movimientos de bienes entregados al servicio, total 6 elementos.</w:t>
      </w:r>
    </w:p>
    <w:p w:rsidR="006B57DA" w:rsidRPr="006B57DA" w:rsidRDefault="006B57DA" w:rsidP="006B57DA">
      <w:pPr>
        <w:pStyle w:val="Prrafodelista"/>
        <w:numPr>
          <w:ilvl w:val="0"/>
          <w:numId w:val="26"/>
        </w:numPr>
        <w:spacing w:after="0" w:line="240" w:lineRule="auto"/>
        <w:rPr>
          <w:sz w:val="22"/>
          <w:szCs w:val="20"/>
        </w:rPr>
      </w:pPr>
      <w:r w:rsidRPr="006B57DA">
        <w:rPr>
          <w:sz w:val="22"/>
          <w:szCs w:val="20"/>
        </w:rPr>
        <w:t>Toma física de inventarios de cuentadantes nuevos o trasladados y con novedades: inventarios levantados.</w:t>
      </w:r>
    </w:p>
    <w:p w:rsidR="006B57DA" w:rsidRPr="006B57DA" w:rsidRDefault="006B57DA" w:rsidP="006B57DA">
      <w:pPr>
        <w:pStyle w:val="Prrafodelista"/>
        <w:numPr>
          <w:ilvl w:val="0"/>
          <w:numId w:val="26"/>
        </w:numPr>
        <w:spacing w:after="0" w:line="240" w:lineRule="auto"/>
        <w:rPr>
          <w:sz w:val="22"/>
          <w:szCs w:val="20"/>
        </w:rPr>
      </w:pPr>
      <w:r w:rsidRPr="006B57DA">
        <w:rPr>
          <w:sz w:val="22"/>
          <w:szCs w:val="20"/>
        </w:rPr>
        <w:t>Traslados entre funcionarios para asignación de bienes a cuentadantes y afectación de inventarios: Un total de 4 movimientos de acuerdo con las solicitudes hechas por cada una de las dependencias.</w:t>
      </w:r>
    </w:p>
    <w:p w:rsidR="006B57DA" w:rsidRPr="006B57DA" w:rsidRDefault="006B57DA" w:rsidP="006B57DA">
      <w:pPr>
        <w:pStyle w:val="Prrafodelista"/>
        <w:numPr>
          <w:ilvl w:val="0"/>
          <w:numId w:val="26"/>
        </w:numPr>
        <w:spacing w:after="0" w:line="240" w:lineRule="auto"/>
        <w:rPr>
          <w:sz w:val="22"/>
          <w:szCs w:val="20"/>
        </w:rPr>
      </w:pPr>
      <w:r w:rsidRPr="006B57DA">
        <w:rPr>
          <w:sz w:val="22"/>
          <w:szCs w:val="20"/>
        </w:rPr>
        <w:t>Se llevó a cabo la legalización de 16 inventarios personalizados por cuentadante.</w:t>
      </w:r>
    </w:p>
    <w:p w:rsidR="006B57DA" w:rsidRDefault="006B57DA" w:rsidP="006B57DA">
      <w:pPr>
        <w:pStyle w:val="Prrafodelista"/>
        <w:numPr>
          <w:ilvl w:val="0"/>
          <w:numId w:val="26"/>
        </w:numPr>
        <w:spacing w:after="0" w:line="240" w:lineRule="auto"/>
        <w:rPr>
          <w:sz w:val="22"/>
          <w:szCs w:val="20"/>
        </w:rPr>
      </w:pPr>
      <w:r w:rsidRPr="006B57DA">
        <w:rPr>
          <w:i/>
          <w:sz w:val="22"/>
          <w:szCs w:val="20"/>
        </w:rPr>
        <w:t xml:space="preserve">Comisiones: </w:t>
      </w:r>
      <w:r w:rsidRPr="006B57DA">
        <w:rPr>
          <w:sz w:val="22"/>
          <w:szCs w:val="20"/>
        </w:rPr>
        <w:t xml:space="preserve">Para el mes de septiembre de 2017, se tramitaron en total 866 comisiones de la siguiente manera: </w:t>
      </w:r>
    </w:p>
    <w:p w:rsidR="006B57DA" w:rsidRPr="006B57DA" w:rsidRDefault="006B57DA" w:rsidP="006B57DA">
      <w:pPr>
        <w:pStyle w:val="Prrafodelista"/>
        <w:spacing w:after="0" w:line="240" w:lineRule="auto"/>
        <w:rPr>
          <w:sz w:val="22"/>
          <w:szCs w:val="20"/>
        </w:rPr>
      </w:pPr>
    </w:p>
    <w:p w:rsidR="006B57DA" w:rsidRPr="006B57DA" w:rsidRDefault="006B57DA" w:rsidP="008B41AD">
      <w:pPr>
        <w:spacing w:after="0" w:line="240" w:lineRule="auto"/>
        <w:ind w:firstLine="709"/>
        <w:rPr>
          <w:sz w:val="22"/>
          <w:szCs w:val="20"/>
        </w:rPr>
      </w:pPr>
      <w:r w:rsidRPr="006B57DA">
        <w:rPr>
          <w:sz w:val="22"/>
          <w:szCs w:val="20"/>
        </w:rPr>
        <w:t>Contratistas</w:t>
      </w:r>
      <w:r w:rsidRPr="006B57DA">
        <w:rPr>
          <w:sz w:val="22"/>
          <w:szCs w:val="20"/>
        </w:rPr>
        <w:tab/>
      </w:r>
      <w:r w:rsidRPr="006B57DA">
        <w:rPr>
          <w:sz w:val="22"/>
          <w:szCs w:val="20"/>
        </w:rPr>
        <w:tab/>
        <w:t>273</w:t>
      </w:r>
    </w:p>
    <w:p w:rsidR="006B57DA" w:rsidRPr="006B57DA" w:rsidRDefault="006B57DA" w:rsidP="008B41AD">
      <w:pPr>
        <w:spacing w:after="0" w:line="240" w:lineRule="auto"/>
        <w:ind w:firstLine="709"/>
        <w:rPr>
          <w:sz w:val="22"/>
          <w:szCs w:val="20"/>
        </w:rPr>
      </w:pPr>
      <w:r w:rsidRPr="006B57DA">
        <w:rPr>
          <w:sz w:val="22"/>
          <w:szCs w:val="20"/>
        </w:rPr>
        <w:t>Funcionarios</w:t>
      </w:r>
      <w:r w:rsidRPr="006B57DA">
        <w:rPr>
          <w:sz w:val="22"/>
          <w:szCs w:val="20"/>
        </w:rPr>
        <w:tab/>
      </w:r>
      <w:r w:rsidRPr="006B57DA">
        <w:rPr>
          <w:sz w:val="22"/>
          <w:szCs w:val="20"/>
        </w:rPr>
        <w:tab/>
        <w:t>276</w:t>
      </w:r>
    </w:p>
    <w:p w:rsidR="006B57DA" w:rsidRPr="006B57DA" w:rsidRDefault="006B57DA" w:rsidP="008B41AD">
      <w:pPr>
        <w:spacing w:after="0" w:line="240" w:lineRule="auto"/>
        <w:ind w:firstLine="709"/>
        <w:rPr>
          <w:sz w:val="22"/>
          <w:szCs w:val="20"/>
        </w:rPr>
      </w:pPr>
      <w:r w:rsidRPr="006B57DA">
        <w:rPr>
          <w:sz w:val="22"/>
          <w:szCs w:val="20"/>
        </w:rPr>
        <w:t>FONVIVIENDA</w:t>
      </w:r>
      <w:r w:rsidRPr="006B57DA">
        <w:rPr>
          <w:sz w:val="22"/>
          <w:szCs w:val="20"/>
        </w:rPr>
        <w:tab/>
        <w:t>137</w:t>
      </w:r>
    </w:p>
    <w:p w:rsidR="006B57DA" w:rsidRPr="006B57DA" w:rsidRDefault="006B57DA" w:rsidP="006B57DA">
      <w:pPr>
        <w:spacing w:after="0" w:line="240" w:lineRule="auto"/>
        <w:rPr>
          <w:sz w:val="22"/>
          <w:szCs w:val="20"/>
        </w:rPr>
      </w:pPr>
    </w:p>
    <w:p w:rsidR="006B57DA" w:rsidRPr="006B57DA" w:rsidRDefault="006B57DA" w:rsidP="006B57DA">
      <w:pPr>
        <w:pStyle w:val="Prrafodelista"/>
        <w:numPr>
          <w:ilvl w:val="0"/>
          <w:numId w:val="28"/>
        </w:numPr>
        <w:spacing w:after="0" w:line="240" w:lineRule="auto"/>
        <w:rPr>
          <w:sz w:val="22"/>
          <w:szCs w:val="20"/>
        </w:rPr>
      </w:pPr>
      <w:r w:rsidRPr="006B57DA">
        <w:rPr>
          <w:i/>
          <w:sz w:val="22"/>
          <w:szCs w:val="20"/>
        </w:rPr>
        <w:t>Legalizaciones: Para</w:t>
      </w:r>
      <w:r w:rsidRPr="006B57DA">
        <w:rPr>
          <w:sz w:val="22"/>
          <w:szCs w:val="20"/>
        </w:rPr>
        <w:t xml:space="preserve"> el mes de septiembre de 2017, se tramitaron en total 577 solicitudes de legalizaciones así: Contratistas</w:t>
      </w:r>
      <w:r w:rsidRPr="006B57DA">
        <w:rPr>
          <w:sz w:val="22"/>
          <w:szCs w:val="20"/>
        </w:rPr>
        <w:tab/>
        <w:t>190, Funcionarios</w:t>
      </w:r>
      <w:r w:rsidRPr="006B57DA">
        <w:rPr>
          <w:sz w:val="22"/>
          <w:szCs w:val="20"/>
        </w:rPr>
        <w:tab/>
        <w:t>240, FONVIVIENDA 147.</w:t>
      </w:r>
    </w:p>
    <w:p w:rsidR="006B57DA" w:rsidRPr="006B57DA" w:rsidRDefault="006B57DA" w:rsidP="006B57DA">
      <w:pPr>
        <w:pStyle w:val="Prrafodelista"/>
        <w:spacing w:after="0" w:line="240" w:lineRule="auto"/>
        <w:rPr>
          <w:sz w:val="22"/>
        </w:rPr>
      </w:pPr>
    </w:p>
    <w:p w:rsidR="00A324EA" w:rsidRDefault="008742A6" w:rsidP="008742A6">
      <w:pPr>
        <w:jc w:val="center"/>
        <w:rPr>
          <w:sz w:val="22"/>
        </w:rPr>
      </w:pPr>
      <w:r w:rsidRPr="00124A49">
        <w:rPr>
          <w:noProof/>
          <w:bdr w:val="single" w:sz="12" w:space="0" w:color="auto"/>
          <w:lang w:eastAsia="es-CO"/>
        </w:rPr>
        <w:lastRenderedPageBreak/>
        <w:drawing>
          <wp:inline distT="0" distB="0" distL="0" distR="0" wp14:anchorId="43E8D7EB" wp14:editId="56B02265">
            <wp:extent cx="7861465" cy="5640779"/>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79653" cy="5653829"/>
                    </a:xfrm>
                    <a:prstGeom prst="rect">
                      <a:avLst/>
                    </a:prstGeom>
                    <a:noFill/>
                    <a:ln>
                      <a:noFill/>
                    </a:ln>
                  </pic:spPr>
                </pic:pic>
              </a:graphicData>
            </a:graphic>
          </wp:inline>
        </w:drawing>
      </w:r>
    </w:p>
    <w:p w:rsidR="00A324EA" w:rsidRPr="006B57DA" w:rsidRDefault="00A324EA" w:rsidP="00A324EA">
      <w:pPr>
        <w:spacing w:after="0" w:line="240" w:lineRule="auto"/>
        <w:rPr>
          <w:sz w:val="22"/>
          <w:szCs w:val="20"/>
        </w:rPr>
      </w:pPr>
    </w:p>
    <w:p w:rsidR="00A324EA" w:rsidRPr="006B57DA" w:rsidRDefault="00A324EA" w:rsidP="00837A4B">
      <w:pPr>
        <w:pStyle w:val="Prrafodelista"/>
        <w:numPr>
          <w:ilvl w:val="0"/>
          <w:numId w:val="28"/>
        </w:numPr>
        <w:spacing w:after="0" w:line="240" w:lineRule="auto"/>
        <w:rPr>
          <w:sz w:val="22"/>
          <w:szCs w:val="20"/>
        </w:rPr>
      </w:pPr>
      <w:r w:rsidRPr="006B57DA">
        <w:rPr>
          <w:i/>
          <w:sz w:val="22"/>
          <w:szCs w:val="20"/>
        </w:rPr>
        <w:lastRenderedPageBreak/>
        <w:t xml:space="preserve">Facturas: </w:t>
      </w:r>
      <w:r w:rsidRPr="006B57DA">
        <w:rPr>
          <w:sz w:val="22"/>
          <w:szCs w:val="20"/>
        </w:rPr>
        <w:t xml:space="preserve">Para el mes de septiembre de 2017 se tramitaron 287 facturas por valor de $180.345.801así:MINVIVIENDA </w:t>
      </w:r>
      <w:r w:rsidRPr="006B57DA">
        <w:rPr>
          <w:sz w:val="22"/>
          <w:szCs w:val="20"/>
        </w:rPr>
        <w:tab/>
        <w:t>208 por valor de $126.591.391, FONVIVIENDA</w:t>
      </w:r>
      <w:r w:rsidRPr="006B57DA">
        <w:rPr>
          <w:sz w:val="22"/>
          <w:szCs w:val="20"/>
        </w:rPr>
        <w:tab/>
        <w:t>79 por valor de $53.754.410</w:t>
      </w:r>
    </w:p>
    <w:p w:rsidR="00A324EA" w:rsidRPr="006B57DA" w:rsidRDefault="00A324EA" w:rsidP="00837A4B">
      <w:pPr>
        <w:pStyle w:val="Prrafodelista"/>
        <w:numPr>
          <w:ilvl w:val="0"/>
          <w:numId w:val="28"/>
        </w:numPr>
        <w:spacing w:after="0" w:line="240" w:lineRule="auto"/>
        <w:rPr>
          <w:sz w:val="22"/>
          <w:szCs w:val="20"/>
        </w:rPr>
      </w:pPr>
      <w:r w:rsidRPr="006B57DA">
        <w:rPr>
          <w:i/>
          <w:sz w:val="22"/>
          <w:szCs w:val="20"/>
        </w:rPr>
        <w:t xml:space="preserve">Credenciales: </w:t>
      </w:r>
      <w:r w:rsidRPr="006B57DA">
        <w:rPr>
          <w:sz w:val="22"/>
          <w:szCs w:val="20"/>
        </w:rPr>
        <w:t xml:space="preserve">Durante el mes de septiembre se expidieron doce (12) credenciales. </w:t>
      </w:r>
    </w:p>
    <w:p w:rsidR="00A324EA" w:rsidRPr="006B57DA" w:rsidRDefault="00A324EA" w:rsidP="00837A4B">
      <w:pPr>
        <w:pStyle w:val="Prrafodelista"/>
        <w:numPr>
          <w:ilvl w:val="0"/>
          <w:numId w:val="28"/>
        </w:numPr>
        <w:spacing w:after="0" w:line="240" w:lineRule="auto"/>
        <w:rPr>
          <w:sz w:val="22"/>
          <w:szCs w:val="20"/>
        </w:rPr>
      </w:pPr>
      <w:r w:rsidRPr="006B57DA">
        <w:rPr>
          <w:i/>
          <w:sz w:val="22"/>
          <w:szCs w:val="20"/>
        </w:rPr>
        <w:t xml:space="preserve">Servicios de transporte: </w:t>
      </w:r>
      <w:r w:rsidRPr="006B57DA">
        <w:rPr>
          <w:sz w:val="22"/>
          <w:szCs w:val="20"/>
        </w:rPr>
        <w:t>Durante el mes de septiembre de 2017, se atendieron las diferentes solicitudes de transporte, para las dependencias.</w:t>
      </w:r>
    </w:p>
    <w:p w:rsidR="00A324EA" w:rsidRPr="006B57DA" w:rsidRDefault="00A324EA" w:rsidP="00A324EA">
      <w:pPr>
        <w:spacing w:after="0" w:line="240" w:lineRule="auto"/>
        <w:rPr>
          <w:sz w:val="22"/>
          <w:szCs w:val="20"/>
        </w:rPr>
      </w:pPr>
    </w:p>
    <w:p w:rsidR="00A324EA" w:rsidRPr="006B57DA" w:rsidRDefault="00A324EA" w:rsidP="00A324EA">
      <w:pPr>
        <w:spacing w:after="0" w:line="240" w:lineRule="auto"/>
        <w:rPr>
          <w:b/>
          <w:sz w:val="22"/>
          <w:szCs w:val="20"/>
        </w:rPr>
      </w:pPr>
      <w:r w:rsidRPr="006B57DA">
        <w:rPr>
          <w:b/>
          <w:sz w:val="22"/>
          <w:szCs w:val="20"/>
        </w:rPr>
        <w:t>REQUERIMIENTOS ATENDIDOS</w:t>
      </w:r>
    </w:p>
    <w:p w:rsidR="00A324EA" w:rsidRPr="006B57DA" w:rsidRDefault="00A324EA" w:rsidP="00A324EA">
      <w:pPr>
        <w:spacing w:after="0" w:line="240" w:lineRule="auto"/>
        <w:rPr>
          <w:sz w:val="22"/>
          <w:szCs w:val="20"/>
        </w:rPr>
      </w:pPr>
    </w:p>
    <w:p w:rsidR="00A324EA" w:rsidRPr="006B57DA" w:rsidRDefault="00A324EA" w:rsidP="00A324EA">
      <w:pPr>
        <w:pStyle w:val="Prrafodelista"/>
        <w:numPr>
          <w:ilvl w:val="0"/>
          <w:numId w:val="29"/>
        </w:numPr>
        <w:spacing w:after="0" w:line="240" w:lineRule="auto"/>
        <w:rPr>
          <w:sz w:val="22"/>
          <w:szCs w:val="20"/>
        </w:rPr>
      </w:pPr>
      <w:r w:rsidRPr="006B57DA">
        <w:rPr>
          <w:sz w:val="22"/>
          <w:szCs w:val="20"/>
        </w:rPr>
        <w:t>Suministro de elementos de papelería</w:t>
      </w:r>
      <w:r w:rsidR="00837A4B" w:rsidRPr="006B57DA">
        <w:rPr>
          <w:sz w:val="22"/>
          <w:szCs w:val="20"/>
        </w:rPr>
        <w:t>: e</w:t>
      </w:r>
      <w:r w:rsidRPr="006B57DA">
        <w:rPr>
          <w:sz w:val="22"/>
          <w:szCs w:val="20"/>
        </w:rPr>
        <w:t>n el mes de agosto se recibieron y atendieron 38 solicitudes de elementos de papelería, las cuales fueron recibidas en el mismo mes.</w:t>
      </w:r>
    </w:p>
    <w:p w:rsidR="00A324EA" w:rsidRPr="006B57DA" w:rsidRDefault="00A324EA" w:rsidP="00A324EA">
      <w:pPr>
        <w:spacing w:after="0" w:line="240" w:lineRule="auto"/>
        <w:rPr>
          <w:sz w:val="22"/>
          <w:szCs w:val="20"/>
        </w:rPr>
      </w:pPr>
    </w:p>
    <w:p w:rsidR="00A324EA" w:rsidRPr="006B57DA" w:rsidRDefault="00A324EA" w:rsidP="00837A4B">
      <w:pPr>
        <w:pStyle w:val="Prrafodelista"/>
        <w:numPr>
          <w:ilvl w:val="0"/>
          <w:numId w:val="29"/>
        </w:numPr>
        <w:spacing w:after="0" w:line="240" w:lineRule="auto"/>
        <w:rPr>
          <w:sz w:val="22"/>
          <w:szCs w:val="20"/>
        </w:rPr>
      </w:pPr>
      <w:r w:rsidRPr="006B57DA">
        <w:rPr>
          <w:sz w:val="22"/>
          <w:szCs w:val="20"/>
        </w:rPr>
        <w:t>Adecuación y control la infraestructura física de las sedes del Ministerio</w:t>
      </w:r>
      <w:r w:rsidR="00837A4B" w:rsidRPr="006B57DA">
        <w:rPr>
          <w:sz w:val="22"/>
          <w:szCs w:val="20"/>
        </w:rPr>
        <w:t>: d</w:t>
      </w:r>
      <w:r w:rsidRPr="006B57DA">
        <w:rPr>
          <w:sz w:val="22"/>
          <w:szCs w:val="20"/>
        </w:rPr>
        <w:t xml:space="preserve">urante el mes de septiembre se realizaron diferentes trabajos de adecuación y control al buen estado de la infraestructura física de las diferentes sedes del MVCT. </w:t>
      </w:r>
    </w:p>
    <w:p w:rsidR="00A324EA" w:rsidRPr="006B57DA" w:rsidRDefault="00A324EA" w:rsidP="00A324EA">
      <w:pPr>
        <w:spacing w:after="0" w:line="240" w:lineRule="auto"/>
        <w:rPr>
          <w:sz w:val="22"/>
          <w:szCs w:val="20"/>
        </w:rPr>
      </w:pPr>
    </w:p>
    <w:p w:rsidR="00A324EA" w:rsidRPr="006B57DA" w:rsidRDefault="00A324EA" w:rsidP="00A324EA">
      <w:pPr>
        <w:spacing w:after="0" w:line="240" w:lineRule="auto"/>
        <w:rPr>
          <w:sz w:val="22"/>
          <w:szCs w:val="20"/>
        </w:rPr>
      </w:pPr>
    </w:p>
    <w:p w:rsidR="00A324EA" w:rsidRPr="006B57DA" w:rsidRDefault="00A324EA" w:rsidP="00A324EA">
      <w:pPr>
        <w:spacing w:after="0" w:line="240" w:lineRule="auto"/>
        <w:rPr>
          <w:b/>
          <w:sz w:val="22"/>
          <w:szCs w:val="20"/>
        </w:rPr>
      </w:pPr>
      <w:r w:rsidRPr="006B57DA">
        <w:rPr>
          <w:b/>
          <w:sz w:val="22"/>
          <w:szCs w:val="20"/>
        </w:rPr>
        <w:t>ACTIVIDADES DESARROLLADAS (ASEO Y VIGILANCIA)</w:t>
      </w:r>
    </w:p>
    <w:p w:rsidR="00A324EA" w:rsidRPr="006B57DA" w:rsidRDefault="00A324EA" w:rsidP="00A324EA">
      <w:pPr>
        <w:spacing w:after="0" w:line="240" w:lineRule="auto"/>
        <w:rPr>
          <w:sz w:val="22"/>
          <w:szCs w:val="20"/>
        </w:rPr>
      </w:pPr>
    </w:p>
    <w:p w:rsidR="00837A4B" w:rsidRPr="006B57DA" w:rsidRDefault="00A324EA" w:rsidP="00837A4B">
      <w:pPr>
        <w:pStyle w:val="Prrafodelista"/>
        <w:numPr>
          <w:ilvl w:val="0"/>
          <w:numId w:val="30"/>
        </w:numPr>
        <w:spacing w:after="0" w:line="240" w:lineRule="auto"/>
        <w:rPr>
          <w:sz w:val="22"/>
          <w:szCs w:val="20"/>
        </w:rPr>
      </w:pPr>
      <w:r w:rsidRPr="006B57DA">
        <w:rPr>
          <w:sz w:val="22"/>
          <w:szCs w:val="20"/>
        </w:rPr>
        <w:t>Servicios de logística y seguridad</w:t>
      </w:r>
      <w:r w:rsidR="00837A4B" w:rsidRPr="006B57DA">
        <w:rPr>
          <w:sz w:val="22"/>
          <w:szCs w:val="20"/>
        </w:rPr>
        <w:t>: e</w:t>
      </w:r>
      <w:r w:rsidRPr="006B57DA">
        <w:rPr>
          <w:sz w:val="22"/>
          <w:szCs w:val="20"/>
        </w:rPr>
        <w:t>n el Mes de Septiembre ingresaron a las instalaciones del Ministerio 5.098 visitantes.</w:t>
      </w:r>
    </w:p>
    <w:p w:rsidR="00837A4B" w:rsidRPr="006B57DA" w:rsidRDefault="00837A4B" w:rsidP="00837A4B">
      <w:pPr>
        <w:pStyle w:val="Prrafodelista"/>
        <w:spacing w:after="0" w:line="240" w:lineRule="auto"/>
        <w:rPr>
          <w:sz w:val="22"/>
          <w:szCs w:val="20"/>
        </w:rPr>
      </w:pPr>
    </w:p>
    <w:p w:rsidR="00A324EA" w:rsidRPr="006B57DA" w:rsidRDefault="00A324EA" w:rsidP="00837A4B">
      <w:pPr>
        <w:pStyle w:val="Prrafodelista"/>
        <w:numPr>
          <w:ilvl w:val="0"/>
          <w:numId w:val="30"/>
        </w:numPr>
        <w:spacing w:after="0" w:line="240" w:lineRule="auto"/>
        <w:rPr>
          <w:sz w:val="22"/>
          <w:szCs w:val="20"/>
        </w:rPr>
      </w:pPr>
      <w:r w:rsidRPr="006B57DA">
        <w:rPr>
          <w:sz w:val="22"/>
          <w:szCs w:val="20"/>
        </w:rPr>
        <w:t xml:space="preserve">Durante el mes de Septiembre no se reportaron perdida de elementos de propiedad de la entidad dentro de las instalaciones, aun cuando el personal de vigilancia entrego tres (3) elementos personales olvidados en áreas comunes.   </w:t>
      </w:r>
    </w:p>
    <w:p w:rsidR="00A324EA" w:rsidRPr="006B57DA" w:rsidRDefault="00A324EA" w:rsidP="00A324EA">
      <w:pPr>
        <w:spacing w:after="0" w:line="240" w:lineRule="auto"/>
        <w:rPr>
          <w:sz w:val="22"/>
          <w:szCs w:val="20"/>
        </w:rPr>
      </w:pPr>
    </w:p>
    <w:p w:rsidR="00A324EA" w:rsidRPr="006B57DA" w:rsidRDefault="00A324EA" w:rsidP="00837A4B">
      <w:pPr>
        <w:pStyle w:val="Prrafodelista"/>
        <w:numPr>
          <w:ilvl w:val="0"/>
          <w:numId w:val="30"/>
        </w:numPr>
        <w:spacing w:after="0" w:line="240" w:lineRule="auto"/>
        <w:rPr>
          <w:sz w:val="22"/>
          <w:szCs w:val="20"/>
        </w:rPr>
      </w:pPr>
      <w:r w:rsidRPr="006B57DA">
        <w:rPr>
          <w:sz w:val="22"/>
          <w:szCs w:val="20"/>
        </w:rPr>
        <w:t xml:space="preserve">Se realizó una (1) Capacitación de seguridad. </w:t>
      </w:r>
    </w:p>
    <w:p w:rsidR="00A324EA" w:rsidRPr="006B57DA" w:rsidRDefault="00A324EA" w:rsidP="00A324EA">
      <w:pPr>
        <w:spacing w:after="0" w:line="240" w:lineRule="auto"/>
        <w:rPr>
          <w:sz w:val="22"/>
          <w:szCs w:val="20"/>
        </w:rPr>
      </w:pPr>
    </w:p>
    <w:p w:rsidR="00A324EA" w:rsidRPr="006B57DA" w:rsidRDefault="00A324EA" w:rsidP="00837A4B">
      <w:pPr>
        <w:pStyle w:val="Prrafodelista"/>
        <w:numPr>
          <w:ilvl w:val="0"/>
          <w:numId w:val="30"/>
        </w:numPr>
        <w:spacing w:after="0" w:line="240" w:lineRule="auto"/>
        <w:rPr>
          <w:sz w:val="22"/>
          <w:szCs w:val="20"/>
        </w:rPr>
      </w:pPr>
      <w:r w:rsidRPr="006B57DA">
        <w:rPr>
          <w:sz w:val="22"/>
          <w:szCs w:val="20"/>
        </w:rPr>
        <w:t>Se atendieron en el mes de Septiembre 14 eventos especiales.</w:t>
      </w:r>
    </w:p>
    <w:p w:rsidR="00A324EA" w:rsidRPr="006B57DA" w:rsidRDefault="00A324EA" w:rsidP="00A324EA">
      <w:pPr>
        <w:spacing w:after="0" w:line="240" w:lineRule="auto"/>
        <w:rPr>
          <w:sz w:val="22"/>
          <w:szCs w:val="20"/>
        </w:rPr>
      </w:pPr>
    </w:p>
    <w:p w:rsidR="00A324EA" w:rsidRPr="006B57DA" w:rsidRDefault="00A324EA" w:rsidP="00837A4B">
      <w:pPr>
        <w:pStyle w:val="Prrafodelista"/>
        <w:numPr>
          <w:ilvl w:val="0"/>
          <w:numId w:val="30"/>
        </w:numPr>
        <w:spacing w:after="0" w:line="240" w:lineRule="auto"/>
        <w:rPr>
          <w:sz w:val="22"/>
          <w:szCs w:val="20"/>
        </w:rPr>
      </w:pPr>
      <w:r w:rsidRPr="006B57DA">
        <w:rPr>
          <w:sz w:val="22"/>
          <w:szCs w:val="20"/>
        </w:rPr>
        <w:t>Servicios prestados en las diferentes sedes del Ministerio en el mes de septiembre:</w:t>
      </w:r>
    </w:p>
    <w:p w:rsidR="00A324EA" w:rsidRPr="006B57DA" w:rsidRDefault="00A324EA" w:rsidP="00A324EA">
      <w:pPr>
        <w:pStyle w:val="Prrafodelista"/>
        <w:numPr>
          <w:ilvl w:val="1"/>
          <w:numId w:val="30"/>
        </w:numPr>
        <w:spacing w:after="0" w:line="240" w:lineRule="auto"/>
        <w:rPr>
          <w:sz w:val="22"/>
          <w:szCs w:val="20"/>
        </w:rPr>
      </w:pPr>
      <w:r w:rsidRPr="006B57DA">
        <w:rPr>
          <w:sz w:val="22"/>
          <w:szCs w:val="20"/>
        </w:rPr>
        <w:t>SEDE 18</w:t>
      </w:r>
      <w:r w:rsidR="00837A4B" w:rsidRPr="006B57DA">
        <w:rPr>
          <w:sz w:val="22"/>
          <w:szCs w:val="20"/>
        </w:rPr>
        <w:t xml:space="preserve">: </w:t>
      </w:r>
      <w:r w:rsidRPr="006B57DA">
        <w:rPr>
          <w:sz w:val="22"/>
          <w:szCs w:val="20"/>
        </w:rPr>
        <w:t xml:space="preserve">Salas: 59 ocasiones -  Equipos portátiles: 51 ocasiones -  Video </w:t>
      </w:r>
      <w:proofErr w:type="spellStart"/>
      <w:r w:rsidRPr="006B57DA">
        <w:rPr>
          <w:sz w:val="22"/>
          <w:szCs w:val="20"/>
        </w:rPr>
        <w:t>beam</w:t>
      </w:r>
      <w:proofErr w:type="spellEnd"/>
      <w:r w:rsidRPr="006B57DA">
        <w:rPr>
          <w:sz w:val="22"/>
          <w:szCs w:val="20"/>
        </w:rPr>
        <w:t>: 57 ocasiones.</w:t>
      </w:r>
    </w:p>
    <w:p w:rsidR="00A324EA" w:rsidRPr="006B57DA" w:rsidRDefault="00A324EA" w:rsidP="00837A4B">
      <w:pPr>
        <w:pStyle w:val="Prrafodelista"/>
        <w:numPr>
          <w:ilvl w:val="1"/>
          <w:numId w:val="30"/>
        </w:numPr>
        <w:spacing w:after="0" w:line="240" w:lineRule="auto"/>
        <w:rPr>
          <w:sz w:val="22"/>
          <w:szCs w:val="20"/>
        </w:rPr>
      </w:pPr>
      <w:r w:rsidRPr="006B57DA">
        <w:rPr>
          <w:sz w:val="22"/>
          <w:szCs w:val="20"/>
        </w:rPr>
        <w:t xml:space="preserve">SEDE LA BOTICA-CASA IMPRENTA: Auditorio 24 ocasiones - Salas: 27 ocasiones - Equipo portátil: 37 ocasiones - Video </w:t>
      </w:r>
      <w:proofErr w:type="spellStart"/>
      <w:r w:rsidRPr="006B57DA">
        <w:rPr>
          <w:sz w:val="22"/>
          <w:szCs w:val="20"/>
        </w:rPr>
        <w:t>beam</w:t>
      </w:r>
      <w:proofErr w:type="spellEnd"/>
      <w:r w:rsidRPr="006B57DA">
        <w:rPr>
          <w:sz w:val="22"/>
          <w:szCs w:val="20"/>
        </w:rPr>
        <w:t xml:space="preserve">: 22 ocasiones. </w:t>
      </w:r>
    </w:p>
    <w:p w:rsidR="00A324EA" w:rsidRPr="006B57DA" w:rsidRDefault="00A324EA" w:rsidP="00837A4B">
      <w:pPr>
        <w:pStyle w:val="Prrafodelista"/>
        <w:numPr>
          <w:ilvl w:val="1"/>
          <w:numId w:val="30"/>
        </w:numPr>
        <w:spacing w:after="0" w:line="240" w:lineRule="auto"/>
        <w:rPr>
          <w:sz w:val="22"/>
          <w:szCs w:val="20"/>
        </w:rPr>
      </w:pPr>
      <w:r w:rsidRPr="006B57DA">
        <w:rPr>
          <w:sz w:val="22"/>
          <w:szCs w:val="20"/>
        </w:rPr>
        <w:t>SEDE PALMA REAL: Equipos portátiles: 26 ocasiones.</w:t>
      </w:r>
    </w:p>
    <w:p w:rsidR="00F722FA" w:rsidRPr="000456A2" w:rsidRDefault="001805DD" w:rsidP="003F410B">
      <w:pPr>
        <w:pStyle w:val="Ttulo2"/>
        <w:rPr>
          <w:rFonts w:ascii="Verdana" w:eastAsia="Arial Narrow" w:hAnsi="Verdana"/>
        </w:rPr>
      </w:pPr>
      <w:bookmarkStart w:id="14" w:name="_Toc496861738"/>
      <w:r>
        <w:rPr>
          <w:noProof/>
          <w:lang w:val="es-CO" w:eastAsia="es-CO"/>
        </w:rPr>
        <w:lastRenderedPageBreak/>
        <w:drawing>
          <wp:anchor distT="0" distB="0" distL="114300" distR="114300" simplePos="0" relativeHeight="251931648" behindDoc="0" locked="0" layoutInCell="1" allowOverlap="1" wp14:anchorId="20F2F1FC" wp14:editId="233A199B">
            <wp:simplePos x="0" y="0"/>
            <wp:positionH relativeFrom="column">
              <wp:posOffset>6804660</wp:posOffset>
            </wp:positionH>
            <wp:positionV relativeFrom="paragraph">
              <wp:posOffset>-142875</wp:posOffset>
            </wp:positionV>
            <wp:extent cx="993775" cy="1390015"/>
            <wp:effectExtent l="0" t="0" r="0" b="63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3775" cy="1390015"/>
                    </a:xfrm>
                    <a:prstGeom prst="rect">
                      <a:avLst/>
                    </a:prstGeom>
                    <a:noFill/>
                  </pic:spPr>
                </pic:pic>
              </a:graphicData>
            </a:graphic>
            <wp14:sizeRelH relativeFrom="page">
              <wp14:pctWidth>0</wp14:pctWidth>
            </wp14:sizeRelH>
            <wp14:sizeRelV relativeFrom="page">
              <wp14:pctHeight>0</wp14:pctHeight>
            </wp14:sizeRelV>
          </wp:anchor>
        </w:drawing>
      </w:r>
      <w:r w:rsidR="003F410B" w:rsidRPr="000456A2">
        <w:rPr>
          <w:rFonts w:ascii="Verdana" w:eastAsia="Arial Narrow" w:hAnsi="Verdana"/>
        </w:rPr>
        <w:t xml:space="preserve">5 </w:t>
      </w:r>
      <w:r w:rsidR="00505970" w:rsidRPr="000456A2">
        <w:rPr>
          <w:rFonts w:ascii="Verdana" w:eastAsia="Arial Narrow" w:hAnsi="Verdana"/>
        </w:rPr>
        <w:t>GRUPO DE ATENCIÓN AL USUARIO Y ARCHIVO</w:t>
      </w:r>
      <w:bookmarkEnd w:id="14"/>
    </w:p>
    <w:p w:rsidR="00F722FA" w:rsidRPr="005A322B" w:rsidRDefault="00F722FA" w:rsidP="00255F8D">
      <w:pPr>
        <w:spacing w:after="0" w:line="240" w:lineRule="auto"/>
      </w:pPr>
      <w:r w:rsidRPr="000456A2">
        <w:t xml:space="preserve">Coordinador: Dra. Adriana Bonilla </w:t>
      </w:r>
      <w:proofErr w:type="spellStart"/>
      <w:r w:rsidRPr="000456A2">
        <w:t>Marquinez</w:t>
      </w:r>
      <w:proofErr w:type="spellEnd"/>
    </w:p>
    <w:p w:rsidR="00C82BD2" w:rsidRDefault="00C82BD2" w:rsidP="00255F8D">
      <w:pPr>
        <w:spacing w:after="0" w:line="240" w:lineRule="auto"/>
        <w:rPr>
          <w:rFonts w:eastAsia="Arial Narrow"/>
          <w:strike/>
          <w:szCs w:val="24"/>
        </w:rPr>
      </w:pPr>
    </w:p>
    <w:tbl>
      <w:tblPr>
        <w:tblpPr w:leftFromText="141" w:rightFromText="141" w:vertAnchor="text" w:horzAnchor="margin" w:tblpY="73"/>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85"/>
        <w:gridCol w:w="1745"/>
        <w:gridCol w:w="3086"/>
        <w:gridCol w:w="1736"/>
      </w:tblGrid>
      <w:tr w:rsidR="00180C6E" w:rsidRPr="003525B7" w:rsidTr="003525B7">
        <w:trPr>
          <w:trHeight w:val="564"/>
        </w:trPr>
        <w:tc>
          <w:tcPr>
            <w:tcW w:w="3085" w:type="dxa"/>
            <w:shd w:val="clear" w:color="auto" w:fill="993366"/>
            <w:vAlign w:val="center"/>
          </w:tcPr>
          <w:p w:rsidR="00180C6E" w:rsidRPr="003525B7" w:rsidRDefault="00180C6E" w:rsidP="00180C6E">
            <w:pPr>
              <w:spacing w:after="0" w:line="240" w:lineRule="auto"/>
              <w:ind w:left="120"/>
              <w:jc w:val="center"/>
              <w:rPr>
                <w:rFonts w:eastAsia="Arial Narrow"/>
                <w:b/>
                <w:color w:val="FF0000"/>
                <w:sz w:val="22"/>
              </w:rPr>
            </w:pPr>
            <w:r w:rsidRPr="003525B7">
              <w:rPr>
                <w:rFonts w:eastAsia="Arial Narrow"/>
                <w:b/>
                <w:color w:val="FFFFFF" w:themeColor="background1"/>
                <w:sz w:val="22"/>
              </w:rPr>
              <w:t>Avance registrado</w:t>
            </w:r>
          </w:p>
        </w:tc>
        <w:tc>
          <w:tcPr>
            <w:tcW w:w="1745" w:type="dxa"/>
            <w:vAlign w:val="center"/>
          </w:tcPr>
          <w:p w:rsidR="0032357C" w:rsidRPr="003525B7" w:rsidRDefault="0032357C" w:rsidP="0032357C">
            <w:pPr>
              <w:spacing w:after="0" w:line="240" w:lineRule="auto"/>
              <w:ind w:right="20"/>
              <w:jc w:val="center"/>
              <w:rPr>
                <w:rFonts w:eastAsia="Arial Narrow"/>
                <w:b/>
                <w:color w:val="FF0000"/>
                <w:sz w:val="22"/>
              </w:rPr>
            </w:pPr>
            <w:r w:rsidRPr="0032357C">
              <w:rPr>
                <w:rFonts w:eastAsia="Arial Narrow"/>
                <w:b/>
                <w:sz w:val="22"/>
              </w:rPr>
              <w:t>89.47%</w:t>
            </w:r>
          </w:p>
        </w:tc>
        <w:tc>
          <w:tcPr>
            <w:tcW w:w="3086" w:type="dxa"/>
            <w:shd w:val="clear" w:color="auto" w:fill="993366"/>
          </w:tcPr>
          <w:p w:rsidR="008773A9" w:rsidRPr="003525B7" w:rsidRDefault="008773A9" w:rsidP="008773A9">
            <w:pPr>
              <w:spacing w:after="0" w:line="240" w:lineRule="auto"/>
              <w:ind w:right="20"/>
              <w:jc w:val="center"/>
              <w:rPr>
                <w:rFonts w:eastAsia="Arial Narrow"/>
                <w:b/>
                <w:color w:val="FFFFFF" w:themeColor="background1"/>
                <w:sz w:val="22"/>
              </w:rPr>
            </w:pPr>
          </w:p>
          <w:p w:rsidR="00180C6E" w:rsidRPr="003525B7" w:rsidRDefault="00180C6E" w:rsidP="008773A9">
            <w:pPr>
              <w:spacing w:after="0" w:line="240" w:lineRule="auto"/>
              <w:ind w:right="20"/>
              <w:jc w:val="center"/>
              <w:rPr>
                <w:rFonts w:eastAsia="Arial Narrow"/>
                <w:b/>
                <w:color w:val="FFFFFF" w:themeColor="background1"/>
                <w:sz w:val="22"/>
              </w:rPr>
            </w:pPr>
            <w:r w:rsidRPr="003525B7">
              <w:rPr>
                <w:rFonts w:eastAsia="Arial Narrow"/>
                <w:b/>
                <w:color w:val="FFFFFF" w:themeColor="background1"/>
                <w:sz w:val="22"/>
              </w:rPr>
              <w:t>Número de Iniciativas</w:t>
            </w:r>
          </w:p>
          <w:p w:rsidR="008773A9" w:rsidRPr="003525B7" w:rsidRDefault="008773A9" w:rsidP="008773A9">
            <w:pPr>
              <w:spacing w:after="0" w:line="240" w:lineRule="auto"/>
              <w:ind w:right="20"/>
              <w:jc w:val="center"/>
              <w:rPr>
                <w:rFonts w:eastAsia="Arial Narrow"/>
                <w:sz w:val="22"/>
              </w:rPr>
            </w:pPr>
          </w:p>
        </w:tc>
        <w:tc>
          <w:tcPr>
            <w:tcW w:w="1736" w:type="dxa"/>
            <w:vAlign w:val="center"/>
          </w:tcPr>
          <w:p w:rsidR="00180C6E" w:rsidRPr="003525B7" w:rsidRDefault="008773A9" w:rsidP="00180C6E">
            <w:pPr>
              <w:spacing w:after="0" w:line="240" w:lineRule="auto"/>
              <w:ind w:right="20"/>
              <w:jc w:val="center"/>
              <w:rPr>
                <w:rFonts w:eastAsia="Arial Narrow"/>
                <w:b/>
                <w:sz w:val="22"/>
              </w:rPr>
            </w:pPr>
            <w:r w:rsidRPr="003525B7">
              <w:rPr>
                <w:rFonts w:eastAsia="Arial Narrow"/>
                <w:b/>
                <w:sz w:val="22"/>
              </w:rPr>
              <w:t>5</w:t>
            </w:r>
          </w:p>
        </w:tc>
      </w:tr>
    </w:tbl>
    <w:p w:rsidR="00180C6E" w:rsidRDefault="00180C6E" w:rsidP="00255F8D">
      <w:pPr>
        <w:spacing w:after="0" w:line="240" w:lineRule="auto"/>
        <w:rPr>
          <w:rFonts w:eastAsia="Arial Narrow"/>
          <w:strike/>
          <w:szCs w:val="24"/>
        </w:rPr>
      </w:pPr>
    </w:p>
    <w:p w:rsidR="00180C6E" w:rsidRDefault="00180C6E" w:rsidP="00255F8D">
      <w:pPr>
        <w:spacing w:after="0" w:line="240" w:lineRule="auto"/>
        <w:rPr>
          <w:rFonts w:eastAsia="Arial Narrow"/>
          <w:strike/>
          <w:szCs w:val="24"/>
        </w:rPr>
      </w:pPr>
    </w:p>
    <w:p w:rsidR="00E21543" w:rsidRPr="006B57DA" w:rsidRDefault="00E21543" w:rsidP="00255F8D">
      <w:pPr>
        <w:spacing w:after="0" w:line="240" w:lineRule="auto"/>
        <w:rPr>
          <w:rFonts w:eastAsia="Arial Narrow"/>
          <w:strike/>
          <w:sz w:val="22"/>
        </w:rPr>
      </w:pPr>
    </w:p>
    <w:p w:rsidR="00180C6E" w:rsidRPr="006B57DA" w:rsidRDefault="00180C6E" w:rsidP="00255F8D">
      <w:pPr>
        <w:spacing w:after="0" w:line="240" w:lineRule="auto"/>
        <w:rPr>
          <w:rFonts w:cs="FuturaStd-ExtraBold"/>
          <w:bCs/>
          <w:sz w:val="22"/>
        </w:rPr>
      </w:pPr>
    </w:p>
    <w:p w:rsidR="006B57DA" w:rsidRDefault="006B57DA" w:rsidP="00255F8D">
      <w:pPr>
        <w:spacing w:after="0" w:line="240" w:lineRule="auto"/>
        <w:rPr>
          <w:rFonts w:cs="FuturaStd-ExtraBold"/>
          <w:bCs/>
          <w:sz w:val="22"/>
        </w:rPr>
      </w:pPr>
    </w:p>
    <w:p w:rsidR="001B518C" w:rsidRPr="006B57DA" w:rsidRDefault="001B518C" w:rsidP="00255F8D">
      <w:pPr>
        <w:spacing w:after="0" w:line="240" w:lineRule="auto"/>
        <w:rPr>
          <w:rFonts w:cs="FuturaStd-ExtraBold"/>
          <w:bCs/>
          <w:sz w:val="22"/>
        </w:rPr>
      </w:pPr>
      <w:r w:rsidRPr="006B57DA">
        <w:rPr>
          <w:rFonts w:cs="FuturaStd-ExtraBold"/>
          <w:bCs/>
          <w:sz w:val="22"/>
        </w:rPr>
        <w:t xml:space="preserve">La oficina cuenta con </w:t>
      </w:r>
      <w:r w:rsidR="00147894" w:rsidRPr="006B57DA">
        <w:rPr>
          <w:rFonts w:cs="FuturaStd-ExtraBold"/>
          <w:bCs/>
          <w:sz w:val="22"/>
        </w:rPr>
        <w:t xml:space="preserve">5 iniciativas estratégicas, cuya gestión </w:t>
      </w:r>
      <w:r w:rsidR="00A70133" w:rsidRPr="006B57DA">
        <w:rPr>
          <w:rFonts w:cs="FuturaStd-ExtraBold"/>
          <w:bCs/>
          <w:sz w:val="22"/>
        </w:rPr>
        <w:t xml:space="preserve">se </w:t>
      </w:r>
      <w:r w:rsidRPr="006B57DA">
        <w:rPr>
          <w:rFonts w:cs="FuturaStd-ExtraBold"/>
          <w:bCs/>
          <w:sz w:val="22"/>
        </w:rPr>
        <w:t>detalla</w:t>
      </w:r>
      <w:r w:rsidR="00147894" w:rsidRPr="006B57DA">
        <w:rPr>
          <w:rFonts w:cs="FuturaStd-ExtraBold"/>
          <w:bCs/>
          <w:sz w:val="22"/>
        </w:rPr>
        <w:t xml:space="preserve"> a</w:t>
      </w:r>
      <w:r w:rsidRPr="006B57DA">
        <w:rPr>
          <w:rFonts w:cs="FuturaStd-ExtraBold"/>
          <w:bCs/>
          <w:sz w:val="22"/>
        </w:rPr>
        <w:t xml:space="preserve"> continuación: </w:t>
      </w:r>
    </w:p>
    <w:p w:rsidR="009749B9" w:rsidRPr="006B57DA" w:rsidRDefault="009749B9" w:rsidP="00255F8D">
      <w:pPr>
        <w:spacing w:after="0" w:line="240" w:lineRule="auto"/>
        <w:rPr>
          <w:rFonts w:cs="FuturaStd-ExtraBold"/>
          <w:bCs/>
          <w:sz w:val="22"/>
        </w:rPr>
      </w:pPr>
    </w:p>
    <w:p w:rsidR="00147039" w:rsidRPr="006B57DA" w:rsidRDefault="003525B7" w:rsidP="00147039">
      <w:pPr>
        <w:spacing w:after="0" w:line="240" w:lineRule="auto"/>
        <w:rPr>
          <w:rFonts w:cs="FuturaStd-ExtraBold"/>
          <w:bCs/>
          <w:sz w:val="22"/>
        </w:rPr>
      </w:pPr>
      <w:r w:rsidRPr="006B57DA">
        <w:rPr>
          <w:rFonts w:cs="FuturaStd-ExtraBold"/>
          <w:b/>
          <w:bCs/>
          <w:sz w:val="22"/>
        </w:rPr>
        <w:t xml:space="preserve">1. </w:t>
      </w:r>
      <w:r w:rsidR="00DB08A1" w:rsidRPr="006B57DA">
        <w:rPr>
          <w:rFonts w:cs="FuturaStd-ExtraBold"/>
          <w:b/>
          <w:bCs/>
          <w:sz w:val="22"/>
        </w:rPr>
        <w:t>Desarrollar el componente de servicio al ciudadano del Plan Anticorrupción y de Atención al Ciudadano</w:t>
      </w:r>
      <w:r w:rsidR="00DB08A1" w:rsidRPr="006B57DA">
        <w:rPr>
          <w:rFonts w:cs="FuturaStd-ExtraBold"/>
          <w:bCs/>
          <w:sz w:val="22"/>
        </w:rPr>
        <w:t>:</w:t>
      </w:r>
      <w:r w:rsidR="008F1AC0" w:rsidRPr="006B57DA">
        <w:rPr>
          <w:rFonts w:cs="FuturaStd-ExtraBold"/>
          <w:bCs/>
          <w:sz w:val="22"/>
        </w:rPr>
        <w:t xml:space="preserve"> </w:t>
      </w:r>
      <w:r w:rsidR="00147039" w:rsidRPr="006B57DA">
        <w:rPr>
          <w:rFonts w:cs="FuturaStd-ExtraBold"/>
          <w:bCs/>
          <w:sz w:val="22"/>
        </w:rPr>
        <w:t xml:space="preserve">Durante el tercer trimestre se elaboró el cronograma de actividades para el desarrollo del componente. La implementación  de las actividades del componente se encuentra en ejecución y a la fecha </w:t>
      </w:r>
      <w:r w:rsidR="00032004" w:rsidRPr="006B57DA">
        <w:rPr>
          <w:rFonts w:cs="FuturaStd-ExtraBold"/>
          <w:bCs/>
          <w:sz w:val="22"/>
        </w:rPr>
        <w:t xml:space="preserve">la iniciativa </w:t>
      </w:r>
      <w:r w:rsidR="00147039" w:rsidRPr="006B57DA">
        <w:rPr>
          <w:rFonts w:cs="FuturaStd-ExtraBold"/>
          <w:bCs/>
          <w:sz w:val="22"/>
        </w:rPr>
        <w:t xml:space="preserve">presenta un avance del </w:t>
      </w:r>
      <w:r w:rsidRPr="006B57DA">
        <w:rPr>
          <w:rFonts w:cs="FuturaStd-ExtraBold"/>
          <w:bCs/>
          <w:sz w:val="22"/>
        </w:rPr>
        <w:t>57,33</w:t>
      </w:r>
      <w:r w:rsidR="00147039" w:rsidRPr="006B57DA">
        <w:rPr>
          <w:rFonts w:cs="FuturaStd-ExtraBold"/>
          <w:bCs/>
          <w:sz w:val="22"/>
        </w:rPr>
        <w:t>% ya que de las 30 actividades contempladas, se han ejecutado a la fecha 14 de ellas.</w:t>
      </w:r>
      <w:r w:rsidR="00032004" w:rsidRPr="006B57DA">
        <w:rPr>
          <w:rFonts w:cs="FuturaStd-ExtraBold"/>
          <w:bCs/>
          <w:sz w:val="22"/>
        </w:rPr>
        <w:t xml:space="preserve"> Para el mes de Septiembre, se</w:t>
      </w:r>
      <w:r w:rsidR="00147039" w:rsidRPr="006B57DA">
        <w:rPr>
          <w:rFonts w:cs="FuturaStd-ExtraBold"/>
          <w:bCs/>
          <w:sz w:val="22"/>
        </w:rPr>
        <w:t xml:space="preserve"> suma la implementación del centro de relevo, que ya está en operación. </w:t>
      </w:r>
    </w:p>
    <w:p w:rsidR="00147039" w:rsidRPr="006B57DA" w:rsidRDefault="00147039" w:rsidP="00147039">
      <w:pPr>
        <w:spacing w:after="0" w:line="240" w:lineRule="auto"/>
        <w:rPr>
          <w:rFonts w:cs="FuturaStd-ExtraBold"/>
          <w:b/>
          <w:bCs/>
          <w:sz w:val="22"/>
        </w:rPr>
      </w:pPr>
    </w:p>
    <w:p w:rsidR="006B57DA" w:rsidRDefault="006B57DA" w:rsidP="006B57DA">
      <w:pPr>
        <w:spacing w:after="0" w:line="240" w:lineRule="auto"/>
        <w:rPr>
          <w:rFonts w:cs="FuturaStd-ExtraBold"/>
          <w:b/>
          <w:bCs/>
          <w:sz w:val="22"/>
        </w:rPr>
      </w:pPr>
    </w:p>
    <w:p w:rsidR="006B57DA" w:rsidRPr="006B57DA" w:rsidRDefault="006B57DA" w:rsidP="006B57DA">
      <w:pPr>
        <w:spacing w:after="0" w:line="240" w:lineRule="auto"/>
        <w:rPr>
          <w:rFonts w:cs="FuturaStd-ExtraBold"/>
          <w:bCs/>
          <w:sz w:val="22"/>
        </w:rPr>
      </w:pPr>
      <w:r w:rsidRPr="006B57DA">
        <w:rPr>
          <w:rFonts w:cs="FuturaStd-ExtraBold"/>
          <w:b/>
          <w:bCs/>
          <w:sz w:val="22"/>
        </w:rPr>
        <w:t xml:space="preserve">2. Continuar con la implementación del Programa de Gestión Documental: </w:t>
      </w:r>
      <w:r w:rsidRPr="006B57DA">
        <w:rPr>
          <w:rFonts w:cs="FuturaStd-ExtraBold"/>
          <w:bCs/>
          <w:sz w:val="22"/>
        </w:rPr>
        <w:t xml:space="preserve">Durante el tercer trimestre  se realizaron mesas de trabajo en las que se definieron las pautas para el manejo de documentos electrónicos al interior del MVCT. En este momento se trabaja en la elaboración de un documento con los lineamientos para el manejo de los archivos electrónicos. La iniciativa presenta un avance del 100%. </w:t>
      </w:r>
    </w:p>
    <w:p w:rsidR="006B57DA" w:rsidRPr="006B57DA" w:rsidRDefault="006B57DA" w:rsidP="006B57DA">
      <w:pPr>
        <w:spacing w:after="0" w:line="240" w:lineRule="auto"/>
        <w:jc w:val="center"/>
        <w:rPr>
          <w:rFonts w:cs="FuturaStd-ExtraBold"/>
          <w:b/>
          <w:bCs/>
          <w:sz w:val="22"/>
        </w:rPr>
      </w:pPr>
    </w:p>
    <w:p w:rsidR="006B57DA" w:rsidRDefault="006B57DA" w:rsidP="006B57DA">
      <w:pPr>
        <w:spacing w:after="0" w:line="240" w:lineRule="auto"/>
        <w:rPr>
          <w:rFonts w:cs="FuturaStd-ExtraBold"/>
          <w:b/>
          <w:bCs/>
          <w:sz w:val="22"/>
          <w:szCs w:val="20"/>
        </w:rPr>
      </w:pPr>
    </w:p>
    <w:p w:rsidR="006B57DA" w:rsidRPr="006B57DA" w:rsidRDefault="006B57DA" w:rsidP="006B57DA">
      <w:pPr>
        <w:spacing w:after="0" w:line="240" w:lineRule="auto"/>
        <w:rPr>
          <w:rFonts w:cs="FuturaStd-ExtraBold"/>
          <w:bCs/>
          <w:sz w:val="22"/>
          <w:szCs w:val="20"/>
        </w:rPr>
      </w:pPr>
      <w:r w:rsidRPr="006B57DA">
        <w:rPr>
          <w:rFonts w:cs="FuturaStd-ExtraBold"/>
          <w:b/>
          <w:bCs/>
          <w:sz w:val="22"/>
          <w:szCs w:val="20"/>
        </w:rPr>
        <w:t>3. Intervención del archivo ICT –INURBE</w:t>
      </w:r>
      <w:r w:rsidRPr="006B57DA">
        <w:rPr>
          <w:rFonts w:cs="FuturaStd-ExtraBold"/>
          <w:bCs/>
          <w:sz w:val="22"/>
          <w:szCs w:val="20"/>
        </w:rPr>
        <w:t xml:space="preserve">: Durante el tercer trimestre el grupo de archivo priorizó todos los documentos a intervenir del archivo adelanta la intervención del archivo del ICT – INURBE, se presenta un avance para el mes de septiembre 44.25 </w:t>
      </w:r>
      <w:proofErr w:type="gramStart"/>
      <w:r w:rsidRPr="006B57DA">
        <w:rPr>
          <w:rFonts w:cs="FuturaStd-ExtraBold"/>
          <w:bCs/>
          <w:sz w:val="22"/>
          <w:szCs w:val="20"/>
        </w:rPr>
        <w:t>ML ,</w:t>
      </w:r>
      <w:proofErr w:type="gramEnd"/>
      <w:r w:rsidRPr="006B57DA">
        <w:rPr>
          <w:rFonts w:cs="FuturaStd-ExtraBold"/>
          <w:bCs/>
          <w:sz w:val="22"/>
          <w:szCs w:val="20"/>
        </w:rPr>
        <w:t xml:space="preserve"> la meta propuesta es de 730 ML en porcentaje la iniciativa presenta un cumplimiento del 90% sumando las  actividades realizadas en el mes de Septiembre en las regionales choco y cesar</w:t>
      </w:r>
    </w:p>
    <w:p w:rsidR="006B57DA" w:rsidRPr="006B57DA" w:rsidRDefault="006B57DA" w:rsidP="00147039">
      <w:pPr>
        <w:spacing w:after="0" w:line="240" w:lineRule="auto"/>
        <w:rPr>
          <w:rFonts w:cs="FuturaStd-ExtraBold"/>
          <w:b/>
          <w:bCs/>
          <w:sz w:val="22"/>
        </w:rPr>
      </w:pPr>
    </w:p>
    <w:p w:rsidR="008742A6" w:rsidRDefault="00EE50C9" w:rsidP="003525B7">
      <w:pPr>
        <w:spacing w:after="0" w:line="240" w:lineRule="auto"/>
        <w:jc w:val="center"/>
        <w:rPr>
          <w:rFonts w:cs="FuturaStd-ExtraBold"/>
          <w:b/>
          <w:bCs/>
          <w:sz w:val="20"/>
          <w:szCs w:val="20"/>
        </w:rPr>
      </w:pPr>
      <w:r w:rsidRPr="00124A49">
        <w:rPr>
          <w:noProof/>
          <w:bdr w:val="single" w:sz="12" w:space="0" w:color="auto"/>
          <w:lang w:eastAsia="es-CO"/>
        </w:rPr>
        <w:lastRenderedPageBreak/>
        <w:drawing>
          <wp:inline distT="0" distB="0" distL="0" distR="0" wp14:anchorId="130CF199" wp14:editId="729D3E17">
            <wp:extent cx="6614556" cy="3811979"/>
            <wp:effectExtent l="0" t="0" r="0" b="0"/>
            <wp:docPr id="2492" name="Imagen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15856" cy="3812728"/>
                    </a:xfrm>
                    <a:prstGeom prst="rect">
                      <a:avLst/>
                    </a:prstGeom>
                    <a:noFill/>
                    <a:ln>
                      <a:noFill/>
                    </a:ln>
                  </pic:spPr>
                </pic:pic>
              </a:graphicData>
            </a:graphic>
          </wp:inline>
        </w:drawing>
      </w:r>
    </w:p>
    <w:p w:rsidR="006B57DA" w:rsidRDefault="006B57DA" w:rsidP="003525B7">
      <w:pPr>
        <w:spacing w:after="0" w:line="240" w:lineRule="auto"/>
        <w:jc w:val="center"/>
        <w:rPr>
          <w:rFonts w:cs="FuturaStd-ExtraBold"/>
          <w:b/>
          <w:bCs/>
          <w:sz w:val="20"/>
          <w:szCs w:val="20"/>
        </w:rPr>
      </w:pPr>
    </w:p>
    <w:p w:rsidR="006B57DA" w:rsidRPr="006B57DA" w:rsidRDefault="006B57DA" w:rsidP="006B57DA">
      <w:pPr>
        <w:spacing w:after="0" w:line="240" w:lineRule="auto"/>
        <w:rPr>
          <w:rFonts w:cs="FuturaStd-ExtraBold"/>
          <w:bCs/>
          <w:sz w:val="22"/>
          <w:szCs w:val="20"/>
        </w:rPr>
      </w:pPr>
      <w:r w:rsidRPr="006B57DA">
        <w:rPr>
          <w:rFonts w:cs="FuturaStd-ExtraBold"/>
          <w:b/>
          <w:bCs/>
          <w:sz w:val="22"/>
          <w:szCs w:val="20"/>
        </w:rPr>
        <w:t xml:space="preserve">4. Agilizar los tiempos de consulta y préstamo de documentos del archivo central: </w:t>
      </w:r>
      <w:r w:rsidRPr="006B57DA">
        <w:rPr>
          <w:rFonts w:cs="FuturaStd-ExtraBold"/>
          <w:bCs/>
          <w:sz w:val="22"/>
          <w:szCs w:val="20"/>
        </w:rPr>
        <w:t xml:space="preserve">Durante el tercer trimestre se actualizó el formato de consulta y préstamo y se creó la hoja de vida del indicador de tiempos de consulta y préstamo en el Sistema Integrado de Gestión. Esta iniciativa registra un cumplimiento de 100% ya que el tiempo promedio de respuesta ante una solicitud de préstamo es inferior a 4 días. </w:t>
      </w:r>
    </w:p>
    <w:p w:rsidR="006B57DA" w:rsidRPr="006B57DA" w:rsidRDefault="006B57DA" w:rsidP="006B57DA">
      <w:pPr>
        <w:spacing w:after="0" w:line="240" w:lineRule="auto"/>
        <w:rPr>
          <w:rFonts w:cs="FuturaStd-ExtraBold"/>
          <w:b/>
          <w:bCs/>
          <w:sz w:val="22"/>
          <w:szCs w:val="20"/>
        </w:rPr>
      </w:pPr>
    </w:p>
    <w:p w:rsidR="006B57DA" w:rsidRPr="006B57DA" w:rsidRDefault="006B57DA" w:rsidP="006B57DA">
      <w:pPr>
        <w:spacing w:after="0" w:line="240" w:lineRule="auto"/>
        <w:rPr>
          <w:rFonts w:cs="FuturaStd-ExtraBold"/>
          <w:bCs/>
          <w:sz w:val="22"/>
          <w:szCs w:val="20"/>
        </w:rPr>
      </w:pPr>
      <w:r w:rsidRPr="006B57DA">
        <w:rPr>
          <w:rFonts w:cs="FuturaStd-ExtraBold"/>
          <w:b/>
          <w:bCs/>
          <w:sz w:val="22"/>
          <w:szCs w:val="20"/>
        </w:rPr>
        <w:t xml:space="preserve">5. Fortalecer la participación ciudadana y la transparencia en las actuaciones administrativas: </w:t>
      </w:r>
      <w:r w:rsidRPr="006B57DA">
        <w:rPr>
          <w:rFonts w:cs="FuturaStd-ExtraBold"/>
          <w:bCs/>
          <w:sz w:val="22"/>
          <w:szCs w:val="20"/>
        </w:rPr>
        <w:t xml:space="preserve">Se realizaron pruebas y ajustes de funcionamiento relacionadas con la automatización del servicio de movilizaciones a través de la página Web de la entidad, la cual se encuentra en servicio. Dado lo anterior, la ejecución de la presente iniciativa es del 100%. </w:t>
      </w:r>
    </w:p>
    <w:p w:rsidR="006B57DA" w:rsidRPr="006B57DA" w:rsidRDefault="006B57DA" w:rsidP="006B57DA">
      <w:pPr>
        <w:spacing w:after="0" w:line="240" w:lineRule="auto"/>
        <w:rPr>
          <w:rFonts w:cs="FuturaStd-ExtraBold"/>
          <w:b/>
          <w:bCs/>
          <w:szCs w:val="20"/>
        </w:rPr>
      </w:pPr>
    </w:p>
    <w:p w:rsidR="006B57DA" w:rsidRPr="003525B7" w:rsidRDefault="006B57DA" w:rsidP="003525B7">
      <w:pPr>
        <w:spacing w:after="0" w:line="240" w:lineRule="auto"/>
        <w:jc w:val="center"/>
        <w:rPr>
          <w:rFonts w:cs="FuturaStd-ExtraBold"/>
          <w:b/>
          <w:bCs/>
          <w:sz w:val="20"/>
          <w:szCs w:val="20"/>
        </w:rPr>
      </w:pPr>
    </w:p>
    <w:p w:rsidR="009054CD" w:rsidRDefault="00EE50C9" w:rsidP="0032357C">
      <w:pPr>
        <w:spacing w:after="0" w:line="240" w:lineRule="auto"/>
        <w:jc w:val="center"/>
        <w:rPr>
          <w:rFonts w:cs="FuturaStd-ExtraBold"/>
          <w:b/>
          <w:bCs/>
          <w:sz w:val="22"/>
          <w:szCs w:val="20"/>
        </w:rPr>
      </w:pPr>
      <w:r w:rsidRPr="00124A49">
        <w:rPr>
          <w:noProof/>
          <w:bdr w:val="single" w:sz="12" w:space="0" w:color="auto"/>
          <w:lang w:eastAsia="es-CO"/>
        </w:rPr>
        <w:lastRenderedPageBreak/>
        <w:drawing>
          <wp:inline distT="0" distB="0" distL="0" distR="0" wp14:anchorId="354C4E41" wp14:editId="4B62E549">
            <wp:extent cx="7980218" cy="5688280"/>
            <wp:effectExtent l="0" t="0" r="1905" b="8255"/>
            <wp:docPr id="2493" name="Imagen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84883" cy="5691605"/>
                    </a:xfrm>
                    <a:prstGeom prst="rect">
                      <a:avLst/>
                    </a:prstGeom>
                    <a:noFill/>
                    <a:ln>
                      <a:noFill/>
                    </a:ln>
                  </pic:spPr>
                </pic:pic>
              </a:graphicData>
            </a:graphic>
          </wp:inline>
        </w:drawing>
      </w:r>
    </w:p>
    <w:p w:rsidR="00032004" w:rsidRDefault="00032004" w:rsidP="0032357C">
      <w:pPr>
        <w:spacing w:after="0" w:line="240" w:lineRule="auto"/>
        <w:jc w:val="center"/>
        <w:rPr>
          <w:rFonts w:cs="FuturaStd-ExtraBold"/>
          <w:b/>
          <w:bCs/>
          <w:sz w:val="22"/>
          <w:szCs w:val="20"/>
        </w:rPr>
      </w:pPr>
    </w:p>
    <w:p w:rsidR="00D37968" w:rsidRPr="00F242DB" w:rsidRDefault="00B152FC" w:rsidP="003F410B">
      <w:pPr>
        <w:pStyle w:val="Ttulo1"/>
        <w:rPr>
          <w:rFonts w:eastAsia="Arial Narrow"/>
        </w:rPr>
      </w:pPr>
      <w:bookmarkStart w:id="15" w:name="_Toc496861739"/>
      <w:r w:rsidRPr="00F242DB">
        <w:rPr>
          <w:rFonts w:ascii="Times New Roman" w:eastAsia="Times New Roman" w:hAnsi="Times New Roman"/>
          <w:noProof/>
          <w:lang w:eastAsia="es-CO"/>
        </w:rPr>
        <w:lastRenderedPageBreak/>
        <w:drawing>
          <wp:anchor distT="0" distB="0" distL="114300" distR="114300" simplePos="0" relativeHeight="251906048" behindDoc="0" locked="0" layoutInCell="1" allowOverlap="1" wp14:anchorId="4A25671E" wp14:editId="17F1B56E">
            <wp:simplePos x="0" y="0"/>
            <wp:positionH relativeFrom="column">
              <wp:posOffset>6983095</wp:posOffset>
            </wp:positionH>
            <wp:positionV relativeFrom="paragraph">
              <wp:posOffset>-71120</wp:posOffset>
            </wp:positionV>
            <wp:extent cx="1316355" cy="1590675"/>
            <wp:effectExtent l="0" t="0" r="0" b="9525"/>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4">
                      <a:extLst>
                        <a:ext uri="{28A0092B-C50C-407E-A947-70E740481C1C}">
                          <a14:useLocalDpi xmlns:a14="http://schemas.microsoft.com/office/drawing/2010/main" val="0"/>
                        </a:ext>
                      </a:extLst>
                    </a:blip>
                    <a:srcRect l="69742"/>
                    <a:stretch/>
                  </pic:blipFill>
                  <pic:spPr bwMode="auto">
                    <a:xfrm>
                      <a:off x="0" y="0"/>
                      <a:ext cx="1316355"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EBE" w:rsidRPr="00F242DB">
        <w:rPr>
          <w:rFonts w:eastAsia="Arial Narrow"/>
        </w:rPr>
        <w:t>VICEMINISTERIO DE VIVIENDA</w:t>
      </w:r>
      <w:bookmarkEnd w:id="15"/>
    </w:p>
    <w:p w:rsidR="00D37968" w:rsidRPr="00F242DB" w:rsidRDefault="00D37968" w:rsidP="009749B9">
      <w:pPr>
        <w:spacing w:after="0" w:line="240" w:lineRule="auto"/>
      </w:pPr>
      <w:r w:rsidRPr="00F242DB">
        <w:t xml:space="preserve">Dr. </w:t>
      </w:r>
      <w:r w:rsidR="003F410B" w:rsidRPr="00F242DB">
        <w:t>David Pinilla Calero</w:t>
      </w:r>
    </w:p>
    <w:p w:rsidR="00D37968" w:rsidRPr="000456A2" w:rsidRDefault="003F410B" w:rsidP="003F410B">
      <w:pPr>
        <w:pStyle w:val="Ttulo2"/>
        <w:rPr>
          <w:rFonts w:ascii="Verdana" w:eastAsia="Arial Narrow" w:hAnsi="Verdana"/>
        </w:rPr>
      </w:pPr>
      <w:bookmarkStart w:id="16" w:name="_Toc496861740"/>
      <w:r w:rsidRPr="000456A2">
        <w:rPr>
          <w:rFonts w:ascii="Verdana" w:eastAsia="Arial Narrow" w:hAnsi="Verdana"/>
        </w:rPr>
        <w:t xml:space="preserve">1 </w:t>
      </w:r>
      <w:r w:rsidR="00D44EBE" w:rsidRPr="000456A2">
        <w:rPr>
          <w:rFonts w:ascii="Verdana" w:eastAsia="Arial Narrow" w:hAnsi="Verdana"/>
        </w:rPr>
        <w:t>DIRECCIÓN DEL SISTEMA HABITACIONAL</w:t>
      </w:r>
      <w:bookmarkEnd w:id="16"/>
    </w:p>
    <w:p w:rsidR="00D37968" w:rsidRDefault="00D37968" w:rsidP="000E0FFB">
      <w:pPr>
        <w:pStyle w:val="Prrafodelista"/>
        <w:spacing w:after="0" w:line="240" w:lineRule="auto"/>
        <w:ind w:left="0"/>
        <w:rPr>
          <w:rFonts w:eastAsia="Arial Narrow"/>
          <w:szCs w:val="28"/>
        </w:rPr>
      </w:pPr>
      <w:r w:rsidRPr="00F242DB">
        <w:rPr>
          <w:rFonts w:eastAsia="Arial Narrow"/>
          <w:szCs w:val="28"/>
        </w:rPr>
        <w:t>Director</w:t>
      </w:r>
      <w:r w:rsidR="00D44EBE" w:rsidRPr="00F242DB">
        <w:rPr>
          <w:rFonts w:eastAsia="Arial Narrow"/>
          <w:szCs w:val="28"/>
        </w:rPr>
        <w:t>a</w:t>
      </w:r>
      <w:r w:rsidRPr="00F242DB">
        <w:rPr>
          <w:rFonts w:eastAsia="Arial Narrow"/>
          <w:szCs w:val="28"/>
        </w:rPr>
        <w:t xml:space="preserve">: Dra. </w:t>
      </w:r>
      <w:r w:rsidR="00D44EBE" w:rsidRPr="00F242DB">
        <w:rPr>
          <w:rFonts w:eastAsia="Arial Narrow"/>
          <w:szCs w:val="28"/>
        </w:rPr>
        <w:t>Sandra Murcia</w:t>
      </w:r>
    </w:p>
    <w:tbl>
      <w:tblPr>
        <w:tblpPr w:leftFromText="141" w:rightFromText="141" w:vertAnchor="text" w:horzAnchor="margin" w:tblpY="224"/>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48"/>
        <w:gridCol w:w="1724"/>
        <w:gridCol w:w="3049"/>
        <w:gridCol w:w="1715"/>
      </w:tblGrid>
      <w:tr w:rsidR="0079624A" w:rsidRPr="00B1123B" w:rsidTr="0032357C">
        <w:trPr>
          <w:trHeight w:val="513"/>
        </w:trPr>
        <w:tc>
          <w:tcPr>
            <w:tcW w:w="3048" w:type="dxa"/>
            <w:shd w:val="clear" w:color="auto" w:fill="993366"/>
            <w:vAlign w:val="center"/>
          </w:tcPr>
          <w:p w:rsidR="0079624A" w:rsidRPr="00F9219C" w:rsidRDefault="0079624A" w:rsidP="0079624A">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724" w:type="dxa"/>
            <w:shd w:val="clear" w:color="auto" w:fill="auto"/>
            <w:vAlign w:val="center"/>
          </w:tcPr>
          <w:p w:rsidR="0079624A" w:rsidRPr="00F9219C" w:rsidRDefault="0032357C" w:rsidP="0079624A">
            <w:pPr>
              <w:spacing w:after="0" w:line="240" w:lineRule="auto"/>
              <w:ind w:right="20"/>
              <w:jc w:val="center"/>
              <w:rPr>
                <w:rFonts w:eastAsia="Arial Narrow"/>
                <w:b/>
                <w:color w:val="FF0000"/>
              </w:rPr>
            </w:pPr>
            <w:r w:rsidRPr="0032357C">
              <w:rPr>
                <w:rFonts w:eastAsia="Arial Narrow"/>
                <w:b/>
              </w:rPr>
              <w:t>89.77%</w:t>
            </w:r>
          </w:p>
        </w:tc>
        <w:tc>
          <w:tcPr>
            <w:tcW w:w="3049" w:type="dxa"/>
            <w:shd w:val="clear" w:color="auto" w:fill="993366"/>
          </w:tcPr>
          <w:p w:rsidR="0079624A" w:rsidRPr="00B1123B" w:rsidRDefault="0079624A" w:rsidP="0079624A">
            <w:pPr>
              <w:spacing w:after="0" w:line="240" w:lineRule="auto"/>
              <w:ind w:right="20"/>
              <w:jc w:val="center"/>
              <w:rPr>
                <w:rFonts w:eastAsia="Arial Narrow"/>
              </w:rPr>
            </w:pPr>
            <w:r w:rsidRPr="007E4FEC">
              <w:rPr>
                <w:rFonts w:eastAsia="Arial Narrow"/>
                <w:b/>
                <w:color w:val="FFFFFF" w:themeColor="background1"/>
              </w:rPr>
              <w:t xml:space="preserve">Número de </w:t>
            </w:r>
            <w:r>
              <w:rPr>
                <w:rFonts w:eastAsia="Arial Narrow"/>
                <w:b/>
                <w:color w:val="FFFFFF" w:themeColor="background1"/>
              </w:rPr>
              <w:t xml:space="preserve">Iniciativas </w:t>
            </w:r>
          </w:p>
        </w:tc>
        <w:tc>
          <w:tcPr>
            <w:tcW w:w="1715" w:type="dxa"/>
            <w:vAlign w:val="center"/>
          </w:tcPr>
          <w:p w:rsidR="0079624A" w:rsidRPr="00307938" w:rsidRDefault="0079624A" w:rsidP="0079624A">
            <w:pPr>
              <w:spacing w:after="0" w:line="240" w:lineRule="auto"/>
              <w:ind w:right="20"/>
              <w:jc w:val="center"/>
              <w:rPr>
                <w:rFonts w:eastAsia="Arial Narrow"/>
                <w:b/>
              </w:rPr>
            </w:pPr>
            <w:r>
              <w:rPr>
                <w:rFonts w:eastAsia="Arial Narrow"/>
                <w:b/>
              </w:rPr>
              <w:t>5</w:t>
            </w:r>
          </w:p>
        </w:tc>
      </w:tr>
    </w:tbl>
    <w:p w:rsidR="00CE5BEC" w:rsidRDefault="00CE5BEC" w:rsidP="000E0FFB">
      <w:pPr>
        <w:pStyle w:val="Prrafodelista"/>
        <w:spacing w:after="0" w:line="240" w:lineRule="auto"/>
        <w:ind w:left="0"/>
        <w:rPr>
          <w:rFonts w:eastAsia="Arial Narrow"/>
          <w:szCs w:val="28"/>
        </w:rPr>
      </w:pPr>
    </w:p>
    <w:p w:rsidR="00180C6E" w:rsidRDefault="00180C6E" w:rsidP="000E0FFB">
      <w:pPr>
        <w:pStyle w:val="Prrafodelista"/>
        <w:spacing w:after="0" w:line="240" w:lineRule="auto"/>
        <w:ind w:left="0"/>
        <w:rPr>
          <w:rFonts w:eastAsia="Arial Narrow"/>
          <w:szCs w:val="28"/>
        </w:rPr>
      </w:pPr>
    </w:p>
    <w:p w:rsidR="00180C6E" w:rsidRDefault="00180C6E" w:rsidP="000E0FFB">
      <w:pPr>
        <w:pStyle w:val="Prrafodelista"/>
        <w:spacing w:after="0" w:line="240" w:lineRule="auto"/>
        <w:ind w:left="0"/>
        <w:rPr>
          <w:rFonts w:eastAsia="Arial Narrow"/>
          <w:szCs w:val="28"/>
        </w:rPr>
      </w:pPr>
    </w:p>
    <w:p w:rsidR="00CE5BEC" w:rsidRPr="00B152FC" w:rsidRDefault="00CE5BEC" w:rsidP="000E0FFB">
      <w:pPr>
        <w:pStyle w:val="Prrafodelista"/>
        <w:spacing w:after="0" w:line="240" w:lineRule="auto"/>
        <w:ind w:left="0"/>
        <w:rPr>
          <w:rFonts w:eastAsia="Arial Narrow"/>
          <w:sz w:val="32"/>
          <w:szCs w:val="28"/>
        </w:rPr>
      </w:pPr>
    </w:p>
    <w:p w:rsidR="00CE5BEC" w:rsidRPr="00B152FC" w:rsidRDefault="00CE5BEC" w:rsidP="00CE5BEC">
      <w:pPr>
        <w:spacing w:after="0" w:line="240" w:lineRule="auto"/>
        <w:rPr>
          <w:rFonts w:cs="FuturaStd-ExtraBold"/>
          <w:bCs/>
          <w:sz w:val="22"/>
          <w:szCs w:val="20"/>
        </w:rPr>
      </w:pPr>
      <w:r w:rsidRPr="00B152FC">
        <w:rPr>
          <w:rFonts w:cs="FuturaStd-ExtraBold"/>
          <w:bCs/>
          <w:sz w:val="22"/>
          <w:szCs w:val="20"/>
        </w:rPr>
        <w:t xml:space="preserve">La Dirección  cuenta con 5 iniciativas estratégicas, </w:t>
      </w:r>
      <w:r w:rsidR="003F410B" w:rsidRPr="00B152FC">
        <w:rPr>
          <w:rFonts w:cs="FuturaStd-ExtraBold"/>
          <w:bCs/>
          <w:sz w:val="22"/>
          <w:szCs w:val="20"/>
        </w:rPr>
        <w:t xml:space="preserve">cuya gestión </w:t>
      </w:r>
      <w:r w:rsidRPr="00B152FC">
        <w:rPr>
          <w:rFonts w:cs="FuturaStd-ExtraBold"/>
          <w:bCs/>
          <w:sz w:val="22"/>
          <w:szCs w:val="20"/>
        </w:rPr>
        <w:t xml:space="preserve">se detalla a continuación: </w:t>
      </w:r>
    </w:p>
    <w:p w:rsidR="0079624A" w:rsidRPr="00B152FC" w:rsidRDefault="0079624A" w:rsidP="006D396C">
      <w:pPr>
        <w:rPr>
          <w:rFonts w:cs="FuturaStd-ExtraBold"/>
          <w:b/>
          <w:bCs/>
          <w:sz w:val="22"/>
          <w:szCs w:val="20"/>
        </w:rPr>
      </w:pPr>
    </w:p>
    <w:p w:rsidR="00147039" w:rsidRPr="00B152FC" w:rsidRDefault="00147039" w:rsidP="00147039">
      <w:pPr>
        <w:rPr>
          <w:rFonts w:cs="FuturaStd-ExtraBold"/>
          <w:bCs/>
          <w:sz w:val="22"/>
          <w:szCs w:val="20"/>
        </w:rPr>
      </w:pPr>
      <w:r w:rsidRPr="00B152FC">
        <w:rPr>
          <w:rFonts w:cs="FuturaStd-ExtraBold"/>
          <w:b/>
          <w:bCs/>
          <w:sz w:val="22"/>
          <w:szCs w:val="20"/>
        </w:rPr>
        <w:t xml:space="preserve">1. Implementación del programa "Mi Casa Ya" para leasing habitacional y participación de ASOCAJAS dentro del programa: </w:t>
      </w:r>
      <w:r w:rsidRPr="00B152FC">
        <w:rPr>
          <w:rFonts w:cs="FuturaStd-ExtraBold"/>
          <w:bCs/>
          <w:sz w:val="22"/>
          <w:szCs w:val="20"/>
        </w:rPr>
        <w:t xml:space="preserve">La iniciativa reporta un avance del 100 %, teniendo en cuenta que se realizaron dos (2) mesas de trabajo con los bancos y dos (2) mesas de trabajo con </w:t>
      </w:r>
      <w:proofErr w:type="spellStart"/>
      <w:r w:rsidRPr="00B152FC">
        <w:rPr>
          <w:rFonts w:cs="FuturaStd-ExtraBold"/>
          <w:bCs/>
          <w:sz w:val="22"/>
          <w:szCs w:val="20"/>
        </w:rPr>
        <w:t>Asocajas</w:t>
      </w:r>
      <w:proofErr w:type="spellEnd"/>
      <w:r w:rsidRPr="00B152FC">
        <w:rPr>
          <w:rFonts w:cs="FuturaStd-ExtraBold"/>
          <w:bCs/>
          <w:sz w:val="22"/>
          <w:szCs w:val="20"/>
        </w:rPr>
        <w:t xml:space="preserve"> (se contemplaban en total 4 mesas de trabajo en el año), donde esas agremiaciones estuvieron de acuerdo con las modificaciones propuestas al programa “Mi Casa Ya”, y estas quedaron estipulados en el Decreto 729 del 5 de mayo de 2017 “Por el cual se modifica el Decreto 1077 de 2015. Cabe anotar que la medición para la ejecución de esta iniciativa, no contempla el indicador con rezago relacionado con “Porcentaje de hogares urbanos en condición de vivienda cuantitativo Vigencia 2016” debido a que este valor para la vigencia 2017 se reporta Anual con 120 días de rezago, es decir en la vigencia 2018. </w:t>
      </w:r>
    </w:p>
    <w:p w:rsidR="00147039" w:rsidRDefault="00147039" w:rsidP="00147039">
      <w:pPr>
        <w:rPr>
          <w:rFonts w:cs="FuturaStd-ExtraBold"/>
          <w:bCs/>
          <w:sz w:val="22"/>
          <w:szCs w:val="20"/>
        </w:rPr>
      </w:pPr>
      <w:r w:rsidRPr="00B152FC">
        <w:rPr>
          <w:rFonts w:cs="FuturaStd-ExtraBold"/>
          <w:b/>
          <w:bCs/>
          <w:sz w:val="22"/>
          <w:szCs w:val="20"/>
        </w:rPr>
        <w:t>2. Diseñar la política de vivienda en arrendamiento:</w:t>
      </w:r>
      <w:r w:rsidRPr="00B152FC">
        <w:rPr>
          <w:rFonts w:cs="FuturaStd-ExtraBold"/>
          <w:bCs/>
          <w:sz w:val="22"/>
          <w:szCs w:val="20"/>
        </w:rPr>
        <w:t xml:space="preserve"> </w:t>
      </w:r>
      <w:r w:rsidR="00DC2358" w:rsidRPr="00B152FC">
        <w:rPr>
          <w:rFonts w:cs="FuturaStd-ExtraBold"/>
          <w:bCs/>
          <w:sz w:val="22"/>
          <w:szCs w:val="20"/>
        </w:rPr>
        <w:t>la Iniciativa registra una ejecución del 100%,</w:t>
      </w:r>
      <w:r w:rsidR="00DC2358" w:rsidRPr="00B152FC">
        <w:rPr>
          <w:rFonts w:cs="FuturaStd-ExtraBold"/>
          <w:b/>
          <w:bCs/>
          <w:sz w:val="22"/>
          <w:szCs w:val="20"/>
        </w:rPr>
        <w:t xml:space="preserve"> </w:t>
      </w:r>
      <w:r w:rsidR="00DC2358" w:rsidRPr="00B152FC">
        <w:rPr>
          <w:rFonts w:cs="FuturaStd-ExtraBold"/>
          <w:bCs/>
          <w:sz w:val="22"/>
          <w:szCs w:val="20"/>
        </w:rPr>
        <w:t>s</w:t>
      </w:r>
      <w:r w:rsidRPr="00B152FC">
        <w:rPr>
          <w:rFonts w:cs="FuturaStd-ExtraBold"/>
          <w:bCs/>
          <w:sz w:val="22"/>
          <w:szCs w:val="20"/>
        </w:rPr>
        <w:t xml:space="preserve">e realizaron dos (2) mesas de trabajo con Secretaria Distrital del Hábitat, para la revisión metodológica del Programa Integral de Vivienda Efectiva – PIVE de la secretaría, en el marco del diseño de una política de arrendamiento social a nivel nacional.  Mesa de trabajo con un consultor del BID y funcionarios del MVCT, donde se revisó el avance del diseño de la política de arrendamiento.   El 18 de abril se realizó una (1) mesa de trabajo en la cual se revisó la posibilidad del proyecto piloto del programa de arrendamiento y en mayo se participó en el seminario internacional “Innovaciones en Política de Vivienda”, organizado por el Banco Interamericano de Desarrollo BID, espacio en el cual se dieron a conocer los estudios y el diagnóstico resultante de la cooperación técnica y se discutieron las recomendaciones de políticas con las representaciones de cada país y los expertos internacionales (BID, KRIHS, Agencia Francesa de Desarrollo, entre otros) así mismo, se exploraron las opciones para la implementación de las propuestas en materia de alquiler compartiendo las experiencias de estrategias locales de vivienda de América Latina e internacionales. Cabe anotar que la medición para la ejecución de esta iniciativa, no contempla el indicador </w:t>
      </w:r>
      <w:r w:rsidRPr="00B152FC">
        <w:rPr>
          <w:rFonts w:cs="FuturaStd-ExtraBold"/>
          <w:bCs/>
          <w:sz w:val="22"/>
          <w:szCs w:val="20"/>
        </w:rPr>
        <w:lastRenderedPageBreak/>
        <w:t>con rezago relacionado con “Porcentaje de hogares urbanos en condición de vivienda cualitativo Vigencia 2016” debido a que este valor para la vigencia 2017 se reporta Anual con 120 días de rezago, es decir en la vigencia 2018.</w:t>
      </w:r>
    </w:p>
    <w:p w:rsidR="00B152FC" w:rsidRDefault="00B152FC" w:rsidP="00147039">
      <w:pPr>
        <w:rPr>
          <w:rFonts w:cs="FuturaStd-ExtraBold"/>
          <w:bCs/>
          <w:sz w:val="22"/>
          <w:szCs w:val="20"/>
        </w:rPr>
      </w:pPr>
    </w:p>
    <w:p w:rsidR="00B152FC" w:rsidRDefault="00B152FC" w:rsidP="00B152FC">
      <w:pPr>
        <w:jc w:val="center"/>
        <w:rPr>
          <w:rFonts w:cs="FuturaStd-ExtraBold"/>
          <w:bCs/>
          <w:sz w:val="22"/>
          <w:szCs w:val="20"/>
        </w:rPr>
      </w:pPr>
      <w:r w:rsidRPr="00124A49">
        <w:rPr>
          <w:noProof/>
          <w:bdr w:val="single" w:sz="12" w:space="0" w:color="auto"/>
          <w:lang w:eastAsia="es-CO"/>
        </w:rPr>
        <w:drawing>
          <wp:inline distT="0" distB="0" distL="0" distR="0" wp14:anchorId="09608AE0" wp14:editId="57BC58C3">
            <wp:extent cx="6572250" cy="4076700"/>
            <wp:effectExtent l="0" t="0" r="0" b="0"/>
            <wp:docPr id="2494" name="Imagen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90832" cy="4088226"/>
                    </a:xfrm>
                    <a:prstGeom prst="rect">
                      <a:avLst/>
                    </a:prstGeom>
                    <a:noFill/>
                    <a:ln>
                      <a:noFill/>
                    </a:ln>
                  </pic:spPr>
                </pic:pic>
              </a:graphicData>
            </a:graphic>
          </wp:inline>
        </w:drawing>
      </w:r>
    </w:p>
    <w:p w:rsidR="000D778D" w:rsidRPr="00B152FC" w:rsidRDefault="000D778D" w:rsidP="000D778D">
      <w:pPr>
        <w:rPr>
          <w:rFonts w:cs="FuturaStd-ExtraBold"/>
          <w:bCs/>
          <w:sz w:val="22"/>
          <w:szCs w:val="20"/>
        </w:rPr>
      </w:pPr>
      <w:r w:rsidRPr="00B152FC">
        <w:rPr>
          <w:rFonts w:cs="FuturaStd-ExtraBold"/>
          <w:b/>
          <w:bCs/>
          <w:sz w:val="22"/>
          <w:szCs w:val="20"/>
        </w:rPr>
        <w:t xml:space="preserve">3. Brindar asistencias técnicas y jurídicas a las entidades territoriales y/o del orden nacional, en el marco del Programa Nacional de Titulación de Predios Fiscales y Privados: </w:t>
      </w:r>
      <w:r w:rsidRPr="00B152FC">
        <w:rPr>
          <w:rFonts w:cs="FuturaStd-ExtraBold"/>
          <w:bCs/>
          <w:sz w:val="22"/>
          <w:szCs w:val="20"/>
        </w:rPr>
        <w:t xml:space="preserve">mediante Proyecto de Titulación de Predios Fiscales, para la medición de la iniciativa, se estructuraron 3 actividades presentando el siguiente comportamiento a corte 30 de </w:t>
      </w:r>
      <w:r w:rsidR="00BE2669">
        <w:rPr>
          <w:rFonts w:cs="FuturaStd-ExtraBold"/>
          <w:bCs/>
          <w:sz w:val="22"/>
          <w:szCs w:val="20"/>
        </w:rPr>
        <w:t>septiembre</w:t>
      </w:r>
      <w:r w:rsidRPr="00B152FC">
        <w:rPr>
          <w:rFonts w:cs="FuturaStd-ExtraBold"/>
          <w:bCs/>
          <w:sz w:val="22"/>
          <w:szCs w:val="20"/>
        </w:rPr>
        <w:t xml:space="preserve"> de 2017:</w:t>
      </w:r>
    </w:p>
    <w:p w:rsidR="000D778D" w:rsidRPr="00B152FC" w:rsidRDefault="000D778D" w:rsidP="000D778D">
      <w:pPr>
        <w:pStyle w:val="Prrafodelista"/>
        <w:numPr>
          <w:ilvl w:val="0"/>
          <w:numId w:val="19"/>
        </w:numPr>
        <w:rPr>
          <w:rFonts w:cs="FuturaStd-ExtraBold"/>
          <w:b/>
          <w:bCs/>
          <w:sz w:val="22"/>
          <w:szCs w:val="20"/>
        </w:rPr>
      </w:pPr>
      <w:r w:rsidRPr="00B152FC">
        <w:rPr>
          <w:rFonts w:cs="FuturaStd-ExtraBold"/>
          <w:b/>
          <w:bCs/>
          <w:sz w:val="22"/>
          <w:szCs w:val="20"/>
        </w:rPr>
        <w:lastRenderedPageBreak/>
        <w:t>Contrato interadministrativo suscrito con el Instituto Geográfico Agustín Codazzi – IGAC</w:t>
      </w:r>
      <w:r w:rsidRPr="00B152FC">
        <w:rPr>
          <w:rFonts w:cs="FuturaStd-ExtraBold"/>
          <w:bCs/>
          <w:sz w:val="22"/>
          <w:szCs w:val="20"/>
        </w:rPr>
        <w:t>.  Actualmente cuenta con un avances del 100%, para esto el Grupo de Titulación y Saneamiento Predial realizó la suscripción del convenio interadministrativo No. 005 con el IGAC el día 28 de abril de 2017, con recursos aportado por el MVCT por valor de $1.090 millones, con el objeto de “Aunar esfuerzos interinstitucionales entre el INSTITUTO GEOGRÁFICO AGUSTÍN CODAZZI - IGAC y el MVCT, para la consecución de información catastral que permita la identificación y/o el saneamiento de la propiedad inmueble urbana de las entidades que se vinculen al Programa Nacional de Titulación”.</w:t>
      </w:r>
    </w:p>
    <w:p w:rsidR="000D778D" w:rsidRPr="00B152FC" w:rsidRDefault="000D778D" w:rsidP="000D778D">
      <w:pPr>
        <w:pStyle w:val="Prrafodelista"/>
        <w:spacing w:line="240" w:lineRule="auto"/>
        <w:rPr>
          <w:rFonts w:cs="FuturaStd-ExtraBold"/>
          <w:bCs/>
          <w:sz w:val="22"/>
          <w:szCs w:val="20"/>
        </w:rPr>
      </w:pPr>
      <w:r w:rsidRPr="00B152FC">
        <w:rPr>
          <w:rFonts w:cs="FuturaStd-ExtraBold"/>
          <w:bCs/>
          <w:sz w:val="22"/>
          <w:szCs w:val="20"/>
        </w:rPr>
        <w:t xml:space="preserve">Mediante estos trabajos de campos desarrollados por el IGAC, el Ministerio le entregará a las entidades territoriales y/o entidades públicas nacionales los productos o insumos necesarios, tales como, Planos de Conjunto, Conservación Catastral, avalúos, Certificados Planos Prediales Catastrales, Archivos Digitales en Formato </w:t>
      </w:r>
      <w:proofErr w:type="spellStart"/>
      <w:r w:rsidRPr="00B152FC">
        <w:rPr>
          <w:rFonts w:cs="FuturaStd-ExtraBold"/>
          <w:bCs/>
          <w:sz w:val="22"/>
          <w:szCs w:val="20"/>
        </w:rPr>
        <w:t>Shape</w:t>
      </w:r>
      <w:proofErr w:type="spellEnd"/>
      <w:r w:rsidRPr="00B152FC">
        <w:rPr>
          <w:rFonts w:cs="FuturaStd-ExtraBold"/>
          <w:bCs/>
          <w:sz w:val="22"/>
          <w:szCs w:val="20"/>
        </w:rPr>
        <w:t xml:space="preserve"> y Fechas Prediales, a fin de que las mismas puedan determinar su ubicación y constatar el rango de vivienda de interés social – VIS, así de esta manera actualizar y fortalecer las bases catastrales de dichos municipios y permitir adelantar los procesos de titulación de predios fiscales urbanos ocupados con vivienda de interés social, cuyo objeto es fortalecer el desarrollo de los procesos de cesión a título gratuito de bienes fiscales urbanos de propiedad de los entes territoriales a nivel nacional.</w:t>
      </w:r>
    </w:p>
    <w:p w:rsidR="00147039" w:rsidRPr="0032357C" w:rsidRDefault="00147039" w:rsidP="00147039">
      <w:pPr>
        <w:pStyle w:val="Prrafodelista"/>
        <w:rPr>
          <w:rFonts w:cs="FuturaStd-ExtraBold"/>
          <w:bCs/>
          <w:sz w:val="20"/>
          <w:szCs w:val="20"/>
        </w:rPr>
      </w:pPr>
    </w:p>
    <w:p w:rsidR="00147039" w:rsidRPr="00B152FC" w:rsidRDefault="00147039" w:rsidP="00292770">
      <w:pPr>
        <w:pStyle w:val="Prrafodelista"/>
        <w:numPr>
          <w:ilvl w:val="0"/>
          <w:numId w:val="15"/>
        </w:numPr>
        <w:autoSpaceDE w:val="0"/>
        <w:autoSpaceDN w:val="0"/>
        <w:adjustRightInd w:val="0"/>
        <w:rPr>
          <w:rFonts w:cs="FuturaStd-ExtraBold"/>
          <w:b/>
          <w:bCs/>
          <w:sz w:val="22"/>
          <w:szCs w:val="20"/>
        </w:rPr>
      </w:pPr>
      <w:r w:rsidRPr="00B152FC">
        <w:rPr>
          <w:b/>
          <w:sz w:val="22"/>
          <w:szCs w:val="20"/>
        </w:rPr>
        <w:t xml:space="preserve">Asistir técnica y jurídicamente a los entes territoriales (municipios y departamentos) para adelantar el Programa Nacional de Titulación.  </w:t>
      </w:r>
      <w:r w:rsidRPr="00B152FC">
        <w:rPr>
          <w:sz w:val="22"/>
          <w:szCs w:val="20"/>
        </w:rPr>
        <w:t xml:space="preserve">Se han adelantado asistencia técnica y jurídica a 22 de las 30 entidades territoriales programadas, acerca del Programa Nacional de Titulación de Predios Fiscales.  El MVCT a través del Grupo de Titulación y Saneamiento Predial adelanta esta actividad con el fin brindar el acompañamiento, capacitaciones y asistencias a las entidades vinculadas al programa, con el fin de fortalecer a las mismas en los componentes técnicos y jurídicos del proceso de cesión gratuita de bienes fiscales urbanos de propiedad de las entidades territoriales y/o entidades del orden nacional, además, este componente se requiere, no solo para el acompañamiento jurídico en la identificación de los predios fiscales susceptibles de ser incorporados al Programa de Titulación, sino también en la elaboración y notificación de los actos administrativos de cesión a títulos gratuito y su inscripción en la Oficinas de Registro de Instrumentos </w:t>
      </w:r>
      <w:r w:rsidRPr="00B152FC">
        <w:rPr>
          <w:rFonts w:cs="FuturaStd-ExtraBold"/>
          <w:bCs/>
          <w:sz w:val="22"/>
          <w:szCs w:val="20"/>
        </w:rPr>
        <w:t>Públicos. Esta actividad reporta un avance de 73,3%.</w:t>
      </w:r>
    </w:p>
    <w:p w:rsidR="00147039" w:rsidRPr="00B152FC" w:rsidRDefault="00147039" w:rsidP="00147039">
      <w:pPr>
        <w:pStyle w:val="Prrafodelista"/>
        <w:autoSpaceDE w:val="0"/>
        <w:autoSpaceDN w:val="0"/>
        <w:adjustRightInd w:val="0"/>
        <w:rPr>
          <w:rFonts w:cs="FuturaStd-ExtraBold"/>
          <w:b/>
          <w:bCs/>
          <w:sz w:val="22"/>
          <w:szCs w:val="20"/>
        </w:rPr>
      </w:pPr>
    </w:p>
    <w:p w:rsidR="00147039" w:rsidRPr="00B152FC" w:rsidRDefault="00147039" w:rsidP="00292770">
      <w:pPr>
        <w:pStyle w:val="Prrafodelista"/>
        <w:numPr>
          <w:ilvl w:val="0"/>
          <w:numId w:val="19"/>
        </w:numPr>
        <w:spacing w:line="240" w:lineRule="auto"/>
        <w:rPr>
          <w:sz w:val="22"/>
          <w:szCs w:val="20"/>
        </w:rPr>
      </w:pPr>
      <w:r w:rsidRPr="00B152FC">
        <w:rPr>
          <w:b/>
          <w:sz w:val="22"/>
          <w:szCs w:val="20"/>
        </w:rPr>
        <w:t xml:space="preserve">Generar 6000 títulos  de propiedad mediante el programa de cesión a título gratuito.  </w:t>
      </w:r>
      <w:r w:rsidRPr="00B152FC">
        <w:rPr>
          <w:rFonts w:cs="FuturaStd-ExtraBold"/>
          <w:bCs/>
          <w:sz w:val="22"/>
          <w:szCs w:val="20"/>
        </w:rPr>
        <w:t>El Grupo de</w:t>
      </w:r>
      <w:r w:rsidRPr="00B152FC">
        <w:rPr>
          <w:sz w:val="22"/>
          <w:szCs w:val="20"/>
        </w:rPr>
        <w:t xml:space="preserve"> Titulación y Saneamiento ha apoyado a las entidades territoriales en los procesos de cesión a título gratuito, mediante los cuales se ha logrado generar un total de 4.273 títulos de propiedad, en 19 municipios beneficiando aproximadamente a 17.092 personas. Teniendo en cuenta que la meta para el 2017 es de 6000 títulos de propiedad, se registra para esta actividad un avance del 71,2%. </w:t>
      </w:r>
      <w:r w:rsidRPr="00B152FC">
        <w:rPr>
          <w:rFonts w:cs="FuturaStd-ExtraBold"/>
          <w:bCs/>
          <w:sz w:val="22"/>
          <w:szCs w:val="20"/>
        </w:rPr>
        <w:t xml:space="preserve">La titulación de bienes fiscales, brinda al ocupante beneficios como una adecuada seguridad jurídica de las familias y constituye un activo, </w:t>
      </w:r>
      <w:r w:rsidRPr="00B152FC">
        <w:rPr>
          <w:rFonts w:cs="FuturaStd-ExtraBold"/>
          <w:bCs/>
          <w:sz w:val="22"/>
          <w:szCs w:val="20"/>
        </w:rPr>
        <w:lastRenderedPageBreak/>
        <w:t>permite al beneficiario acceso a créditos y banca de oportunidades, el inmueble se incrementa entre un 40% y 50% el valor; para la entidad territorial aumenta el recaudo por concepto de impuesto predial, se sanean los bienes inmuebles ocupados informalmente y se fortalece el mercado inmobiliario, y por último, le permite al Ente Público Nacional efectuar el saneamiento de la propiedad inmueble a su cargo, mejorando su saneamiento contable y contribuyendo a la solución efectiva en materia de informalidad en la tenencia de la tierra urbana.</w:t>
      </w:r>
    </w:p>
    <w:p w:rsidR="00147039" w:rsidRPr="00B152FC" w:rsidRDefault="00147039" w:rsidP="00147039">
      <w:pPr>
        <w:pStyle w:val="Prrafodelista"/>
        <w:autoSpaceDE w:val="0"/>
        <w:autoSpaceDN w:val="0"/>
        <w:adjustRightInd w:val="0"/>
        <w:rPr>
          <w:sz w:val="22"/>
          <w:szCs w:val="20"/>
        </w:rPr>
      </w:pPr>
    </w:p>
    <w:p w:rsidR="00147039" w:rsidRPr="00B152FC" w:rsidRDefault="00147039" w:rsidP="00147039">
      <w:pPr>
        <w:pStyle w:val="Prrafodelista"/>
        <w:ind w:left="0"/>
        <w:rPr>
          <w:sz w:val="22"/>
          <w:szCs w:val="20"/>
        </w:rPr>
      </w:pPr>
      <w:r w:rsidRPr="00B152FC">
        <w:rPr>
          <w:sz w:val="22"/>
          <w:szCs w:val="20"/>
        </w:rPr>
        <w:t>Teniendo en cuenta las actividades descritas anteriormente, la ejecución de la iniciativa estratégica es de 7</w:t>
      </w:r>
      <w:r w:rsidR="00DC2358" w:rsidRPr="00B152FC">
        <w:rPr>
          <w:sz w:val="22"/>
          <w:szCs w:val="20"/>
        </w:rPr>
        <w:t>4</w:t>
      </w:r>
      <w:r w:rsidRPr="00B152FC">
        <w:rPr>
          <w:sz w:val="22"/>
          <w:szCs w:val="20"/>
        </w:rPr>
        <w:t>,</w:t>
      </w:r>
      <w:r w:rsidR="00DC2358" w:rsidRPr="00B152FC">
        <w:rPr>
          <w:sz w:val="22"/>
          <w:szCs w:val="20"/>
        </w:rPr>
        <w:t>31</w:t>
      </w:r>
      <w:r w:rsidRPr="00B152FC">
        <w:rPr>
          <w:sz w:val="22"/>
          <w:szCs w:val="20"/>
        </w:rPr>
        <w:t xml:space="preserve">%. </w:t>
      </w:r>
    </w:p>
    <w:p w:rsidR="00147039" w:rsidRPr="00B152FC" w:rsidRDefault="00147039" w:rsidP="00147039">
      <w:pPr>
        <w:pStyle w:val="Prrafodelista"/>
        <w:ind w:left="0"/>
        <w:rPr>
          <w:sz w:val="22"/>
          <w:szCs w:val="20"/>
        </w:rPr>
      </w:pPr>
    </w:p>
    <w:p w:rsidR="00147039" w:rsidRPr="00B152FC" w:rsidRDefault="00147039" w:rsidP="00DC2358">
      <w:pPr>
        <w:autoSpaceDE w:val="0"/>
        <w:autoSpaceDN w:val="0"/>
        <w:adjustRightInd w:val="0"/>
        <w:rPr>
          <w:rFonts w:cs="FuturaStd-ExtraBold"/>
          <w:b/>
          <w:bCs/>
          <w:sz w:val="22"/>
          <w:szCs w:val="20"/>
        </w:rPr>
      </w:pPr>
      <w:r w:rsidRPr="00B152FC">
        <w:rPr>
          <w:rFonts w:cs="FuturaStd-ExtraBold"/>
          <w:b/>
          <w:bCs/>
          <w:sz w:val="22"/>
          <w:szCs w:val="20"/>
        </w:rPr>
        <w:t>4. Realizar actividades de saneamiento de los bienes inmuebles del extinto ICT-INURBE:</w:t>
      </w:r>
    </w:p>
    <w:p w:rsidR="00147039" w:rsidRPr="00B152FC" w:rsidRDefault="00147039" w:rsidP="00147039">
      <w:pPr>
        <w:ind w:left="360"/>
        <w:rPr>
          <w:rFonts w:cs="Arial"/>
          <w:sz w:val="22"/>
          <w:szCs w:val="20"/>
        </w:rPr>
      </w:pPr>
      <w:r w:rsidRPr="00B152FC">
        <w:rPr>
          <w:rFonts w:cs="Arial"/>
          <w:sz w:val="22"/>
          <w:szCs w:val="20"/>
        </w:rPr>
        <w:t>Durante el año 2017, mediante el Proyecto de Saneamiento de Bienes Inmuebles de los extintos ICT-INURBE, se estructuraron 3 actividades, que en conjunto evidencian la ejecución de la iniciativa estratégica en 74,5%. Estas actividades presentan el siguiente comportamiento a corte 30 de septiembre de 2017:</w:t>
      </w:r>
    </w:p>
    <w:p w:rsidR="00147039" w:rsidRPr="00B152FC" w:rsidRDefault="00147039" w:rsidP="00147039">
      <w:pPr>
        <w:pStyle w:val="Prrafodelista"/>
        <w:rPr>
          <w:sz w:val="22"/>
          <w:szCs w:val="20"/>
        </w:rPr>
      </w:pPr>
    </w:p>
    <w:p w:rsidR="00147039" w:rsidRPr="00B152FC" w:rsidRDefault="00147039" w:rsidP="00292770">
      <w:pPr>
        <w:pStyle w:val="Prrafodelista"/>
        <w:numPr>
          <w:ilvl w:val="0"/>
          <w:numId w:val="6"/>
        </w:numPr>
        <w:rPr>
          <w:sz w:val="22"/>
          <w:szCs w:val="20"/>
        </w:rPr>
      </w:pPr>
      <w:r w:rsidRPr="00B152FC">
        <w:rPr>
          <w:b/>
          <w:sz w:val="22"/>
          <w:szCs w:val="20"/>
        </w:rPr>
        <w:t xml:space="preserve">Analizar la viabilidad de las solicitudes recibidas.  </w:t>
      </w:r>
      <w:r w:rsidRPr="00B152FC">
        <w:rPr>
          <w:sz w:val="22"/>
          <w:szCs w:val="20"/>
        </w:rPr>
        <w:t>Actualmente cuenta con un avances del 75%, para esto el Grupo de Titulación y Saneamiento Predial - GTSP ha presentado 9 reportes sobre la correspondencia y solicitudes recibidas. El total de la correspondencia recibida a las fecha es de 4.280. Para atender estos requerimientos, se ha requerido la contratación de prestación de servicios profesionales con un presupuesto comprometido a la fecha por valor de $1.774,6 millones.  En esta actividad y con estos recursos el GTSP del MVCT presta los servicios tales como, acompañamiento, asesoría, apoyo técnico y jurídico que se deben adelantar en el proceso de revisión, análisis, sustanciación, conceptualización y aplicación de todos los procesos y procedimientos que corresponden a los inmuebles sujetos a saneamiento y legalización de los extintos ICT/INURBE, permitiendo así fortalecer la capacidad para atender las gestiones administrativas requeridas en dichos procesos.</w:t>
      </w:r>
    </w:p>
    <w:p w:rsidR="00147039" w:rsidRPr="00B152FC" w:rsidRDefault="00147039" w:rsidP="00147039">
      <w:pPr>
        <w:pStyle w:val="Prrafodelista"/>
        <w:rPr>
          <w:sz w:val="22"/>
          <w:szCs w:val="20"/>
        </w:rPr>
      </w:pPr>
    </w:p>
    <w:p w:rsidR="000D778D" w:rsidRPr="00B152FC" w:rsidRDefault="00147039" w:rsidP="000D778D">
      <w:pPr>
        <w:pStyle w:val="Prrafodelista"/>
        <w:numPr>
          <w:ilvl w:val="0"/>
          <w:numId w:val="6"/>
        </w:numPr>
        <w:rPr>
          <w:sz w:val="22"/>
          <w:szCs w:val="20"/>
        </w:rPr>
      </w:pPr>
      <w:r w:rsidRPr="00B152FC">
        <w:rPr>
          <w:b/>
          <w:sz w:val="22"/>
          <w:szCs w:val="20"/>
        </w:rPr>
        <w:t xml:space="preserve">Reporte de 2.000 actividades de saneamiento de predios realizados.  </w:t>
      </w:r>
      <w:r w:rsidRPr="00B152FC">
        <w:rPr>
          <w:sz w:val="22"/>
          <w:szCs w:val="20"/>
        </w:rPr>
        <w:t xml:space="preserve">Esta actividad cuenta con un avance del 74,5% para esto, se ha adelantado a la fecha 1.489 actividades de saneamiento de predios de los extintos ICT – INURBE. Esta actividad contempla todas las acciones adelantadas por el GTSP en el ejercicio de sus labores tales como: Requisición de documentos para el estudio de los trámites y adelantar los estudios técnicos y jurídicos, la expedición de resoluciones y su consecuente actuación administrativa para la transferencia de los inmuebles conforme lo indique la normatividad vigente o identificar la dependencia </w:t>
      </w:r>
      <w:r w:rsidRPr="00B152FC">
        <w:rPr>
          <w:sz w:val="22"/>
          <w:szCs w:val="20"/>
        </w:rPr>
        <w:lastRenderedPageBreak/>
        <w:t>competente dentro del Ministerio para adelantar los trámites pertinentes en cuanto a:  a) Cesión a título gratuito de bienes fiscales;  b) Enajenación directa de viviendas de interés social ocupadas ilegalmente de propiedad; c) Enajenación de bienes ocupados por instituciones religiosas e iglesias; d) Cesión a título gratuito de bienes con vocación de uso público y/o zonas de cesión obligatoria y gratuita; e) Cancelación de gravámenes a favor del ICT-INURBE.  Beneficiando a las entidades territoriales, personas naturales, con trámites pendientes y ocupantes de predios de los extintos ICT-INURBE en el país. Lo anterior, busca disminuir los niveles de informalidad de la tenencia de los bienes inmuebles de los extintos ICT-INURBE y formalizar los derechos adquiridos por</w:t>
      </w:r>
      <w:r w:rsidR="000D778D" w:rsidRPr="00B152FC">
        <w:rPr>
          <w:sz w:val="22"/>
          <w:szCs w:val="20"/>
        </w:rPr>
        <w:t xml:space="preserve"> los hogares beneficiados por los diferentes  programas adelantados en existencia de las entidades anteriormente mencionadas. </w:t>
      </w:r>
    </w:p>
    <w:p w:rsidR="000D778D" w:rsidRPr="00B152FC" w:rsidRDefault="000D778D" w:rsidP="000D778D">
      <w:pPr>
        <w:pStyle w:val="Prrafodelista"/>
        <w:rPr>
          <w:sz w:val="22"/>
          <w:szCs w:val="20"/>
        </w:rPr>
      </w:pPr>
    </w:p>
    <w:p w:rsidR="000D778D" w:rsidRPr="00B152FC" w:rsidRDefault="000D778D" w:rsidP="000D778D">
      <w:pPr>
        <w:pStyle w:val="Prrafodelista"/>
        <w:numPr>
          <w:ilvl w:val="0"/>
          <w:numId w:val="6"/>
        </w:numPr>
        <w:rPr>
          <w:sz w:val="22"/>
          <w:szCs w:val="20"/>
        </w:rPr>
      </w:pPr>
      <w:r w:rsidRPr="00B152FC">
        <w:rPr>
          <w:b/>
          <w:sz w:val="22"/>
          <w:szCs w:val="20"/>
        </w:rPr>
        <w:t xml:space="preserve">Realizar el seguimiento trimestral a la depuración de predios.  </w:t>
      </w:r>
      <w:r w:rsidRPr="00B152FC">
        <w:rPr>
          <w:sz w:val="22"/>
          <w:szCs w:val="20"/>
        </w:rPr>
        <w:t xml:space="preserve">Actualmente esta actividad cuenta con un avance del 75%, para esto el Grupo de Titulación y Saneamiento ha presentado hasta la fecha (3) informes relacionados con el seguimiento y avances de las actividades de depuración adelantadas por el grupo a la base de datos del extinto ICT – INURBE.  El fin de esta actividad es establecer el potencial real de predios para el saneamiento y poder establecer de manera más precisa el horizonte de trabajo, a la fecha se ha depurado un total de 25.684 registros.  </w:t>
      </w:r>
    </w:p>
    <w:p w:rsidR="000D778D" w:rsidRPr="00B152FC" w:rsidRDefault="000D778D" w:rsidP="000D778D">
      <w:pPr>
        <w:pStyle w:val="Prrafodelista"/>
        <w:rPr>
          <w:sz w:val="22"/>
          <w:szCs w:val="20"/>
        </w:rPr>
      </w:pPr>
    </w:p>
    <w:p w:rsidR="000D778D" w:rsidRPr="00B152FC" w:rsidRDefault="000D778D" w:rsidP="000D778D">
      <w:pPr>
        <w:rPr>
          <w:sz w:val="22"/>
          <w:szCs w:val="20"/>
        </w:rPr>
      </w:pPr>
      <w:r w:rsidRPr="00B152FC">
        <w:rPr>
          <w:sz w:val="22"/>
          <w:szCs w:val="20"/>
        </w:rPr>
        <w:t>De acuerdo a lo anterior, la iniciativa presenta un avance del 74,5% al 30 de septiembre de 2017.</w:t>
      </w:r>
    </w:p>
    <w:p w:rsidR="000D778D" w:rsidRPr="00B152FC" w:rsidRDefault="000D778D" w:rsidP="000D778D">
      <w:pPr>
        <w:rPr>
          <w:sz w:val="22"/>
          <w:szCs w:val="20"/>
        </w:rPr>
      </w:pPr>
      <w:r w:rsidRPr="00B152FC">
        <w:rPr>
          <w:rFonts w:cs="FuturaStd-ExtraBold"/>
          <w:b/>
          <w:bCs/>
          <w:sz w:val="22"/>
          <w:szCs w:val="20"/>
        </w:rPr>
        <w:t>5. Formulación de instrumentos normativos para la política de vivienda urbana</w:t>
      </w:r>
      <w:r w:rsidRPr="00B152FC">
        <w:rPr>
          <w:b/>
          <w:sz w:val="22"/>
          <w:szCs w:val="20"/>
        </w:rPr>
        <w:t xml:space="preserve">: </w:t>
      </w:r>
      <w:r w:rsidRPr="00B152FC">
        <w:rPr>
          <w:sz w:val="22"/>
          <w:szCs w:val="20"/>
        </w:rPr>
        <w:t xml:space="preserve">Actualmente se han elaborado cuatro (4) memorias justificativas correspondientes a cuatro (4) proyectos normativos de los cuatro (4) programados para la vigencia. Dos del marco de la Segunda Etapa del Programa de Vivienda Gratuita, uno en el marco del Programa de Vivienda de Interés Prioritario para Ahorradores – VIPA y uno modificando algunas disposiciones del Decreto 1077 de 2015, relativas a la </w:t>
      </w:r>
      <w:r w:rsidRPr="00B152FC">
        <w:rPr>
          <w:rFonts w:eastAsia="Times New Roman" w:cs="Arial"/>
          <w:sz w:val="22"/>
          <w:szCs w:val="20"/>
          <w:lang w:eastAsia="es-CO"/>
        </w:rPr>
        <w:t>garantía del derecho a la vivienda para la población víctima de desplazamiento forzado y los hogares afectados por la crisis fronteriza</w:t>
      </w:r>
      <w:r w:rsidRPr="00B152FC">
        <w:rPr>
          <w:sz w:val="22"/>
          <w:szCs w:val="20"/>
        </w:rPr>
        <w:t>; para esto se han realizado cuatro (4) publicaciones de proyectos normativos en la página web del ministerio. Dado lo anterior, la iniciativa reporta un avance del 100 % a corte de 30 de septiembre de 2017.  Es de anotar que se está adelantando el trámite para la ampliación de la meta de 4 a 6 proyectos normativos.</w:t>
      </w:r>
    </w:p>
    <w:p w:rsidR="001E75B8" w:rsidRPr="001E75B8" w:rsidRDefault="001E75B8" w:rsidP="000D778D">
      <w:pPr>
        <w:pStyle w:val="Prrafodelista"/>
        <w:rPr>
          <w:rFonts w:eastAsia="Arial Narrow"/>
        </w:rPr>
      </w:pPr>
    </w:p>
    <w:p w:rsidR="001E75B8" w:rsidRDefault="008410CE" w:rsidP="00B152FC">
      <w:pPr>
        <w:pStyle w:val="Prrafodelista"/>
        <w:ind w:left="0"/>
        <w:rPr>
          <w:rFonts w:eastAsia="Arial Narrow"/>
        </w:rPr>
      </w:pPr>
      <w:r w:rsidRPr="00124A49">
        <w:rPr>
          <w:noProof/>
          <w:bdr w:val="single" w:sz="12" w:space="0" w:color="auto"/>
          <w:lang w:eastAsia="es-CO"/>
        </w:rPr>
        <w:lastRenderedPageBreak/>
        <w:drawing>
          <wp:inline distT="0" distB="0" distL="0" distR="0" wp14:anchorId="53A07C98" wp14:editId="4ED8A7D0">
            <wp:extent cx="8258175" cy="602250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58175" cy="6022509"/>
                    </a:xfrm>
                    <a:prstGeom prst="rect">
                      <a:avLst/>
                    </a:prstGeom>
                    <a:noFill/>
                    <a:ln>
                      <a:noFill/>
                    </a:ln>
                  </pic:spPr>
                </pic:pic>
              </a:graphicData>
            </a:graphic>
          </wp:inline>
        </w:drawing>
      </w:r>
    </w:p>
    <w:p w:rsidR="00D37968" w:rsidRPr="001918ED" w:rsidRDefault="00C473EA" w:rsidP="00E945BD">
      <w:pPr>
        <w:pStyle w:val="Ttulo1"/>
        <w:spacing w:before="0" w:line="240" w:lineRule="auto"/>
        <w:rPr>
          <w:rFonts w:eastAsia="Arial Narrow"/>
        </w:rPr>
      </w:pPr>
      <w:bookmarkStart w:id="17" w:name="_Toc496086408"/>
      <w:bookmarkStart w:id="18" w:name="_Toc496086604"/>
      <w:bookmarkStart w:id="19" w:name="_Toc496861741"/>
      <w:r w:rsidRPr="00084629">
        <w:rPr>
          <w:rFonts w:ascii="FuturaStd-ExtraBold" w:hAnsi="FuturaStd-ExtraBold" w:cs="FuturaStd-ExtraBold"/>
          <w:b w:val="0"/>
          <w:bCs w:val="0"/>
          <w:noProof/>
          <w:color w:val="CC0066"/>
          <w:sz w:val="44"/>
          <w:szCs w:val="52"/>
          <w:highlight w:val="yellow"/>
          <w:lang w:eastAsia="es-CO"/>
        </w:rPr>
        <w:lastRenderedPageBreak/>
        <w:drawing>
          <wp:anchor distT="0" distB="0" distL="114300" distR="114300" simplePos="0" relativeHeight="251909120" behindDoc="0" locked="0" layoutInCell="1" allowOverlap="1" wp14:anchorId="17170BDA" wp14:editId="6A2E5833">
            <wp:simplePos x="0" y="0"/>
            <wp:positionH relativeFrom="column">
              <wp:posOffset>7440295</wp:posOffset>
            </wp:positionH>
            <wp:positionV relativeFrom="paragraph">
              <wp:posOffset>31750</wp:posOffset>
            </wp:positionV>
            <wp:extent cx="951230" cy="1330960"/>
            <wp:effectExtent l="0" t="0" r="1270" b="2540"/>
            <wp:wrapSquare wrapText="bothSides"/>
            <wp:docPr id="2482" name="Imagen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1230" cy="1330960"/>
                    </a:xfrm>
                    <a:prstGeom prst="rect">
                      <a:avLst/>
                    </a:prstGeom>
                    <a:noFill/>
                  </pic:spPr>
                </pic:pic>
              </a:graphicData>
            </a:graphic>
            <wp14:sizeRelH relativeFrom="page">
              <wp14:pctWidth>0</wp14:pctWidth>
            </wp14:sizeRelH>
            <wp14:sizeRelV relativeFrom="page">
              <wp14:pctHeight>0</wp14:pctHeight>
            </wp14:sizeRelV>
          </wp:anchor>
        </w:drawing>
      </w:r>
      <w:bookmarkEnd w:id="17"/>
      <w:bookmarkEnd w:id="18"/>
      <w:r w:rsidR="00E945BD" w:rsidRPr="001805DD">
        <w:rPr>
          <w:rFonts w:eastAsia="Arial Narrow"/>
        </w:rPr>
        <w:t xml:space="preserve">2. </w:t>
      </w:r>
      <w:r w:rsidR="000660E1" w:rsidRPr="001805DD">
        <w:rPr>
          <w:rFonts w:eastAsia="Arial Narrow"/>
        </w:rPr>
        <w:t>DIRECCIÓN DE INVERSIONES EN VIVIENDA DE INTERÉS SOCIAL</w:t>
      </w:r>
      <w:bookmarkEnd w:id="19"/>
    </w:p>
    <w:p w:rsidR="00D37968" w:rsidRPr="00F309CD" w:rsidRDefault="00D37968" w:rsidP="00CF55E2">
      <w:pPr>
        <w:spacing w:after="0" w:line="240" w:lineRule="auto"/>
      </w:pPr>
      <w:r w:rsidRPr="00F309CD">
        <w:t xml:space="preserve">Director: Dr. Alejandro Quintero Romero </w:t>
      </w:r>
    </w:p>
    <w:p w:rsidR="00D37968" w:rsidRPr="00F309CD" w:rsidRDefault="00D37968">
      <w:pPr>
        <w:pStyle w:val="Prrafodelista"/>
        <w:spacing w:after="0" w:line="240" w:lineRule="auto"/>
        <w:ind w:left="0"/>
        <w:rPr>
          <w:rFonts w:eastAsia="Arial Narrow"/>
          <w:b/>
          <w:sz w:val="28"/>
          <w:szCs w:val="28"/>
        </w:rPr>
      </w:pPr>
    </w:p>
    <w:tbl>
      <w:tblPr>
        <w:tblpPr w:leftFromText="141" w:rightFromText="141" w:vertAnchor="text" w:horzAnchor="margin" w:tblpY="73"/>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48"/>
        <w:gridCol w:w="1724"/>
        <w:gridCol w:w="3049"/>
        <w:gridCol w:w="1715"/>
      </w:tblGrid>
      <w:tr w:rsidR="00180C6E" w:rsidRPr="00B1123B" w:rsidTr="001805DD">
        <w:trPr>
          <w:trHeight w:val="513"/>
        </w:trPr>
        <w:tc>
          <w:tcPr>
            <w:tcW w:w="3048" w:type="dxa"/>
            <w:shd w:val="clear" w:color="auto" w:fill="993366"/>
            <w:vAlign w:val="center"/>
          </w:tcPr>
          <w:p w:rsidR="00180C6E" w:rsidRPr="00F9219C" w:rsidRDefault="00180C6E" w:rsidP="00B40D9B">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724" w:type="dxa"/>
            <w:shd w:val="clear" w:color="auto" w:fill="auto"/>
            <w:vAlign w:val="center"/>
          </w:tcPr>
          <w:p w:rsidR="00180C6E" w:rsidRPr="00F9219C" w:rsidRDefault="001805DD" w:rsidP="00B40D9B">
            <w:pPr>
              <w:spacing w:after="0" w:line="240" w:lineRule="auto"/>
              <w:ind w:right="20"/>
              <w:jc w:val="center"/>
              <w:rPr>
                <w:rFonts w:eastAsia="Arial Narrow"/>
                <w:b/>
                <w:color w:val="FF0000"/>
              </w:rPr>
            </w:pPr>
            <w:r w:rsidRPr="001805DD">
              <w:rPr>
                <w:rFonts w:eastAsia="Arial Narrow"/>
                <w:b/>
              </w:rPr>
              <w:t>72.23%</w:t>
            </w:r>
          </w:p>
        </w:tc>
        <w:tc>
          <w:tcPr>
            <w:tcW w:w="3049" w:type="dxa"/>
            <w:shd w:val="clear" w:color="auto" w:fill="993366"/>
          </w:tcPr>
          <w:p w:rsidR="00180C6E" w:rsidRPr="00B1123B" w:rsidRDefault="00180C6E" w:rsidP="00B40D9B">
            <w:pPr>
              <w:spacing w:after="0" w:line="240" w:lineRule="auto"/>
              <w:ind w:right="20"/>
              <w:jc w:val="center"/>
              <w:rPr>
                <w:rFonts w:eastAsia="Arial Narrow"/>
              </w:rPr>
            </w:pPr>
            <w:r w:rsidRPr="007E4FEC">
              <w:rPr>
                <w:rFonts w:eastAsia="Arial Narrow"/>
                <w:b/>
                <w:color w:val="FFFFFF" w:themeColor="background1"/>
              </w:rPr>
              <w:t xml:space="preserve">Número de </w:t>
            </w:r>
            <w:r>
              <w:rPr>
                <w:rFonts w:eastAsia="Arial Narrow"/>
                <w:b/>
                <w:color w:val="FFFFFF" w:themeColor="background1"/>
              </w:rPr>
              <w:t xml:space="preserve">Iniciativas </w:t>
            </w:r>
          </w:p>
        </w:tc>
        <w:tc>
          <w:tcPr>
            <w:tcW w:w="1715" w:type="dxa"/>
            <w:vAlign w:val="center"/>
          </w:tcPr>
          <w:p w:rsidR="00180C6E" w:rsidRPr="00307938" w:rsidRDefault="000341B5" w:rsidP="00B40D9B">
            <w:pPr>
              <w:spacing w:after="0" w:line="240" w:lineRule="auto"/>
              <w:ind w:right="20"/>
              <w:jc w:val="center"/>
              <w:rPr>
                <w:rFonts w:eastAsia="Arial Narrow"/>
                <w:b/>
              </w:rPr>
            </w:pPr>
            <w:r>
              <w:rPr>
                <w:rFonts w:eastAsia="Arial Narrow"/>
                <w:b/>
              </w:rPr>
              <w:t>9</w:t>
            </w:r>
          </w:p>
        </w:tc>
      </w:tr>
    </w:tbl>
    <w:p w:rsidR="007B5965" w:rsidRDefault="007B5965">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20422A" w:rsidRPr="00555B59" w:rsidRDefault="0020422A" w:rsidP="0020422A">
      <w:pPr>
        <w:pStyle w:val="Prrafodelista"/>
        <w:spacing w:after="0" w:line="240" w:lineRule="auto"/>
        <w:ind w:left="0"/>
        <w:rPr>
          <w:rFonts w:eastAsia="Arial Narrow"/>
          <w:szCs w:val="28"/>
        </w:rPr>
      </w:pPr>
    </w:p>
    <w:p w:rsidR="0020422A" w:rsidRPr="00B152FC" w:rsidRDefault="0020422A" w:rsidP="0020422A">
      <w:pPr>
        <w:spacing w:after="0" w:line="240" w:lineRule="auto"/>
        <w:rPr>
          <w:rFonts w:cs="FuturaStd-ExtraBold"/>
          <w:bCs/>
          <w:sz w:val="22"/>
          <w:szCs w:val="20"/>
        </w:rPr>
      </w:pPr>
      <w:r w:rsidRPr="00B152FC">
        <w:rPr>
          <w:rFonts w:cs="FuturaStd-ExtraBold"/>
          <w:bCs/>
          <w:sz w:val="22"/>
          <w:szCs w:val="20"/>
        </w:rPr>
        <w:t xml:space="preserve">La Dirección cuenta con </w:t>
      </w:r>
      <w:r w:rsidR="003A66C3" w:rsidRPr="00B152FC">
        <w:rPr>
          <w:rFonts w:cs="FuturaStd-ExtraBold"/>
          <w:bCs/>
          <w:sz w:val="22"/>
          <w:szCs w:val="20"/>
        </w:rPr>
        <w:t xml:space="preserve">9 </w:t>
      </w:r>
      <w:r w:rsidRPr="00B152FC">
        <w:rPr>
          <w:rFonts w:cs="FuturaStd-ExtraBold"/>
          <w:bCs/>
          <w:sz w:val="22"/>
          <w:szCs w:val="20"/>
        </w:rPr>
        <w:t>iniciativas estratégicas</w:t>
      </w:r>
      <w:r w:rsidR="003A66C3" w:rsidRPr="00B152FC">
        <w:rPr>
          <w:rFonts w:cs="FuturaStd-ExtraBold"/>
          <w:bCs/>
          <w:sz w:val="22"/>
          <w:szCs w:val="20"/>
        </w:rPr>
        <w:t xml:space="preserve"> cuya gestión </w:t>
      </w:r>
      <w:r w:rsidRPr="00B152FC">
        <w:rPr>
          <w:rFonts w:cs="FuturaStd-ExtraBold"/>
          <w:bCs/>
          <w:sz w:val="22"/>
          <w:szCs w:val="20"/>
        </w:rPr>
        <w:t xml:space="preserve">se detalla a continuación: </w:t>
      </w:r>
    </w:p>
    <w:p w:rsidR="008410CE" w:rsidRPr="00B152FC" w:rsidRDefault="008410CE" w:rsidP="0020422A">
      <w:pPr>
        <w:spacing w:after="0" w:line="240" w:lineRule="auto"/>
        <w:rPr>
          <w:rFonts w:cs="FuturaStd-ExtraBold"/>
          <w:bCs/>
          <w:sz w:val="22"/>
          <w:szCs w:val="20"/>
        </w:rPr>
      </w:pPr>
    </w:p>
    <w:p w:rsidR="00C473EA" w:rsidRPr="00B152FC" w:rsidRDefault="00C473EA" w:rsidP="0020422A">
      <w:pPr>
        <w:spacing w:after="0" w:line="240" w:lineRule="auto"/>
        <w:rPr>
          <w:rFonts w:cs="FuturaStd-ExtraBold"/>
          <w:bCs/>
          <w:sz w:val="22"/>
          <w:szCs w:val="20"/>
        </w:rPr>
      </w:pPr>
    </w:p>
    <w:p w:rsidR="008410CE" w:rsidRPr="00B152FC" w:rsidRDefault="00C473EA" w:rsidP="008410CE">
      <w:pPr>
        <w:spacing w:after="0" w:line="240" w:lineRule="auto"/>
        <w:rPr>
          <w:bCs/>
          <w:sz w:val="22"/>
          <w:szCs w:val="20"/>
        </w:rPr>
      </w:pPr>
      <w:r w:rsidRPr="00B152FC">
        <w:rPr>
          <w:b/>
          <w:bCs/>
          <w:sz w:val="22"/>
          <w:szCs w:val="20"/>
        </w:rPr>
        <w:t xml:space="preserve">1. Promover la construcción de viviendas de interés prioritario: </w:t>
      </w:r>
      <w:r w:rsidRPr="00B152FC">
        <w:rPr>
          <w:bCs/>
          <w:sz w:val="22"/>
          <w:szCs w:val="20"/>
        </w:rPr>
        <w:t>En el marco del Programa de Vivienda de Interés Prioritario para Ahorradores – VIPA, se han iniciado 2.531 viviendas de interés prioritario de las 2500 establecidas como meta para el año 2017. Cabe señalar que el programa ya se encuentra en cierre. Igualmente se han presentado 9 informes</w:t>
      </w:r>
      <w:r w:rsidR="008410CE" w:rsidRPr="00B152FC">
        <w:rPr>
          <w:bCs/>
          <w:sz w:val="22"/>
          <w:szCs w:val="20"/>
        </w:rPr>
        <w:t xml:space="preserve"> mensuales de seguimiento a los proyectos seleccionados en el marco del programa VIPA. Por lo anterior, se evidencia un avance de la iniciativa de 95%</w:t>
      </w:r>
    </w:p>
    <w:p w:rsidR="008410CE" w:rsidRPr="00B152FC" w:rsidRDefault="008410CE" w:rsidP="008410CE">
      <w:pPr>
        <w:spacing w:after="0" w:line="240" w:lineRule="auto"/>
        <w:rPr>
          <w:bCs/>
          <w:sz w:val="22"/>
          <w:szCs w:val="20"/>
        </w:rPr>
      </w:pPr>
    </w:p>
    <w:p w:rsidR="008410CE" w:rsidRPr="00B152FC" w:rsidRDefault="008410CE" w:rsidP="008410CE">
      <w:pPr>
        <w:rPr>
          <w:bCs/>
          <w:color w:val="000000" w:themeColor="text1"/>
          <w:sz w:val="22"/>
          <w:szCs w:val="20"/>
        </w:rPr>
      </w:pPr>
      <w:r w:rsidRPr="00B152FC">
        <w:rPr>
          <w:bCs/>
          <w:color w:val="000000" w:themeColor="text1"/>
          <w:sz w:val="22"/>
          <w:szCs w:val="20"/>
        </w:rPr>
        <w:t xml:space="preserve">Con corte al 30 de septiembre de 2017 se han iniciado de 2.531 viviendas iniciadas en el año para un acumulado en el Programa de 72.031 viviendas iniciadas en el Programa, las cuales benefician al mismo número de hogares. </w:t>
      </w:r>
    </w:p>
    <w:p w:rsidR="008410CE" w:rsidRPr="00B152FC" w:rsidRDefault="008410CE" w:rsidP="008410CE">
      <w:pPr>
        <w:rPr>
          <w:bCs/>
          <w:color w:val="000000" w:themeColor="text1"/>
          <w:sz w:val="22"/>
          <w:szCs w:val="20"/>
        </w:rPr>
      </w:pPr>
    </w:p>
    <w:p w:rsidR="008410CE" w:rsidRPr="00B152FC" w:rsidRDefault="008410CE" w:rsidP="008410CE">
      <w:pPr>
        <w:rPr>
          <w:bCs/>
          <w:color w:val="000000" w:themeColor="text1"/>
          <w:sz w:val="22"/>
          <w:szCs w:val="20"/>
        </w:rPr>
      </w:pPr>
      <w:r w:rsidRPr="00B152FC">
        <w:rPr>
          <w:bCs/>
          <w:color w:val="000000" w:themeColor="text1"/>
          <w:sz w:val="22"/>
          <w:szCs w:val="20"/>
        </w:rPr>
        <w:t xml:space="preserve">Este indicador con estas 2.531 viviendas iniciadas se completa el cumplimiento de la meta de 2.500 viviendas iniciadas para el año 2017 con un porcentaje de cumplimiento del 100,24% con corte al 30 de septiembre de 2017. </w:t>
      </w:r>
    </w:p>
    <w:p w:rsidR="008410CE" w:rsidRPr="00B152FC" w:rsidRDefault="008410CE" w:rsidP="008410CE">
      <w:pPr>
        <w:rPr>
          <w:bCs/>
          <w:color w:val="000000" w:themeColor="text1"/>
          <w:sz w:val="22"/>
          <w:szCs w:val="20"/>
        </w:rPr>
      </w:pPr>
    </w:p>
    <w:p w:rsidR="008410CE" w:rsidRPr="00B152FC" w:rsidRDefault="008410CE" w:rsidP="008410CE">
      <w:pPr>
        <w:rPr>
          <w:bCs/>
          <w:sz w:val="22"/>
          <w:szCs w:val="20"/>
        </w:rPr>
      </w:pPr>
      <w:r w:rsidRPr="00B152FC">
        <w:rPr>
          <w:b/>
          <w:bCs/>
          <w:sz w:val="22"/>
          <w:szCs w:val="20"/>
        </w:rPr>
        <w:t xml:space="preserve">2. Promover el acceso a hogares con ingresos hasta 2 </w:t>
      </w:r>
      <w:proofErr w:type="spellStart"/>
      <w:r w:rsidRPr="00B152FC">
        <w:rPr>
          <w:b/>
          <w:bCs/>
          <w:sz w:val="22"/>
          <w:szCs w:val="20"/>
        </w:rPr>
        <w:t>smmlv</w:t>
      </w:r>
      <w:proofErr w:type="spellEnd"/>
      <w:r w:rsidRPr="00B152FC">
        <w:rPr>
          <w:b/>
          <w:bCs/>
          <w:sz w:val="22"/>
          <w:szCs w:val="20"/>
        </w:rPr>
        <w:t xml:space="preserve"> para adquirir vivienda de interés prioritario: </w:t>
      </w:r>
      <w:r w:rsidRPr="00B152FC">
        <w:rPr>
          <w:bCs/>
          <w:sz w:val="22"/>
          <w:szCs w:val="20"/>
        </w:rPr>
        <w:t xml:space="preserve">Al 30 de septiembre se han asignado un total de 7.188 subsidios de vivienda para ahorradores. Se adelantaron 9 procesos de verificación del cumplimiento de requisitos en los hogares y 9 procesos de verificación de cierres financieros.  Por lo anterior, la ejecución de esta iniciativa es de 73.87%. </w:t>
      </w:r>
    </w:p>
    <w:p w:rsidR="008410CE" w:rsidRPr="00B152FC" w:rsidRDefault="008410CE" w:rsidP="008410CE">
      <w:pPr>
        <w:rPr>
          <w:bCs/>
          <w:color w:val="000000" w:themeColor="text1"/>
          <w:sz w:val="22"/>
          <w:szCs w:val="20"/>
        </w:rPr>
      </w:pPr>
      <w:r w:rsidRPr="00B152FC">
        <w:rPr>
          <w:bCs/>
          <w:color w:val="000000" w:themeColor="text1"/>
          <w:sz w:val="22"/>
          <w:szCs w:val="20"/>
        </w:rPr>
        <w:t xml:space="preserve">Durante el mes de septiembre se asignaron 450 subsidios familiares por </w:t>
      </w:r>
      <w:proofErr w:type="spellStart"/>
      <w:r w:rsidRPr="00B152FC">
        <w:rPr>
          <w:bCs/>
          <w:color w:val="000000" w:themeColor="text1"/>
          <w:sz w:val="22"/>
          <w:szCs w:val="20"/>
        </w:rPr>
        <w:t>Fonvivienda</w:t>
      </w:r>
      <w:proofErr w:type="spellEnd"/>
      <w:r w:rsidRPr="00B152FC">
        <w:rPr>
          <w:bCs/>
          <w:color w:val="000000" w:themeColor="text1"/>
          <w:sz w:val="22"/>
          <w:szCs w:val="20"/>
        </w:rPr>
        <w:t>, para un acumulado de 7.188 subsidios asignados en el 2017, con un porcentaje de cumplimiento de 73.87%.</w:t>
      </w:r>
    </w:p>
    <w:p w:rsidR="008410CE" w:rsidRPr="00B152FC" w:rsidRDefault="008410CE" w:rsidP="008410CE">
      <w:pPr>
        <w:rPr>
          <w:bCs/>
          <w:color w:val="000000" w:themeColor="text1"/>
          <w:sz w:val="22"/>
          <w:szCs w:val="20"/>
        </w:rPr>
      </w:pPr>
    </w:p>
    <w:p w:rsidR="008410CE" w:rsidRPr="00B152FC" w:rsidRDefault="008410CE" w:rsidP="008410CE">
      <w:pPr>
        <w:rPr>
          <w:bCs/>
          <w:sz w:val="22"/>
          <w:szCs w:val="20"/>
        </w:rPr>
      </w:pPr>
      <w:r w:rsidRPr="00B152FC">
        <w:rPr>
          <w:bCs/>
          <w:color w:val="000000" w:themeColor="text1"/>
          <w:sz w:val="22"/>
          <w:szCs w:val="20"/>
        </w:rPr>
        <w:t xml:space="preserve">En la siguiente tabla se muestra el comportamiento mensual y el acumulado con corte al 30 de septiembre de 2017. </w:t>
      </w:r>
    </w:p>
    <w:p w:rsidR="000D778D" w:rsidRPr="001E75B8" w:rsidRDefault="000D778D" w:rsidP="008410CE">
      <w:pPr>
        <w:spacing w:after="0" w:line="240" w:lineRule="auto"/>
        <w:rPr>
          <w:rFonts w:cs="FuturaStd-ExtraBold"/>
          <w:bCs/>
          <w:sz w:val="20"/>
          <w:szCs w:val="20"/>
        </w:rPr>
      </w:pPr>
    </w:p>
    <w:p w:rsidR="00084629" w:rsidRDefault="001E75B8" w:rsidP="001E75B8">
      <w:pPr>
        <w:spacing w:after="0" w:line="240" w:lineRule="auto"/>
        <w:jc w:val="center"/>
        <w:rPr>
          <w:bCs/>
          <w:sz w:val="22"/>
          <w:szCs w:val="20"/>
        </w:rPr>
      </w:pPr>
      <w:r w:rsidRPr="00124A49">
        <w:rPr>
          <w:noProof/>
          <w:bdr w:val="single" w:sz="12" w:space="0" w:color="auto"/>
          <w:lang w:eastAsia="es-CO"/>
        </w:rPr>
        <w:drawing>
          <wp:inline distT="0" distB="0" distL="0" distR="0" wp14:anchorId="17CB2688" wp14:editId="6791EBDF">
            <wp:extent cx="6143625" cy="4343400"/>
            <wp:effectExtent l="0" t="0" r="9525" b="0"/>
            <wp:docPr id="2472" name="Imagen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57807" cy="4353426"/>
                    </a:xfrm>
                    <a:prstGeom prst="rect">
                      <a:avLst/>
                    </a:prstGeom>
                    <a:noFill/>
                    <a:ln>
                      <a:noFill/>
                    </a:ln>
                  </pic:spPr>
                </pic:pic>
              </a:graphicData>
            </a:graphic>
          </wp:inline>
        </w:drawing>
      </w:r>
    </w:p>
    <w:p w:rsidR="00084629" w:rsidRPr="001E75B8" w:rsidRDefault="00084629" w:rsidP="00084629">
      <w:pPr>
        <w:spacing w:after="0" w:line="240" w:lineRule="auto"/>
        <w:rPr>
          <w:bCs/>
          <w:sz w:val="20"/>
          <w:szCs w:val="20"/>
        </w:rPr>
      </w:pPr>
    </w:p>
    <w:p w:rsidR="00084629" w:rsidRPr="00B152FC" w:rsidRDefault="00084629" w:rsidP="00084629">
      <w:pPr>
        <w:rPr>
          <w:bCs/>
          <w:sz w:val="22"/>
          <w:szCs w:val="20"/>
        </w:rPr>
      </w:pPr>
      <w:r w:rsidRPr="00B152FC">
        <w:rPr>
          <w:b/>
          <w:bCs/>
          <w:sz w:val="22"/>
          <w:szCs w:val="20"/>
        </w:rPr>
        <w:t xml:space="preserve">3. Facilitar la adquisición de vivienda VIS y VIP con cobertura de la tasa de interés de financiación para hogares con ingresos de hasta 8 </w:t>
      </w:r>
      <w:proofErr w:type="spellStart"/>
      <w:r w:rsidRPr="00B152FC">
        <w:rPr>
          <w:b/>
          <w:bCs/>
          <w:sz w:val="22"/>
          <w:szCs w:val="20"/>
        </w:rPr>
        <w:t>smmlv</w:t>
      </w:r>
      <w:proofErr w:type="spellEnd"/>
      <w:r w:rsidRPr="00B152FC">
        <w:rPr>
          <w:b/>
          <w:bCs/>
          <w:sz w:val="22"/>
          <w:szCs w:val="20"/>
        </w:rPr>
        <w:t xml:space="preserve">: </w:t>
      </w:r>
      <w:r w:rsidRPr="00B152FC">
        <w:rPr>
          <w:bCs/>
          <w:sz w:val="22"/>
          <w:szCs w:val="20"/>
        </w:rPr>
        <w:t xml:space="preserve">esta iniciativa lleva un avance del </w:t>
      </w:r>
      <w:r w:rsidR="00C473EA" w:rsidRPr="00B152FC">
        <w:rPr>
          <w:bCs/>
          <w:sz w:val="22"/>
          <w:szCs w:val="20"/>
        </w:rPr>
        <w:t>67.82</w:t>
      </w:r>
      <w:r w:rsidRPr="00B152FC">
        <w:rPr>
          <w:bCs/>
          <w:sz w:val="22"/>
          <w:szCs w:val="20"/>
        </w:rPr>
        <w:t>%, ya que al 30 de septiembre  se iniciaron en el programa de Cobertura Condicionada para Créditos de Vivienda Segunda Generación - "</w:t>
      </w:r>
      <w:proofErr w:type="spellStart"/>
      <w:r w:rsidRPr="00B152FC">
        <w:rPr>
          <w:bCs/>
          <w:sz w:val="22"/>
          <w:szCs w:val="20"/>
        </w:rPr>
        <w:t>Frech</w:t>
      </w:r>
      <w:proofErr w:type="spellEnd"/>
      <w:r w:rsidRPr="00B152FC">
        <w:rPr>
          <w:bCs/>
          <w:sz w:val="22"/>
          <w:szCs w:val="20"/>
        </w:rPr>
        <w:t xml:space="preserve">", un total de 20.023 viviendas de interés prioritario y social (de las 33.500 que se tienen como meta), discriminados de la siguiente manera: 2.098 VIP y 17.115 VIS. Igualmente se gestionaron las autorizaciones de vigencias futuras durante los primeros tres meses. </w:t>
      </w:r>
    </w:p>
    <w:p w:rsidR="00084629" w:rsidRPr="00B152FC" w:rsidRDefault="00084629" w:rsidP="00084629">
      <w:pPr>
        <w:rPr>
          <w:sz w:val="22"/>
          <w:szCs w:val="20"/>
        </w:rPr>
      </w:pPr>
      <w:r w:rsidRPr="00B152FC">
        <w:rPr>
          <w:b/>
          <w:bCs/>
          <w:sz w:val="22"/>
          <w:szCs w:val="20"/>
        </w:rPr>
        <w:lastRenderedPageBreak/>
        <w:t xml:space="preserve">4. Promover la construcción de viviendas de interés prioritario para entregar a título gratuito: </w:t>
      </w:r>
      <w:r w:rsidRPr="00B152FC">
        <w:rPr>
          <w:sz w:val="22"/>
          <w:szCs w:val="20"/>
        </w:rPr>
        <w:t>Al 30 de septiembre se ha iniciado la construcción de 12.612 viviendas en los esquemas privado y público determinados en el marco del programa, alcanzando así la meta establecida del 126,12%. Por otra parte, a la fecha se han realizado 9 informes de seguimiento mensuales. Por lo anterior, esta iniciativa reporta un avance del 9</w:t>
      </w:r>
      <w:r w:rsidR="00C473EA" w:rsidRPr="00B152FC">
        <w:rPr>
          <w:sz w:val="22"/>
          <w:szCs w:val="20"/>
        </w:rPr>
        <w:t>5</w:t>
      </w:r>
      <w:r w:rsidRPr="00B152FC">
        <w:rPr>
          <w:sz w:val="22"/>
          <w:szCs w:val="20"/>
        </w:rPr>
        <w:t xml:space="preserve">%. </w:t>
      </w:r>
    </w:p>
    <w:p w:rsidR="00084629" w:rsidRPr="00B152FC" w:rsidRDefault="00084629" w:rsidP="00084629">
      <w:pPr>
        <w:rPr>
          <w:sz w:val="22"/>
          <w:szCs w:val="20"/>
          <w:lang w:val="es-ES" w:eastAsia="es-CO"/>
        </w:rPr>
      </w:pPr>
      <w:r w:rsidRPr="00B152FC">
        <w:rPr>
          <w:b/>
          <w:sz w:val="22"/>
          <w:szCs w:val="20"/>
          <w:lang w:val="es-ES" w:eastAsia="es-CO"/>
        </w:rPr>
        <w:t xml:space="preserve">5. Promover la construcción de viviendas de interés social: </w:t>
      </w:r>
      <w:r w:rsidRPr="00B152FC">
        <w:rPr>
          <w:sz w:val="22"/>
          <w:szCs w:val="20"/>
          <w:lang w:val="es-ES" w:eastAsia="es-CO"/>
        </w:rPr>
        <w:t xml:space="preserve">Al 30 de septiembre se han habilitado 46.240 hogares en el Programa Mi Casa Ya (de los 25000 propuesto como meta), en los departamentos Antioquia, Atlántico, Bogotá, Bolívar, Boyacá, Caldas, Caquetá, Casanare, Cauca, Cesar, Córdoba, Cundinamarca, Guaviare, Huila, Guajira, Magdalena, Meta, Nariño, Norte, Quindío, Risaralda, Santander, Sucre, Tolima y Valle del Cauca. Por lo anterior, se registra una ejecución de la iniciativa del </w:t>
      </w:r>
      <w:r w:rsidR="00C473EA" w:rsidRPr="00B152FC">
        <w:rPr>
          <w:sz w:val="22"/>
          <w:szCs w:val="20"/>
          <w:lang w:val="es-ES" w:eastAsia="es-CO"/>
        </w:rPr>
        <w:t>98.18</w:t>
      </w:r>
      <w:r w:rsidRPr="00B152FC">
        <w:rPr>
          <w:sz w:val="22"/>
          <w:szCs w:val="20"/>
          <w:lang w:val="es-ES" w:eastAsia="es-CO"/>
        </w:rPr>
        <w:t xml:space="preserve">%. </w:t>
      </w:r>
    </w:p>
    <w:p w:rsidR="00084629" w:rsidRPr="00B152FC" w:rsidRDefault="00084629" w:rsidP="00084629">
      <w:pPr>
        <w:rPr>
          <w:bCs/>
          <w:sz w:val="22"/>
          <w:szCs w:val="20"/>
        </w:rPr>
      </w:pPr>
      <w:r w:rsidRPr="00B152FC">
        <w:rPr>
          <w:b/>
          <w:bCs/>
          <w:sz w:val="22"/>
          <w:szCs w:val="20"/>
        </w:rPr>
        <w:t xml:space="preserve">6. Promover el acceso a hogares con ingresos superiores a  2 </w:t>
      </w:r>
      <w:proofErr w:type="spellStart"/>
      <w:r w:rsidRPr="00B152FC">
        <w:rPr>
          <w:b/>
          <w:bCs/>
          <w:sz w:val="22"/>
          <w:szCs w:val="20"/>
        </w:rPr>
        <w:t>smmlv</w:t>
      </w:r>
      <w:proofErr w:type="spellEnd"/>
      <w:r w:rsidRPr="00B152FC">
        <w:rPr>
          <w:b/>
          <w:bCs/>
          <w:sz w:val="22"/>
          <w:szCs w:val="20"/>
        </w:rPr>
        <w:t xml:space="preserve"> y hasta 4 </w:t>
      </w:r>
      <w:proofErr w:type="spellStart"/>
      <w:r w:rsidRPr="00B152FC">
        <w:rPr>
          <w:b/>
          <w:bCs/>
          <w:sz w:val="22"/>
          <w:szCs w:val="20"/>
        </w:rPr>
        <w:t>smmlv</w:t>
      </w:r>
      <w:proofErr w:type="spellEnd"/>
      <w:r w:rsidRPr="00B152FC">
        <w:rPr>
          <w:b/>
          <w:bCs/>
          <w:sz w:val="22"/>
          <w:szCs w:val="20"/>
        </w:rPr>
        <w:t xml:space="preserve"> para adquirir vivienda de interés social: </w:t>
      </w:r>
      <w:r w:rsidRPr="00B152FC">
        <w:rPr>
          <w:bCs/>
          <w:sz w:val="22"/>
          <w:szCs w:val="20"/>
        </w:rPr>
        <w:t>Al 30 de septiembre se han asignado 9.881 subsidios familiares de vivienda en todo el país para el segmento de vivienda de interés social (19.557 subsidios es la meta para el año 2017).</w:t>
      </w:r>
      <w:r w:rsidRPr="00B152FC">
        <w:rPr>
          <w:sz w:val="22"/>
          <w:szCs w:val="20"/>
        </w:rPr>
        <w:t xml:space="preserve"> </w:t>
      </w:r>
      <w:r w:rsidRPr="00B152FC">
        <w:rPr>
          <w:bCs/>
          <w:sz w:val="22"/>
          <w:szCs w:val="20"/>
        </w:rPr>
        <w:t xml:space="preserve">La proyección de metas incorpora en sus parámetros variables macroeconómicas como i) la inflación en el corto y mediano plazo que afecta directamente la necesidad de recursos para los créditos o contratos de leasing habitacional pactados en UVR, ii) el comportamiento de las tasas de interés que precisa el costo de financiación de la vivienda y iii) la expectativa de incremento en el salario mínimo legal que define el valor y el rango de vivienda adquirida y por tanto los puntos porcentuales de cobertura a la tasa de interés. Teniendo en cuenta lo anterior, y que se ha verificado la información relacionada con el cumplimiento de requisitos de los hogares y los cierres financieros de los mismos, se reporta para esta iniciativa una ejecución del </w:t>
      </w:r>
      <w:r w:rsidR="00C473EA" w:rsidRPr="00B152FC">
        <w:rPr>
          <w:bCs/>
          <w:sz w:val="22"/>
          <w:szCs w:val="20"/>
        </w:rPr>
        <w:t>56.78</w:t>
      </w:r>
      <w:r w:rsidRPr="00B152FC">
        <w:rPr>
          <w:bCs/>
          <w:sz w:val="22"/>
          <w:szCs w:val="20"/>
        </w:rPr>
        <w:t xml:space="preserve">%. </w:t>
      </w:r>
    </w:p>
    <w:p w:rsidR="00084629" w:rsidRPr="00B152FC" w:rsidRDefault="00084629" w:rsidP="00084629">
      <w:pPr>
        <w:rPr>
          <w:bCs/>
          <w:sz w:val="22"/>
          <w:szCs w:val="20"/>
        </w:rPr>
      </w:pPr>
      <w:r w:rsidRPr="00B152FC">
        <w:rPr>
          <w:bCs/>
          <w:sz w:val="22"/>
          <w:szCs w:val="20"/>
        </w:rPr>
        <w:t>Estos factores corresponden a una estimación de su comportamiento, por tanto variaciones al alza, como se ha observado en los dos últimos años, significan un mayor costo del beneficio ya otorgado, del beneficio que se proyecta otorgar y puede generar una contracción de la demanda futura de los mismos. De igual forma, afecta el proceso de construcción de la vivienda al encarecer las materias primas y su costo de financiación, también altera las decisiones de consumo de los hogares dando prioridad a cubrir las necesidades básicas.</w:t>
      </w:r>
    </w:p>
    <w:p w:rsidR="00084629" w:rsidRPr="00B152FC" w:rsidRDefault="00084629" w:rsidP="00084629">
      <w:pPr>
        <w:rPr>
          <w:bCs/>
          <w:sz w:val="22"/>
          <w:szCs w:val="20"/>
        </w:rPr>
      </w:pPr>
      <w:r w:rsidRPr="00B152FC">
        <w:rPr>
          <w:bCs/>
          <w:sz w:val="22"/>
          <w:szCs w:val="20"/>
        </w:rPr>
        <w:t xml:space="preserve">En virtud de lo anterior, la meta establecida para atender el Programa de Cobertura Condicionada para Créditos de Vivienda segunda generación y los subsidios asignados en el Programa de Vivienda “Mi Casa Ya”, se ven afectadas, toda vez que esta se encuentra ligada a los factores anteriormente mencionados, factores que influyen en la incertidumbre de los Colombianos a la compra de vivienda. En tal sentido, se han presentado la disminución de las solicitudes de créditos hipotecarios para la compra de vivienda en los segmentos VIP y VIS, ante los </w:t>
      </w:r>
      <w:r w:rsidRPr="00B152FC">
        <w:rPr>
          <w:bCs/>
          <w:sz w:val="22"/>
          <w:szCs w:val="20"/>
        </w:rPr>
        <w:lastRenderedPageBreak/>
        <w:t>establecimientos de créditos, lo que conlleva que no se inicien viviendas en el Programa de Cobertura y no se puedan asignar subsidios familiares de vivienda en el Programa Mi casa Ya.</w:t>
      </w:r>
    </w:p>
    <w:p w:rsidR="00C473EA" w:rsidRPr="00B152FC" w:rsidRDefault="00C473EA" w:rsidP="00C473EA">
      <w:pPr>
        <w:rPr>
          <w:bCs/>
          <w:sz w:val="22"/>
        </w:rPr>
      </w:pPr>
      <w:r w:rsidRPr="00B152FC">
        <w:rPr>
          <w:b/>
          <w:bCs/>
          <w:sz w:val="22"/>
        </w:rPr>
        <w:t xml:space="preserve">7. Concertación de la composición poblacional a ser atendida en cada uno de los proyectos: </w:t>
      </w:r>
      <w:r w:rsidRPr="00B152FC">
        <w:rPr>
          <w:bCs/>
          <w:sz w:val="22"/>
        </w:rPr>
        <w:t xml:space="preserve">Al 30 de septiembre de 2017 con respecto al total asignado en el marco del programa de vivienda gratuita fase I y II a la población en situación de desplazamiento se le ha otorgado un promedio del 55,46%. Teniendo en cuenta la meta establecida para el año 2017, la ejecución de esta iniciativa se encuentra en 95%. </w:t>
      </w:r>
    </w:p>
    <w:p w:rsidR="00C473EA" w:rsidRPr="00B152FC" w:rsidRDefault="00C473EA" w:rsidP="00C473EA">
      <w:pPr>
        <w:pStyle w:val="yiv7931736597msonormal"/>
        <w:jc w:val="both"/>
        <w:rPr>
          <w:rFonts w:ascii="Verdana" w:hAnsi="Verdana"/>
          <w:sz w:val="22"/>
          <w:szCs w:val="22"/>
        </w:rPr>
      </w:pPr>
      <w:r w:rsidRPr="00B152FC">
        <w:rPr>
          <w:rFonts w:ascii="Verdana" w:hAnsi="Verdana"/>
          <w:b/>
          <w:bCs/>
          <w:sz w:val="22"/>
          <w:szCs w:val="22"/>
        </w:rPr>
        <w:t xml:space="preserve">8. Optimizar los tiempos de escrituración: </w:t>
      </w:r>
      <w:r w:rsidRPr="00B152FC">
        <w:rPr>
          <w:rFonts w:ascii="Verdana" w:hAnsi="Verdana"/>
          <w:bCs/>
          <w:sz w:val="22"/>
          <w:szCs w:val="22"/>
        </w:rPr>
        <w:t>Al 30 de septiembre, se han escriturado 2.058 viviendas de las 5.000 planteadas para el año 2017, para un acumulado de 98.929 viviendas escrituradas en el programa de vivienda gratuita primera fase.</w:t>
      </w:r>
      <w:r w:rsidRPr="00B152FC">
        <w:rPr>
          <w:rFonts w:ascii="Verdana" w:hAnsi="Verdana"/>
          <w:sz w:val="22"/>
          <w:szCs w:val="22"/>
        </w:rPr>
        <w:t xml:space="preserve"> Con referencia al Programa de Vivienda Gratuita I, es importante precisar que el proceso escrituración de las últimas viviendas de las 100.000, ha tenido retrasos en este proceso, debido a diferentes novedades presentadas con los hogares beneficiarios tales como las renuncias, sustituciones, sin ubicar y revocatorias, que no han permitido que se finalice la escrituración en este programa. Se estima que las 1.071 viviendas para completar las 100.000  del PVGI sean escrituradas a finales del año. </w:t>
      </w:r>
    </w:p>
    <w:p w:rsidR="00C473EA" w:rsidRPr="00B152FC" w:rsidRDefault="00C473EA" w:rsidP="00C473EA">
      <w:pPr>
        <w:autoSpaceDE w:val="0"/>
        <w:autoSpaceDN w:val="0"/>
        <w:ind w:right="49"/>
        <w:rPr>
          <w:sz w:val="22"/>
        </w:rPr>
      </w:pPr>
      <w:r w:rsidRPr="00B152FC">
        <w:rPr>
          <w:b/>
          <w:sz w:val="22"/>
        </w:rPr>
        <w:t xml:space="preserve">9. </w:t>
      </w:r>
      <w:r w:rsidR="00C65028" w:rsidRPr="00B152FC">
        <w:rPr>
          <w:b/>
          <w:sz w:val="22"/>
        </w:rPr>
        <w:t xml:space="preserve">Terminar viviendas segunda fase programa vivienda gratuita: </w:t>
      </w:r>
      <w:r w:rsidR="00C65028" w:rsidRPr="00B152FC">
        <w:rPr>
          <w:sz w:val="22"/>
        </w:rPr>
        <w:t>Esta iniciativa presenta un avance del 20.51%,</w:t>
      </w:r>
      <w:r w:rsidR="00C65028" w:rsidRPr="00B152FC">
        <w:rPr>
          <w:b/>
          <w:sz w:val="22"/>
        </w:rPr>
        <w:t xml:space="preserve"> </w:t>
      </w:r>
      <w:r w:rsidRPr="00B152FC">
        <w:rPr>
          <w:sz w:val="22"/>
        </w:rPr>
        <w:t xml:space="preserve">de acuerdo con los procesos previos llevados a cabo para iniciar la construcción de las viviendas, solamente hasta el mes de noviembre de 2016 se firmaron los contratos de obra, motivo por el cual durante los tres primeros trimestres del año 2017, se tiene previsto la construcción de las primeras viviendas del esquema privado. Para lo cual al finalizar el año 2017 se espera contar con 3.500 viviendas terminadas. </w:t>
      </w:r>
    </w:p>
    <w:p w:rsidR="00C473EA" w:rsidRPr="00B152FC" w:rsidRDefault="00C473EA" w:rsidP="00C473EA">
      <w:pPr>
        <w:autoSpaceDE w:val="0"/>
        <w:autoSpaceDN w:val="0"/>
        <w:ind w:right="49"/>
        <w:rPr>
          <w:sz w:val="22"/>
        </w:rPr>
      </w:pPr>
      <w:r w:rsidRPr="00B152FC">
        <w:rPr>
          <w:sz w:val="22"/>
        </w:rPr>
        <w:t xml:space="preserve">Solamente hasta que se tenga las viviendas terminadas y asignadas a los beneficiarios se puede iniciar con el proceso de escrituración, motivo por el cual no es posible contar con viviendas escrituradas en el programa de vivienda gratuita segunda fase durante la vigencia 2017. </w:t>
      </w:r>
    </w:p>
    <w:p w:rsidR="00C473EA" w:rsidRPr="00B152FC" w:rsidRDefault="00C473EA" w:rsidP="00C473EA">
      <w:pPr>
        <w:spacing w:after="0" w:line="240" w:lineRule="auto"/>
        <w:rPr>
          <w:sz w:val="22"/>
        </w:rPr>
      </w:pPr>
      <w:r w:rsidRPr="00B152FC">
        <w:rPr>
          <w:sz w:val="22"/>
        </w:rPr>
        <w:t>Sin embargo, se espera 1.168 viviendas de los proyectos que terminan la construcción de las primeras viviendas del esquema privada en el mes de julio, se dé inicio a la asignación de los subsidios y a su vez se inicie la escrituración de estas, lo que se estima que se tenga escrituradas un total 3.200 viviendas en los dos</w:t>
      </w:r>
    </w:p>
    <w:p w:rsidR="00C473EA" w:rsidRPr="00B152FC" w:rsidRDefault="00C473EA" w:rsidP="00C473EA">
      <w:pPr>
        <w:spacing w:after="0" w:line="240" w:lineRule="auto"/>
        <w:rPr>
          <w:sz w:val="22"/>
        </w:rPr>
      </w:pPr>
    </w:p>
    <w:p w:rsidR="00C473EA" w:rsidRPr="00B152FC" w:rsidRDefault="00C473EA" w:rsidP="00C473EA">
      <w:pPr>
        <w:spacing w:after="0" w:line="240" w:lineRule="auto"/>
        <w:rPr>
          <w:bCs/>
          <w:sz w:val="22"/>
        </w:rPr>
      </w:pPr>
      <w:r w:rsidRPr="00B152FC">
        <w:rPr>
          <w:bCs/>
          <w:sz w:val="22"/>
        </w:rPr>
        <w:t>Cabe aclarar que la meta del indicador relacionado con sumatoria de viviendas escrituradas para la vigencia 2017, debe estar armonizado con las metas planteadas en SINERGIA, la cual a la fecha es de 5.000 viviendas escrituradas.</w:t>
      </w:r>
    </w:p>
    <w:p w:rsidR="00C473EA" w:rsidRPr="00B152FC" w:rsidRDefault="00C473EA" w:rsidP="00C473EA">
      <w:pPr>
        <w:spacing w:after="0" w:line="240" w:lineRule="auto"/>
        <w:rPr>
          <w:bCs/>
          <w:sz w:val="22"/>
        </w:rPr>
      </w:pPr>
    </w:p>
    <w:p w:rsidR="00084629" w:rsidRDefault="001E75B8" w:rsidP="00084629">
      <w:pPr>
        <w:spacing w:after="0" w:line="240" w:lineRule="auto"/>
        <w:jc w:val="center"/>
        <w:rPr>
          <w:bCs/>
          <w:color w:val="000000" w:themeColor="text1"/>
          <w:sz w:val="22"/>
        </w:rPr>
      </w:pPr>
      <w:r w:rsidRPr="00124A49">
        <w:rPr>
          <w:noProof/>
          <w:bdr w:val="single" w:sz="12" w:space="0" w:color="auto"/>
          <w:lang w:eastAsia="es-CO"/>
        </w:rPr>
        <w:lastRenderedPageBreak/>
        <w:drawing>
          <wp:inline distT="0" distB="0" distL="0" distR="0" wp14:anchorId="3D802D33" wp14:editId="7952D258">
            <wp:extent cx="8182099" cy="5815263"/>
            <wp:effectExtent l="0" t="0" r="0" b="0"/>
            <wp:docPr id="2471" name="Imagen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21192" cy="5843048"/>
                    </a:xfrm>
                    <a:prstGeom prst="rect">
                      <a:avLst/>
                    </a:prstGeom>
                    <a:noFill/>
                    <a:ln>
                      <a:noFill/>
                    </a:ln>
                  </pic:spPr>
                </pic:pic>
              </a:graphicData>
            </a:graphic>
          </wp:inline>
        </w:drawing>
      </w:r>
    </w:p>
    <w:p w:rsidR="00124A49" w:rsidRDefault="00124A49" w:rsidP="00E945BD">
      <w:pPr>
        <w:pStyle w:val="Ttulo1"/>
        <w:spacing w:before="0" w:line="240" w:lineRule="auto"/>
        <w:rPr>
          <w:rFonts w:eastAsia="Arial Narrow"/>
        </w:rPr>
      </w:pPr>
    </w:p>
    <w:p w:rsidR="00D37968" w:rsidRPr="00756E82" w:rsidRDefault="00A86398" w:rsidP="00E945BD">
      <w:pPr>
        <w:pStyle w:val="Ttulo1"/>
        <w:spacing w:before="0" w:line="240" w:lineRule="auto"/>
        <w:rPr>
          <w:rFonts w:eastAsia="Arial Narrow"/>
        </w:rPr>
      </w:pPr>
      <w:bookmarkStart w:id="20" w:name="_Toc496861742"/>
      <w:r w:rsidRPr="00F242DB">
        <w:rPr>
          <w:rFonts w:ascii="Times New Roman" w:eastAsia="Times New Roman" w:hAnsi="Times New Roman"/>
          <w:noProof/>
          <w:lang w:eastAsia="es-CO"/>
        </w:rPr>
        <w:drawing>
          <wp:anchor distT="0" distB="0" distL="114300" distR="114300" simplePos="0" relativeHeight="251911168" behindDoc="0" locked="0" layoutInCell="1" allowOverlap="1" wp14:anchorId="68D1E937" wp14:editId="57ECE282">
            <wp:simplePos x="0" y="0"/>
            <wp:positionH relativeFrom="column">
              <wp:posOffset>7432040</wp:posOffset>
            </wp:positionH>
            <wp:positionV relativeFrom="paragraph">
              <wp:posOffset>-107950</wp:posOffset>
            </wp:positionV>
            <wp:extent cx="930910" cy="1304925"/>
            <wp:effectExtent l="0" t="0" r="2540" b="9525"/>
            <wp:wrapSquare wrapText="bothSides"/>
            <wp:docPr id="24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4">
                      <a:extLst>
                        <a:ext uri="{28A0092B-C50C-407E-A947-70E740481C1C}">
                          <a14:useLocalDpi xmlns:a14="http://schemas.microsoft.com/office/drawing/2010/main" val="0"/>
                        </a:ext>
                      </a:extLst>
                    </a:blip>
                    <a:srcRect l="69742"/>
                    <a:stretch/>
                  </pic:blipFill>
                  <pic:spPr bwMode="auto">
                    <a:xfrm>
                      <a:off x="0" y="0"/>
                      <a:ext cx="930910"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5BD">
        <w:rPr>
          <w:rFonts w:eastAsia="Arial Narrow"/>
        </w:rPr>
        <w:t xml:space="preserve">3. </w:t>
      </w:r>
      <w:r w:rsidR="007A7C27" w:rsidRPr="00756E82">
        <w:rPr>
          <w:rFonts w:eastAsia="Arial Narrow"/>
        </w:rPr>
        <w:t>DIRECCIÓN DE ESPACIO URBANO Y TERRITORIAL</w:t>
      </w:r>
      <w:bookmarkEnd w:id="20"/>
    </w:p>
    <w:p w:rsidR="00D37968" w:rsidRPr="00CF55E2" w:rsidRDefault="00D37968">
      <w:pPr>
        <w:pStyle w:val="Prrafodelista"/>
        <w:spacing w:after="0" w:line="240" w:lineRule="auto"/>
        <w:ind w:left="0"/>
        <w:rPr>
          <w:rFonts w:eastAsia="Arial Narrow"/>
          <w:szCs w:val="28"/>
        </w:rPr>
      </w:pPr>
      <w:r w:rsidRPr="00756E82">
        <w:rPr>
          <w:rFonts w:eastAsia="Arial Narrow"/>
          <w:szCs w:val="28"/>
        </w:rPr>
        <w:t xml:space="preserve">Director: Dr. </w:t>
      </w:r>
      <w:r w:rsidR="007A7C27" w:rsidRPr="00756E82">
        <w:rPr>
          <w:rFonts w:eastAsia="Arial Narrow"/>
          <w:szCs w:val="28"/>
        </w:rPr>
        <w:t>Rodolfo Orlando Beltrán Cubillos</w:t>
      </w:r>
    </w:p>
    <w:p w:rsidR="00E73F96" w:rsidRDefault="00E73F96" w:rsidP="00E73F96">
      <w:pPr>
        <w:spacing w:after="0" w:line="240" w:lineRule="auto"/>
        <w:ind w:left="120"/>
        <w:rPr>
          <w:rFonts w:cs="FuturaStd-ExtraBold"/>
          <w:bCs/>
          <w:color w:val="FF0000"/>
          <w:szCs w:val="24"/>
        </w:rPr>
      </w:pPr>
    </w:p>
    <w:tbl>
      <w:tblPr>
        <w:tblpPr w:leftFromText="141" w:rightFromText="141" w:vertAnchor="text" w:horzAnchor="margin" w:tblpY="73"/>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48"/>
        <w:gridCol w:w="1724"/>
        <w:gridCol w:w="3049"/>
        <w:gridCol w:w="1715"/>
      </w:tblGrid>
      <w:tr w:rsidR="00180C6E" w:rsidRPr="00B1123B" w:rsidTr="001805DD">
        <w:trPr>
          <w:trHeight w:val="513"/>
        </w:trPr>
        <w:tc>
          <w:tcPr>
            <w:tcW w:w="3048" w:type="dxa"/>
            <w:shd w:val="clear" w:color="auto" w:fill="993366"/>
            <w:vAlign w:val="center"/>
          </w:tcPr>
          <w:p w:rsidR="00180C6E" w:rsidRPr="00F9219C" w:rsidRDefault="00180C6E" w:rsidP="00B40D9B">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724" w:type="dxa"/>
            <w:shd w:val="clear" w:color="auto" w:fill="auto"/>
            <w:vAlign w:val="center"/>
          </w:tcPr>
          <w:p w:rsidR="00180C6E" w:rsidRPr="00F9219C" w:rsidRDefault="001805DD" w:rsidP="00B40D9B">
            <w:pPr>
              <w:spacing w:after="0" w:line="240" w:lineRule="auto"/>
              <w:ind w:right="20"/>
              <w:jc w:val="center"/>
              <w:rPr>
                <w:rFonts w:eastAsia="Arial Narrow"/>
                <w:b/>
                <w:color w:val="FF0000"/>
              </w:rPr>
            </w:pPr>
            <w:r w:rsidRPr="001805DD">
              <w:rPr>
                <w:rFonts w:eastAsia="Arial Narrow"/>
                <w:b/>
              </w:rPr>
              <w:t>85.95%</w:t>
            </w:r>
          </w:p>
        </w:tc>
        <w:tc>
          <w:tcPr>
            <w:tcW w:w="3049" w:type="dxa"/>
            <w:shd w:val="clear" w:color="auto" w:fill="993366"/>
          </w:tcPr>
          <w:p w:rsidR="00180C6E" w:rsidRPr="00B1123B" w:rsidRDefault="00180C6E" w:rsidP="00B40D9B">
            <w:pPr>
              <w:spacing w:after="0" w:line="240" w:lineRule="auto"/>
              <w:ind w:right="20"/>
              <w:jc w:val="center"/>
              <w:rPr>
                <w:rFonts w:eastAsia="Arial Narrow"/>
              </w:rPr>
            </w:pPr>
            <w:r w:rsidRPr="007E4FEC">
              <w:rPr>
                <w:rFonts w:eastAsia="Arial Narrow"/>
                <w:b/>
                <w:color w:val="FFFFFF" w:themeColor="background1"/>
              </w:rPr>
              <w:t xml:space="preserve">Número de </w:t>
            </w:r>
            <w:r>
              <w:rPr>
                <w:rFonts w:eastAsia="Arial Narrow"/>
                <w:b/>
                <w:color w:val="FFFFFF" w:themeColor="background1"/>
              </w:rPr>
              <w:t xml:space="preserve">Iniciativas </w:t>
            </w:r>
          </w:p>
        </w:tc>
        <w:tc>
          <w:tcPr>
            <w:tcW w:w="1715" w:type="dxa"/>
            <w:vAlign w:val="center"/>
          </w:tcPr>
          <w:p w:rsidR="00180C6E" w:rsidRPr="00307938" w:rsidRDefault="00EE0579" w:rsidP="00B40D9B">
            <w:pPr>
              <w:spacing w:after="0" w:line="240" w:lineRule="auto"/>
              <w:ind w:right="20"/>
              <w:jc w:val="center"/>
              <w:rPr>
                <w:rFonts w:eastAsia="Arial Narrow"/>
                <w:b/>
              </w:rPr>
            </w:pPr>
            <w:r>
              <w:rPr>
                <w:rFonts w:eastAsia="Arial Narrow"/>
                <w:b/>
              </w:rPr>
              <w:t>6</w:t>
            </w:r>
          </w:p>
        </w:tc>
      </w:tr>
    </w:tbl>
    <w:p w:rsidR="00A327F2" w:rsidRDefault="00A327F2" w:rsidP="00E73F96">
      <w:pPr>
        <w:spacing w:after="0" w:line="240" w:lineRule="auto"/>
        <w:ind w:left="120"/>
        <w:rPr>
          <w:rFonts w:cs="FuturaStd-ExtraBold"/>
          <w:bCs/>
          <w:color w:val="FF0000"/>
          <w:szCs w:val="24"/>
        </w:rPr>
      </w:pPr>
    </w:p>
    <w:p w:rsidR="00A327F2" w:rsidRDefault="00A327F2" w:rsidP="00E73F96">
      <w:pPr>
        <w:spacing w:after="0" w:line="240" w:lineRule="auto"/>
        <w:ind w:left="120"/>
        <w:rPr>
          <w:rFonts w:cs="FuturaStd-ExtraBold"/>
          <w:bCs/>
          <w:color w:val="FF0000"/>
          <w:szCs w:val="24"/>
        </w:rPr>
      </w:pPr>
    </w:p>
    <w:p w:rsidR="0020422A" w:rsidRPr="00555B59" w:rsidRDefault="0020422A" w:rsidP="0020422A">
      <w:pPr>
        <w:pStyle w:val="Prrafodelista"/>
        <w:spacing w:after="0" w:line="240" w:lineRule="auto"/>
        <w:ind w:left="0"/>
        <w:rPr>
          <w:rFonts w:eastAsia="Arial Narrow"/>
          <w:szCs w:val="28"/>
        </w:rPr>
      </w:pPr>
    </w:p>
    <w:p w:rsidR="00240823" w:rsidRPr="00B152FC" w:rsidRDefault="00240823" w:rsidP="00240823">
      <w:pPr>
        <w:spacing w:after="0" w:line="240" w:lineRule="auto"/>
        <w:rPr>
          <w:rFonts w:cs="FuturaStd-ExtraBold"/>
          <w:bCs/>
          <w:sz w:val="22"/>
          <w:szCs w:val="20"/>
        </w:rPr>
      </w:pPr>
      <w:r w:rsidRPr="00B152FC">
        <w:rPr>
          <w:rFonts w:cs="FuturaStd-ExtraBold"/>
          <w:bCs/>
          <w:sz w:val="22"/>
          <w:szCs w:val="20"/>
        </w:rPr>
        <w:t xml:space="preserve">La Dirección  cuenta con 6 iniciativas estratégicas, las cuales se detalla a continuación su  gestión: </w:t>
      </w:r>
    </w:p>
    <w:p w:rsidR="00240823" w:rsidRPr="00B152FC" w:rsidRDefault="00240823" w:rsidP="00240823">
      <w:pPr>
        <w:spacing w:after="0" w:line="240" w:lineRule="auto"/>
        <w:rPr>
          <w:rFonts w:cs="FuturaStd-ExtraBold"/>
          <w:bCs/>
          <w:sz w:val="22"/>
          <w:szCs w:val="20"/>
        </w:rPr>
      </w:pPr>
    </w:p>
    <w:p w:rsidR="00240823" w:rsidRPr="00B152FC" w:rsidRDefault="00240823" w:rsidP="00240823">
      <w:pPr>
        <w:rPr>
          <w:sz w:val="22"/>
          <w:szCs w:val="20"/>
        </w:rPr>
      </w:pPr>
      <w:r w:rsidRPr="00B152FC">
        <w:rPr>
          <w:b/>
          <w:sz w:val="22"/>
          <w:szCs w:val="20"/>
        </w:rPr>
        <w:t>1. Estudios y Propuestas normativas y de política orientadas a optimizar el marco normativo en materia de Vivienda de desarrollo urbano y territorial sostenible</w:t>
      </w:r>
      <w:r w:rsidRPr="00B152FC">
        <w:rPr>
          <w:sz w:val="22"/>
          <w:szCs w:val="20"/>
        </w:rPr>
        <w:t xml:space="preserve"> se elaboraron las siguientes propuestas normativas debidamente publicadas durante los días 10-28 de febrero y durante los días 19 de abril - 03 de mayo en la Página del MVCT. a. Proyecto normativo "Por el cual se modifica parcialmente el Reglamento Colombiano de Construcciones </w:t>
      </w:r>
      <w:proofErr w:type="spellStart"/>
      <w:r w:rsidRPr="00B152FC">
        <w:rPr>
          <w:sz w:val="22"/>
          <w:szCs w:val="20"/>
        </w:rPr>
        <w:t>Sismoresistentes</w:t>
      </w:r>
      <w:proofErr w:type="spellEnd"/>
      <w:r w:rsidRPr="00B152FC">
        <w:rPr>
          <w:sz w:val="22"/>
          <w:szCs w:val="20"/>
        </w:rPr>
        <w:t xml:space="preserve"> NSR-10". b. Proyecto normativo "Por medio del cual se modifica el Decreto 1077 de 2015 Único Reglamentario del Sector Vivienda, Ciudad y Territorio y se reglamenta la Ley 1796 de 2016, en lo relacionado con el trámite, estudio de licencias urbanísticas y curadores urbanos y se dictan otras disposiciones". </w:t>
      </w:r>
    </w:p>
    <w:p w:rsidR="00240823" w:rsidRPr="00B152FC" w:rsidRDefault="00240823" w:rsidP="00240823">
      <w:pPr>
        <w:pStyle w:val="Default"/>
        <w:rPr>
          <w:rFonts w:ascii="Verdana" w:hAnsi="Verdana" w:cstheme="minorBidi"/>
          <w:color w:val="auto"/>
          <w:sz w:val="22"/>
          <w:szCs w:val="20"/>
        </w:rPr>
      </w:pPr>
      <w:r w:rsidRPr="00B152FC">
        <w:rPr>
          <w:rFonts w:ascii="Verdana" w:hAnsi="Verdana" w:cstheme="minorBidi"/>
          <w:color w:val="auto"/>
          <w:sz w:val="22"/>
          <w:szCs w:val="20"/>
        </w:rPr>
        <w:t xml:space="preserve">Por otro lado, durante el mes de septiembre se elaboraron los términos de referencia para la convocatoria pública que abrió </w:t>
      </w:r>
      <w:proofErr w:type="spellStart"/>
      <w:r w:rsidRPr="00B152FC">
        <w:rPr>
          <w:rFonts w:ascii="Verdana" w:hAnsi="Verdana" w:cstheme="minorBidi"/>
          <w:color w:val="auto"/>
          <w:sz w:val="22"/>
          <w:szCs w:val="20"/>
        </w:rPr>
        <w:t>Findeter</w:t>
      </w:r>
      <w:proofErr w:type="spellEnd"/>
      <w:r w:rsidRPr="00B152FC">
        <w:rPr>
          <w:rFonts w:ascii="Verdana" w:hAnsi="Verdana" w:cstheme="minorBidi"/>
          <w:color w:val="auto"/>
          <w:sz w:val="22"/>
          <w:szCs w:val="20"/>
        </w:rPr>
        <w:t xml:space="preserve"> para contratar los estudios para la “formulación de tres (3) visiones de desarrollo territorial para los siguientes ejes: eje caribe - metrópoli del mar, eje montería – Sincelejo y eje ribereño de las Visiones, con su respectiva interventoría. Igualmente se adelantó el proceso de selección el cual se encuentra en la etapa de adjudicación. Por lo tanto se reporta un avance de la iniciativa del 43</w:t>
      </w:r>
      <w:r w:rsidR="001805DD" w:rsidRPr="00B152FC">
        <w:rPr>
          <w:rFonts w:ascii="Verdana" w:hAnsi="Verdana" w:cstheme="minorBidi"/>
          <w:color w:val="auto"/>
          <w:sz w:val="22"/>
          <w:szCs w:val="20"/>
        </w:rPr>
        <w:t>.20</w:t>
      </w:r>
      <w:r w:rsidRPr="00B152FC">
        <w:rPr>
          <w:rFonts w:ascii="Verdana" w:hAnsi="Verdana" w:cstheme="minorBidi"/>
          <w:color w:val="auto"/>
          <w:sz w:val="22"/>
          <w:szCs w:val="20"/>
        </w:rPr>
        <w:t>%.</w:t>
      </w:r>
    </w:p>
    <w:p w:rsidR="00240823" w:rsidRPr="00B152FC" w:rsidRDefault="00240823" w:rsidP="00240823">
      <w:pPr>
        <w:pStyle w:val="Default"/>
        <w:rPr>
          <w:rFonts w:ascii="Verdana" w:hAnsi="Verdana" w:cstheme="minorBidi"/>
          <w:color w:val="auto"/>
          <w:sz w:val="22"/>
          <w:szCs w:val="20"/>
        </w:rPr>
      </w:pPr>
    </w:p>
    <w:p w:rsidR="00240823" w:rsidRPr="00B152FC" w:rsidRDefault="00240823" w:rsidP="00240823">
      <w:pPr>
        <w:rPr>
          <w:sz w:val="22"/>
          <w:szCs w:val="20"/>
        </w:rPr>
      </w:pPr>
      <w:r w:rsidRPr="00B152FC">
        <w:rPr>
          <w:b/>
          <w:sz w:val="22"/>
          <w:szCs w:val="20"/>
        </w:rPr>
        <w:t>2. Municipios asistidos técnicamente  en procesos de mejoramiento integral de barrios</w:t>
      </w:r>
      <w:r w:rsidRPr="00B152FC">
        <w:rPr>
          <w:sz w:val="22"/>
          <w:szCs w:val="20"/>
        </w:rPr>
        <w:t xml:space="preserve">. Se Identificó  y programó las actividades de asistencia técnica, mediante un plan de trabajo para el año 2017, en el cual se identificaron y se programaron las actividades de asistencia técnica en proceso de legalización urbanística y estructuración de perfiles MIB, por demanda. Para fortalecer esta actividad, se Realiza talleres de asistencia técnica e informes,  que a la fecha se está dando cumplimiento con el 100% de la meta programada con 10 municipios atendidos de los 10 programados. Por lo anterior, para la presente iniciativa se presenta una ejecución del 100%. </w:t>
      </w:r>
    </w:p>
    <w:p w:rsidR="00240823" w:rsidRPr="00B152FC" w:rsidRDefault="00240823" w:rsidP="00240823">
      <w:pPr>
        <w:rPr>
          <w:sz w:val="22"/>
          <w:szCs w:val="20"/>
        </w:rPr>
      </w:pPr>
      <w:r w:rsidRPr="00B152FC">
        <w:rPr>
          <w:b/>
          <w:sz w:val="22"/>
          <w:szCs w:val="20"/>
        </w:rPr>
        <w:t>3. Para la iniciativa de 130 Municipios Capacitados y/o apoyados técnicamente para la revisión de los planes de ordenamiento Territorial (POT).</w:t>
      </w:r>
      <w:r w:rsidRPr="00B152FC">
        <w:rPr>
          <w:sz w:val="22"/>
          <w:szCs w:val="20"/>
        </w:rPr>
        <w:t xml:space="preserve"> La dirección, Identificó y programó las actividades de asistencia técnica, mediante un plan de trabajo para el cumplimiento de las metas establecidas en el plan de acción. Este documento fue socializado con los funcionarios de la DEUT. Se realizan talleres de asistencia técnica a 130  </w:t>
      </w:r>
      <w:r w:rsidRPr="00B152FC">
        <w:rPr>
          <w:sz w:val="22"/>
          <w:szCs w:val="20"/>
        </w:rPr>
        <w:lastRenderedPageBreak/>
        <w:t>municipios representado en 100% de su ejecución  concluyendo su ejecución con la Realización de  Informes  de evaluación de talleres de asistencia Técnica, los cuales se completaron los 4 informes programados dando cumplimiento con estos al 100% de la meta programada  de los 4 informes. Al contemplar todas las actividades de la iniciativa, se puede observar una ejecución del 100%.</w:t>
      </w:r>
    </w:p>
    <w:p w:rsidR="009B6AA4" w:rsidRDefault="00B152FC" w:rsidP="009B6AA4">
      <w:pPr>
        <w:jc w:val="center"/>
        <w:rPr>
          <w:b/>
          <w:sz w:val="20"/>
          <w:szCs w:val="20"/>
        </w:rPr>
      </w:pPr>
      <w:r w:rsidRPr="00124A49">
        <w:rPr>
          <w:noProof/>
          <w:bdr w:val="single" w:sz="12" w:space="0" w:color="auto"/>
          <w:lang w:eastAsia="es-CO"/>
        </w:rPr>
        <w:drawing>
          <wp:inline distT="0" distB="0" distL="0" distR="0" wp14:anchorId="69945514" wp14:editId="7A90C2CB">
            <wp:extent cx="6282047" cy="4244213"/>
            <wp:effectExtent l="0" t="0" r="5080" b="4445"/>
            <wp:docPr id="2469" name="Imagen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5720" cy="4246694"/>
                    </a:xfrm>
                    <a:prstGeom prst="rect">
                      <a:avLst/>
                    </a:prstGeom>
                    <a:noFill/>
                    <a:ln>
                      <a:noFill/>
                    </a:ln>
                  </pic:spPr>
                </pic:pic>
              </a:graphicData>
            </a:graphic>
          </wp:inline>
        </w:drawing>
      </w:r>
    </w:p>
    <w:p w:rsidR="00240823" w:rsidRPr="00B152FC" w:rsidRDefault="00240823" w:rsidP="00240823">
      <w:pPr>
        <w:rPr>
          <w:sz w:val="22"/>
          <w:szCs w:val="20"/>
        </w:rPr>
      </w:pPr>
      <w:r w:rsidRPr="00B152FC">
        <w:rPr>
          <w:b/>
          <w:sz w:val="22"/>
          <w:szCs w:val="20"/>
        </w:rPr>
        <w:t>4. Municipios capacitados en la elaboración del inventario de asentamientos en zonas de alto riesgo</w:t>
      </w:r>
      <w:r w:rsidRPr="00B152FC">
        <w:rPr>
          <w:sz w:val="22"/>
          <w:szCs w:val="20"/>
        </w:rPr>
        <w:t xml:space="preserve">. En febrero se cumplió el 100% de la meta, porque se elaboró un plan de trabajo donde se define la estrategia para el cumplimiento de las metas establecidas en el plan de acción. Este documento fue socializado con los funcionarios de la DEUT en el mes el mismo mes. Para el corte a 30 de septiembre de 2017, se  Realiza talleres de asistencia </w:t>
      </w:r>
      <w:r w:rsidRPr="00B152FC">
        <w:rPr>
          <w:sz w:val="22"/>
          <w:szCs w:val="20"/>
        </w:rPr>
        <w:lastRenderedPageBreak/>
        <w:t xml:space="preserve">técnica. Contando con un porcentaje de avance y cumplimiento del 100%. Donde se llevó a cabo  una jornada de capacitación en la elaboración del inventario de asentamientos en zonas de alto riesgo en las ciudades de Villavicencio, Cartagena y Medellín  contando con la participación de delegados de las Administraciones municipales de  los departamentos del Meta (9): Acacias, Castilla La Nueva, Granada, Lejanías, </w:t>
      </w:r>
      <w:proofErr w:type="spellStart"/>
      <w:r w:rsidRPr="00B152FC">
        <w:rPr>
          <w:sz w:val="22"/>
          <w:szCs w:val="20"/>
        </w:rPr>
        <w:t>Mapiripan</w:t>
      </w:r>
      <w:proofErr w:type="spellEnd"/>
      <w:r w:rsidRPr="00B152FC">
        <w:rPr>
          <w:sz w:val="22"/>
          <w:szCs w:val="20"/>
        </w:rPr>
        <w:t xml:space="preserve">, Puerto Lopez, Puerto Rico, Restrepo, Villavicencio. Bolívar (12): Arenal, Arjona, Arroyo Hondo, El Guamo, Maria La Baja, Santa Catalina, </w:t>
      </w:r>
      <w:proofErr w:type="spellStart"/>
      <w:r w:rsidRPr="00B152FC">
        <w:rPr>
          <w:sz w:val="22"/>
          <w:szCs w:val="20"/>
        </w:rPr>
        <w:t>Soplaviento</w:t>
      </w:r>
      <w:proofErr w:type="spellEnd"/>
      <w:r w:rsidRPr="00B152FC">
        <w:rPr>
          <w:sz w:val="22"/>
          <w:szCs w:val="20"/>
        </w:rPr>
        <w:t xml:space="preserve">, </w:t>
      </w:r>
      <w:proofErr w:type="spellStart"/>
      <w:r w:rsidRPr="00B152FC">
        <w:rPr>
          <w:sz w:val="22"/>
          <w:szCs w:val="20"/>
        </w:rPr>
        <w:t>Talaigua</w:t>
      </w:r>
      <w:proofErr w:type="spellEnd"/>
      <w:r w:rsidRPr="00B152FC">
        <w:rPr>
          <w:sz w:val="22"/>
          <w:szCs w:val="20"/>
        </w:rPr>
        <w:t xml:space="preserve"> Nuevo, </w:t>
      </w:r>
      <w:proofErr w:type="spellStart"/>
      <w:r w:rsidRPr="00B152FC">
        <w:rPr>
          <w:sz w:val="22"/>
          <w:szCs w:val="20"/>
        </w:rPr>
        <w:t>Tiquisio</w:t>
      </w:r>
      <w:proofErr w:type="spellEnd"/>
      <w:r w:rsidRPr="00B152FC">
        <w:rPr>
          <w:sz w:val="22"/>
          <w:szCs w:val="20"/>
        </w:rPr>
        <w:t xml:space="preserve"> (Puerto Rico), </w:t>
      </w:r>
      <w:proofErr w:type="spellStart"/>
      <w:r w:rsidRPr="00B152FC">
        <w:rPr>
          <w:sz w:val="22"/>
          <w:szCs w:val="20"/>
        </w:rPr>
        <w:t>Turbana</w:t>
      </w:r>
      <w:proofErr w:type="spellEnd"/>
      <w:r w:rsidRPr="00B152FC">
        <w:rPr>
          <w:sz w:val="22"/>
          <w:szCs w:val="20"/>
        </w:rPr>
        <w:t xml:space="preserve">, Villanueva, Zambrano. Antioquia (46): </w:t>
      </w:r>
      <w:proofErr w:type="spellStart"/>
      <w:r w:rsidRPr="00B152FC">
        <w:rPr>
          <w:sz w:val="22"/>
          <w:szCs w:val="20"/>
        </w:rPr>
        <w:t>Abejorral</w:t>
      </w:r>
      <w:proofErr w:type="spellEnd"/>
      <w:r w:rsidRPr="00B152FC">
        <w:rPr>
          <w:sz w:val="22"/>
          <w:szCs w:val="20"/>
        </w:rPr>
        <w:t xml:space="preserve">, </w:t>
      </w:r>
      <w:proofErr w:type="spellStart"/>
      <w:r w:rsidRPr="00B152FC">
        <w:rPr>
          <w:sz w:val="22"/>
          <w:szCs w:val="20"/>
        </w:rPr>
        <w:t>Abriaqui</w:t>
      </w:r>
      <w:proofErr w:type="spellEnd"/>
      <w:r w:rsidRPr="00B152FC">
        <w:rPr>
          <w:sz w:val="22"/>
          <w:szCs w:val="20"/>
        </w:rPr>
        <w:t xml:space="preserve">, Amalfi, Angostura, Betania, </w:t>
      </w:r>
      <w:proofErr w:type="spellStart"/>
      <w:r w:rsidRPr="00B152FC">
        <w:rPr>
          <w:sz w:val="22"/>
          <w:szCs w:val="20"/>
        </w:rPr>
        <w:t>Buritica</w:t>
      </w:r>
      <w:proofErr w:type="spellEnd"/>
      <w:r w:rsidRPr="00B152FC">
        <w:rPr>
          <w:sz w:val="22"/>
          <w:szCs w:val="20"/>
        </w:rPr>
        <w:t xml:space="preserve">, Cáceres, Caicedo, </w:t>
      </w:r>
      <w:proofErr w:type="spellStart"/>
      <w:r w:rsidRPr="00B152FC">
        <w:rPr>
          <w:sz w:val="22"/>
          <w:szCs w:val="20"/>
        </w:rPr>
        <w:t>Canasgordas</w:t>
      </w:r>
      <w:proofErr w:type="spellEnd"/>
      <w:r w:rsidRPr="00B152FC">
        <w:rPr>
          <w:sz w:val="22"/>
          <w:szCs w:val="20"/>
        </w:rPr>
        <w:t xml:space="preserve">, Caracolí, </w:t>
      </w:r>
      <w:proofErr w:type="spellStart"/>
      <w:r w:rsidRPr="00B152FC">
        <w:rPr>
          <w:sz w:val="22"/>
          <w:szCs w:val="20"/>
        </w:rPr>
        <w:t>Caramanta</w:t>
      </w:r>
      <w:proofErr w:type="spellEnd"/>
      <w:r w:rsidRPr="00B152FC">
        <w:rPr>
          <w:sz w:val="22"/>
          <w:szCs w:val="20"/>
        </w:rPr>
        <w:t xml:space="preserve">, Carolina, </w:t>
      </w:r>
      <w:proofErr w:type="spellStart"/>
      <w:r w:rsidRPr="00B152FC">
        <w:rPr>
          <w:sz w:val="22"/>
          <w:szCs w:val="20"/>
        </w:rPr>
        <w:t>Chigorodo</w:t>
      </w:r>
      <w:proofErr w:type="spellEnd"/>
      <w:r w:rsidRPr="00B152FC">
        <w:rPr>
          <w:sz w:val="22"/>
          <w:szCs w:val="20"/>
        </w:rPr>
        <w:t xml:space="preserve">, </w:t>
      </w:r>
      <w:proofErr w:type="spellStart"/>
      <w:r w:rsidRPr="00B152FC">
        <w:rPr>
          <w:sz w:val="22"/>
          <w:szCs w:val="20"/>
        </w:rPr>
        <w:t>Dabeiba</w:t>
      </w:r>
      <w:proofErr w:type="spellEnd"/>
      <w:r w:rsidRPr="00B152FC">
        <w:rPr>
          <w:sz w:val="22"/>
          <w:szCs w:val="20"/>
        </w:rPr>
        <w:t xml:space="preserve">, Girardota, Granada, Guadalupe, Guarne, Heliconia, Itagüí, Jardín, La Pintada, La Unión, Marinilla, Nariño, Olaya, Puerto Berrio, Puerto Triunfo, Retiro, San Andres, San Carlos, San Jerónimo, San Pedro, San Pedro De Urabá, San Vicente, Santa Fe De Antioquia, Santa Rosa De Osos, Segovia, </w:t>
      </w:r>
      <w:proofErr w:type="spellStart"/>
      <w:r w:rsidRPr="00B152FC">
        <w:rPr>
          <w:sz w:val="22"/>
          <w:szCs w:val="20"/>
        </w:rPr>
        <w:t>Sonson</w:t>
      </w:r>
      <w:proofErr w:type="spellEnd"/>
      <w:r w:rsidRPr="00B152FC">
        <w:rPr>
          <w:sz w:val="22"/>
          <w:szCs w:val="20"/>
        </w:rPr>
        <w:t xml:space="preserve">, Taraza, Tarso, Titiribí, Turbo, Valparaíso, </w:t>
      </w:r>
      <w:proofErr w:type="spellStart"/>
      <w:r w:rsidRPr="00B152FC">
        <w:rPr>
          <w:sz w:val="22"/>
          <w:szCs w:val="20"/>
        </w:rPr>
        <w:t>Yali</w:t>
      </w:r>
      <w:proofErr w:type="spellEnd"/>
      <w:r w:rsidRPr="00B152FC">
        <w:rPr>
          <w:sz w:val="22"/>
          <w:szCs w:val="20"/>
        </w:rPr>
        <w:t xml:space="preserve">, </w:t>
      </w:r>
      <w:proofErr w:type="spellStart"/>
      <w:r w:rsidRPr="00B152FC">
        <w:rPr>
          <w:sz w:val="22"/>
          <w:szCs w:val="20"/>
        </w:rPr>
        <w:t>Yarumal</w:t>
      </w:r>
      <w:proofErr w:type="spellEnd"/>
      <w:r w:rsidRPr="00B152FC">
        <w:rPr>
          <w:sz w:val="22"/>
          <w:szCs w:val="20"/>
        </w:rPr>
        <w:t xml:space="preserve">. Y Valle (3): </w:t>
      </w:r>
      <w:proofErr w:type="spellStart"/>
      <w:r w:rsidRPr="00B152FC">
        <w:rPr>
          <w:sz w:val="22"/>
          <w:szCs w:val="20"/>
        </w:rPr>
        <w:t>Bolivar</w:t>
      </w:r>
      <w:proofErr w:type="spellEnd"/>
      <w:r w:rsidRPr="00B152FC">
        <w:rPr>
          <w:sz w:val="22"/>
          <w:szCs w:val="20"/>
        </w:rPr>
        <w:t xml:space="preserve">, </w:t>
      </w:r>
      <w:proofErr w:type="spellStart"/>
      <w:r w:rsidRPr="00B152FC">
        <w:rPr>
          <w:sz w:val="22"/>
          <w:szCs w:val="20"/>
        </w:rPr>
        <w:t>Dagua</w:t>
      </w:r>
      <w:proofErr w:type="spellEnd"/>
      <w:r w:rsidRPr="00B152FC">
        <w:rPr>
          <w:sz w:val="22"/>
          <w:szCs w:val="20"/>
        </w:rPr>
        <w:t xml:space="preserve">, El </w:t>
      </w:r>
      <w:proofErr w:type="spellStart"/>
      <w:r w:rsidRPr="00B152FC">
        <w:rPr>
          <w:sz w:val="22"/>
          <w:szCs w:val="20"/>
        </w:rPr>
        <w:t>Aguila</w:t>
      </w:r>
      <w:proofErr w:type="spellEnd"/>
      <w:r w:rsidRPr="00B152FC">
        <w:rPr>
          <w:sz w:val="22"/>
          <w:szCs w:val="20"/>
        </w:rPr>
        <w:t xml:space="preserve">. Por lo tanto, a iniciativa reporta un avance del 100%. </w:t>
      </w:r>
    </w:p>
    <w:p w:rsidR="00240823" w:rsidRPr="00B152FC" w:rsidRDefault="00240823" w:rsidP="00240823">
      <w:pPr>
        <w:rPr>
          <w:sz w:val="22"/>
          <w:szCs w:val="20"/>
        </w:rPr>
      </w:pPr>
      <w:r w:rsidRPr="00B152FC">
        <w:rPr>
          <w:b/>
          <w:sz w:val="22"/>
          <w:szCs w:val="20"/>
        </w:rPr>
        <w:t>5. Municipios Capacitados en la incorporación de la gestión del riesgo en la revisión de sus POT</w:t>
      </w:r>
      <w:r w:rsidRPr="00B152FC">
        <w:rPr>
          <w:sz w:val="22"/>
          <w:szCs w:val="20"/>
        </w:rPr>
        <w:t xml:space="preserve">. Actualmente cuenta con un porcentaje de avance y cumplimiento del 87%., en donde 113 Municipios  fueron capacitados , llevándose a cabo taller de capacitación técnica   en temas relacionados con la incorporación del riesgo en los POT en la ciudad de santa marta, Villavicencio, en el Distrito de Barranquilla, Pereira y Riohacha contando con la participación de delegados de las administraciones municipales de  los siguientes departamentos Magdalena (18): Algarrobo, Aracataca, Cerro De San Antonio, </w:t>
      </w:r>
      <w:proofErr w:type="spellStart"/>
      <w:r w:rsidRPr="00B152FC">
        <w:rPr>
          <w:sz w:val="22"/>
          <w:szCs w:val="20"/>
        </w:rPr>
        <w:t>Chivolo</w:t>
      </w:r>
      <w:proofErr w:type="spellEnd"/>
      <w:r w:rsidRPr="00B152FC">
        <w:rPr>
          <w:sz w:val="22"/>
          <w:szCs w:val="20"/>
        </w:rPr>
        <w:t xml:space="preserve">, Ciénaga, Concordia, El Reten, </w:t>
      </w:r>
      <w:proofErr w:type="spellStart"/>
      <w:r w:rsidRPr="00B152FC">
        <w:rPr>
          <w:sz w:val="22"/>
          <w:szCs w:val="20"/>
        </w:rPr>
        <w:t>Guamal</w:t>
      </w:r>
      <w:proofErr w:type="spellEnd"/>
      <w:r w:rsidRPr="00B152FC">
        <w:rPr>
          <w:sz w:val="22"/>
          <w:szCs w:val="20"/>
        </w:rPr>
        <w:t xml:space="preserve">, Nueva Granada, </w:t>
      </w:r>
      <w:proofErr w:type="spellStart"/>
      <w:r w:rsidRPr="00B152FC">
        <w:rPr>
          <w:sz w:val="22"/>
          <w:szCs w:val="20"/>
        </w:rPr>
        <w:t>Pijino</w:t>
      </w:r>
      <w:proofErr w:type="spellEnd"/>
      <w:r w:rsidRPr="00B152FC">
        <w:rPr>
          <w:sz w:val="22"/>
          <w:szCs w:val="20"/>
        </w:rPr>
        <w:t xml:space="preserve"> Del Carmen, Plato, Sabanas De San Angel, Salamina, San Zenón, Santa Ana, Santa Bárbara de Pinto, </w:t>
      </w:r>
      <w:proofErr w:type="spellStart"/>
      <w:r w:rsidRPr="00B152FC">
        <w:rPr>
          <w:sz w:val="22"/>
          <w:szCs w:val="20"/>
        </w:rPr>
        <w:t>Sitionuevo</w:t>
      </w:r>
      <w:proofErr w:type="spellEnd"/>
      <w:r w:rsidRPr="00B152FC">
        <w:rPr>
          <w:sz w:val="22"/>
          <w:szCs w:val="20"/>
        </w:rPr>
        <w:t xml:space="preserve">, Zona Bananera (Prado-Sevilla). Meta (9): Acacias, Castilla La Nueva, Granada, Lejanías, </w:t>
      </w:r>
      <w:proofErr w:type="spellStart"/>
      <w:r w:rsidRPr="00B152FC">
        <w:rPr>
          <w:sz w:val="22"/>
          <w:szCs w:val="20"/>
        </w:rPr>
        <w:t>Mapiripan</w:t>
      </w:r>
      <w:proofErr w:type="spellEnd"/>
      <w:r w:rsidRPr="00B152FC">
        <w:rPr>
          <w:sz w:val="22"/>
          <w:szCs w:val="20"/>
        </w:rPr>
        <w:t xml:space="preserve">, Puerto Lopez, Puerto Rico, Restrepo, Villavicencio. Atlántico (8): Barranquilla, Campo De La Cruz, Candelaria, </w:t>
      </w:r>
      <w:proofErr w:type="spellStart"/>
      <w:r w:rsidRPr="00B152FC">
        <w:rPr>
          <w:sz w:val="22"/>
          <w:szCs w:val="20"/>
        </w:rPr>
        <w:t>Luruaco</w:t>
      </w:r>
      <w:proofErr w:type="spellEnd"/>
      <w:r w:rsidRPr="00B152FC">
        <w:rPr>
          <w:sz w:val="22"/>
          <w:szCs w:val="20"/>
        </w:rPr>
        <w:t xml:space="preserve">, Malambo, Palmar De Varela, </w:t>
      </w:r>
      <w:proofErr w:type="spellStart"/>
      <w:r w:rsidRPr="00B152FC">
        <w:rPr>
          <w:sz w:val="22"/>
          <w:szCs w:val="20"/>
        </w:rPr>
        <w:t>Polonuevo</w:t>
      </w:r>
      <w:proofErr w:type="spellEnd"/>
      <w:r w:rsidRPr="00B152FC">
        <w:rPr>
          <w:sz w:val="22"/>
          <w:szCs w:val="20"/>
        </w:rPr>
        <w:t xml:space="preserve">, Soledad. Risaralda (11): Apia, Belén De </w:t>
      </w:r>
      <w:proofErr w:type="spellStart"/>
      <w:r w:rsidRPr="00B152FC">
        <w:rPr>
          <w:sz w:val="22"/>
          <w:szCs w:val="20"/>
        </w:rPr>
        <w:t>Umbria</w:t>
      </w:r>
      <w:proofErr w:type="spellEnd"/>
      <w:r w:rsidRPr="00B152FC">
        <w:rPr>
          <w:sz w:val="22"/>
          <w:szCs w:val="20"/>
        </w:rPr>
        <w:t xml:space="preserve">, Dosquebradas, </w:t>
      </w:r>
      <w:proofErr w:type="spellStart"/>
      <w:r w:rsidRPr="00B152FC">
        <w:rPr>
          <w:sz w:val="22"/>
          <w:szCs w:val="20"/>
        </w:rPr>
        <w:t>Guatica</w:t>
      </w:r>
      <w:proofErr w:type="spellEnd"/>
      <w:r w:rsidRPr="00B152FC">
        <w:rPr>
          <w:sz w:val="22"/>
          <w:szCs w:val="20"/>
        </w:rPr>
        <w:t xml:space="preserve">, La Celia, La Virginia, Marsella, </w:t>
      </w:r>
      <w:proofErr w:type="spellStart"/>
      <w:r w:rsidRPr="00B152FC">
        <w:rPr>
          <w:sz w:val="22"/>
          <w:szCs w:val="20"/>
        </w:rPr>
        <w:t>Mistrató</w:t>
      </w:r>
      <w:proofErr w:type="spellEnd"/>
      <w:r w:rsidRPr="00B152FC">
        <w:rPr>
          <w:sz w:val="22"/>
          <w:szCs w:val="20"/>
        </w:rPr>
        <w:t>, Pereira, Pueblo Rico, Santa Rosa De Cabal. La Guajira (8), Bolívar (12), Antioquia (47),  y Valle (17). Teniendo en cuenta las actividades que hacen parte de la iniciativa estratégica, se evidencia un avance a la fecha de 100%.</w:t>
      </w:r>
    </w:p>
    <w:p w:rsidR="00240823" w:rsidRPr="00B152FC" w:rsidRDefault="00240823" w:rsidP="00240823">
      <w:pPr>
        <w:spacing w:after="200" w:line="276" w:lineRule="auto"/>
        <w:rPr>
          <w:sz w:val="22"/>
          <w:szCs w:val="20"/>
        </w:rPr>
      </w:pPr>
      <w:r w:rsidRPr="00B152FC">
        <w:rPr>
          <w:sz w:val="22"/>
          <w:szCs w:val="20"/>
        </w:rPr>
        <w:t xml:space="preserve">6. En cuanto a </w:t>
      </w:r>
      <w:r w:rsidRPr="00B152FC">
        <w:rPr>
          <w:b/>
          <w:i/>
          <w:sz w:val="22"/>
          <w:szCs w:val="20"/>
        </w:rPr>
        <w:t>Actuaciones Urbanas Integrales Evaluadas</w:t>
      </w:r>
      <w:r w:rsidRPr="00B152FC">
        <w:rPr>
          <w:sz w:val="22"/>
          <w:szCs w:val="20"/>
        </w:rPr>
        <w:t>. La iniciativa estratégica reporta un avance del 7</w:t>
      </w:r>
      <w:r w:rsidR="001805DD" w:rsidRPr="00B152FC">
        <w:rPr>
          <w:sz w:val="22"/>
          <w:szCs w:val="20"/>
        </w:rPr>
        <w:t>2.</w:t>
      </w:r>
      <w:r w:rsidRPr="00B152FC">
        <w:rPr>
          <w:sz w:val="22"/>
          <w:szCs w:val="20"/>
        </w:rPr>
        <w:t xml:space="preserve">5%, teniendo en cuenta que se realizó la entrega de tres (3) informes de evaluación de la viabilidad de las solicitudes de Actuaciones Urbanas Integrales enviadas por los promotores o gestores., de los cuatro programados para el año 2017 y sus respectivos tres (3) actos administrativos de anuncio o archivo, tales como: Resolución No.0198 del 17-abr-2017 por la cual se resuelve el recurso de reposición contra la resolución 1058 del 28-dic-2016 de Archivo MISN SARATOGA Cali-Valle. Resolución No.0425 del 30-jun-2017 Archivo MISN 2G LA LLAMARADA </w:t>
      </w:r>
      <w:r w:rsidRPr="00B152FC">
        <w:rPr>
          <w:sz w:val="22"/>
          <w:szCs w:val="20"/>
        </w:rPr>
        <w:lastRenderedPageBreak/>
        <w:t>Yopal-Casanare, Resolución No.0551 del 23-ago-2017 Anuncio MISN 2G SANTA FE Cali-Valle. Y sus respectivos dos (2) actos administrativos de adopción, modificación o archivo, tales como: Resolución No.0544 del 22-ago-2017 Consolida Modificaciones Adopción MISN SAN JOSE Manizales-Caldas, y Resolución No.0572 del 30-ago-2017 Revocatoria Adopción MISN CIUDADELA DEL VALLE Tuluá-Valle.</w:t>
      </w:r>
    </w:p>
    <w:p w:rsidR="00EE0579" w:rsidRDefault="009B6AA4" w:rsidP="00EE0579">
      <w:pPr>
        <w:jc w:val="center"/>
        <w:rPr>
          <w:sz w:val="20"/>
          <w:szCs w:val="20"/>
        </w:rPr>
      </w:pPr>
      <w:r w:rsidRPr="00124A49">
        <w:rPr>
          <w:noProof/>
          <w:bdr w:val="single" w:sz="12" w:space="0" w:color="auto"/>
          <w:lang w:eastAsia="es-CO"/>
        </w:rPr>
        <w:drawing>
          <wp:inline distT="0" distB="0" distL="0" distR="0" wp14:anchorId="43E9968A" wp14:editId="73410D63">
            <wp:extent cx="7980218" cy="5023263"/>
            <wp:effectExtent l="0" t="0" r="1905" b="6350"/>
            <wp:docPr id="2473" name="Imagen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98586" cy="5034825"/>
                    </a:xfrm>
                    <a:prstGeom prst="rect">
                      <a:avLst/>
                    </a:prstGeom>
                    <a:noFill/>
                    <a:ln>
                      <a:noFill/>
                    </a:ln>
                  </pic:spPr>
                </pic:pic>
              </a:graphicData>
            </a:graphic>
          </wp:inline>
        </w:drawing>
      </w:r>
    </w:p>
    <w:p w:rsidR="009C3294" w:rsidRPr="00F309CD" w:rsidRDefault="00A654C0" w:rsidP="009C3294">
      <w:pPr>
        <w:pStyle w:val="Ttulo1"/>
        <w:spacing w:before="0" w:line="240" w:lineRule="auto"/>
        <w:rPr>
          <w:rFonts w:eastAsia="Arial Narrow"/>
        </w:rPr>
      </w:pPr>
      <w:bookmarkStart w:id="21" w:name="_Toc489033556"/>
      <w:bookmarkStart w:id="22" w:name="_Toc489033838"/>
      <w:bookmarkStart w:id="23" w:name="_Toc496861743"/>
      <w:r w:rsidRPr="00F242DB">
        <w:rPr>
          <w:rFonts w:ascii="Times New Roman" w:eastAsia="Times New Roman" w:hAnsi="Times New Roman"/>
          <w:noProof/>
          <w:lang w:eastAsia="es-CO"/>
        </w:rPr>
        <w:lastRenderedPageBreak/>
        <w:drawing>
          <wp:anchor distT="0" distB="0" distL="114300" distR="114300" simplePos="0" relativeHeight="251913216" behindDoc="0" locked="0" layoutInCell="1" allowOverlap="1" wp14:anchorId="07DA7183" wp14:editId="6241662F">
            <wp:simplePos x="0" y="0"/>
            <wp:positionH relativeFrom="column">
              <wp:posOffset>6603365</wp:posOffset>
            </wp:positionH>
            <wp:positionV relativeFrom="paragraph">
              <wp:posOffset>46355</wp:posOffset>
            </wp:positionV>
            <wp:extent cx="1159510" cy="1625600"/>
            <wp:effectExtent l="0" t="0" r="2540" b="0"/>
            <wp:wrapSquare wrapText="bothSides"/>
            <wp:docPr id="25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4">
                      <a:extLst>
                        <a:ext uri="{28A0092B-C50C-407E-A947-70E740481C1C}">
                          <a14:useLocalDpi xmlns:a14="http://schemas.microsoft.com/office/drawing/2010/main" val="0"/>
                        </a:ext>
                      </a:extLst>
                    </a:blip>
                    <a:srcRect l="69742"/>
                    <a:stretch/>
                  </pic:blipFill>
                  <pic:spPr bwMode="auto">
                    <a:xfrm>
                      <a:off x="0" y="0"/>
                      <a:ext cx="1159510" cy="16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1"/>
      <w:bookmarkEnd w:id="22"/>
      <w:r w:rsidR="009C3294" w:rsidRPr="00F309CD">
        <w:rPr>
          <w:rFonts w:eastAsia="Arial Narrow"/>
        </w:rPr>
        <w:t>VICEMINISTERIO DE AGUA Y SANEAMIENTO BÁSICO</w:t>
      </w:r>
      <w:bookmarkEnd w:id="23"/>
    </w:p>
    <w:p w:rsidR="008B41AD" w:rsidRPr="00A654C0" w:rsidRDefault="009C3294" w:rsidP="008B41AD">
      <w:pPr>
        <w:spacing w:after="0" w:line="240" w:lineRule="auto"/>
        <w:rPr>
          <w:sz w:val="28"/>
          <w:szCs w:val="28"/>
        </w:rPr>
      </w:pPr>
      <w:r w:rsidRPr="00F309CD">
        <w:t xml:space="preserve">Dr. </w:t>
      </w:r>
    </w:p>
    <w:p w:rsidR="008B41AD" w:rsidRPr="00A654C0" w:rsidRDefault="008B41AD" w:rsidP="008B41AD">
      <w:pPr>
        <w:spacing w:after="0" w:line="240" w:lineRule="auto"/>
        <w:rPr>
          <w:sz w:val="28"/>
          <w:szCs w:val="28"/>
        </w:rPr>
      </w:pPr>
      <w:r w:rsidRPr="00A654C0">
        <w:rPr>
          <w:sz w:val="28"/>
          <w:szCs w:val="28"/>
        </w:rPr>
        <w:t>Fernando Andrés Vargas Mesías</w:t>
      </w:r>
      <w:r>
        <w:rPr>
          <w:sz w:val="28"/>
          <w:szCs w:val="28"/>
        </w:rPr>
        <w:t xml:space="preserve"> (E)</w:t>
      </w:r>
    </w:p>
    <w:p w:rsidR="009C3294" w:rsidRPr="00E945BD" w:rsidRDefault="00E945BD" w:rsidP="008B41AD">
      <w:r>
        <w:t xml:space="preserve">1. </w:t>
      </w:r>
      <w:r w:rsidR="009C3294" w:rsidRPr="00E945BD">
        <w:t>DIRECCIÓN DE DESARROLLO SECTORIAL</w:t>
      </w:r>
    </w:p>
    <w:p w:rsidR="009C3294" w:rsidRPr="00A654C0" w:rsidRDefault="009C3294" w:rsidP="009C3294">
      <w:pPr>
        <w:spacing w:after="0" w:line="240" w:lineRule="auto"/>
        <w:rPr>
          <w:sz w:val="28"/>
          <w:szCs w:val="28"/>
        </w:rPr>
      </w:pPr>
      <w:r w:rsidRPr="00A654C0">
        <w:rPr>
          <w:sz w:val="28"/>
          <w:szCs w:val="28"/>
        </w:rPr>
        <w:t>Director: Dr. Fernando Andrés Vargas Mesías</w:t>
      </w:r>
    </w:p>
    <w:p w:rsidR="00180C6E" w:rsidRDefault="00180C6E" w:rsidP="009C3294">
      <w:pPr>
        <w:spacing w:after="0" w:line="240" w:lineRule="auto"/>
      </w:pPr>
    </w:p>
    <w:tbl>
      <w:tblPr>
        <w:tblpPr w:leftFromText="141" w:rightFromText="141" w:vertAnchor="text" w:horzAnchor="margin" w:tblpY="73"/>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48"/>
        <w:gridCol w:w="1724"/>
        <w:gridCol w:w="3049"/>
        <w:gridCol w:w="1715"/>
      </w:tblGrid>
      <w:tr w:rsidR="00180C6E" w:rsidRPr="00B1123B" w:rsidTr="00B07D7A">
        <w:trPr>
          <w:trHeight w:val="513"/>
        </w:trPr>
        <w:tc>
          <w:tcPr>
            <w:tcW w:w="3048" w:type="dxa"/>
            <w:shd w:val="clear" w:color="auto" w:fill="993366"/>
            <w:vAlign w:val="center"/>
          </w:tcPr>
          <w:p w:rsidR="00180C6E" w:rsidRPr="00F9219C" w:rsidRDefault="00180C6E" w:rsidP="00B40D9B">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724" w:type="dxa"/>
            <w:shd w:val="clear" w:color="auto" w:fill="auto"/>
            <w:vAlign w:val="center"/>
          </w:tcPr>
          <w:p w:rsidR="00776B87" w:rsidRPr="00776B87" w:rsidRDefault="00AD1450" w:rsidP="00776B87">
            <w:pPr>
              <w:spacing w:after="0" w:line="240" w:lineRule="auto"/>
              <w:ind w:right="20"/>
              <w:jc w:val="center"/>
              <w:rPr>
                <w:rFonts w:eastAsia="Arial Narrow"/>
                <w:b/>
              </w:rPr>
            </w:pPr>
            <w:r>
              <w:rPr>
                <w:rFonts w:eastAsia="Arial Narrow"/>
                <w:b/>
              </w:rPr>
              <w:t>66.71</w:t>
            </w:r>
            <w:r w:rsidR="00B07D7A">
              <w:rPr>
                <w:rFonts w:eastAsia="Arial Narrow"/>
                <w:b/>
              </w:rPr>
              <w:t>%</w:t>
            </w:r>
          </w:p>
        </w:tc>
        <w:tc>
          <w:tcPr>
            <w:tcW w:w="3049" w:type="dxa"/>
            <w:shd w:val="clear" w:color="auto" w:fill="993366"/>
          </w:tcPr>
          <w:p w:rsidR="00180C6E" w:rsidRPr="00B1123B" w:rsidRDefault="00180C6E" w:rsidP="00B40D9B">
            <w:pPr>
              <w:spacing w:after="0" w:line="240" w:lineRule="auto"/>
              <w:ind w:right="20"/>
              <w:jc w:val="center"/>
              <w:rPr>
                <w:rFonts w:eastAsia="Arial Narrow"/>
              </w:rPr>
            </w:pPr>
            <w:r w:rsidRPr="007E4FEC">
              <w:rPr>
                <w:rFonts w:eastAsia="Arial Narrow"/>
                <w:b/>
                <w:color w:val="FFFFFF" w:themeColor="background1"/>
              </w:rPr>
              <w:t xml:space="preserve">Número de </w:t>
            </w:r>
            <w:r>
              <w:rPr>
                <w:rFonts w:eastAsia="Arial Narrow"/>
                <w:b/>
                <w:color w:val="FFFFFF" w:themeColor="background1"/>
              </w:rPr>
              <w:t xml:space="preserve">Iniciativas </w:t>
            </w:r>
          </w:p>
        </w:tc>
        <w:tc>
          <w:tcPr>
            <w:tcW w:w="1715" w:type="dxa"/>
            <w:vAlign w:val="center"/>
          </w:tcPr>
          <w:p w:rsidR="00180C6E" w:rsidRPr="00307938" w:rsidRDefault="00776B87" w:rsidP="00B40D9B">
            <w:pPr>
              <w:spacing w:after="0" w:line="240" w:lineRule="auto"/>
              <w:ind w:right="20"/>
              <w:jc w:val="center"/>
              <w:rPr>
                <w:rFonts w:eastAsia="Arial Narrow"/>
                <w:b/>
              </w:rPr>
            </w:pPr>
            <w:r>
              <w:rPr>
                <w:rFonts w:eastAsia="Arial Narrow"/>
                <w:b/>
              </w:rPr>
              <w:t>5</w:t>
            </w:r>
          </w:p>
        </w:tc>
      </w:tr>
    </w:tbl>
    <w:p w:rsidR="00180C6E" w:rsidRDefault="00180C6E" w:rsidP="009C3294">
      <w:pPr>
        <w:spacing w:after="0" w:line="240" w:lineRule="auto"/>
      </w:pPr>
    </w:p>
    <w:p w:rsidR="00180C6E" w:rsidRDefault="00180C6E" w:rsidP="009C3294">
      <w:pPr>
        <w:spacing w:after="0" w:line="240" w:lineRule="auto"/>
      </w:pPr>
    </w:p>
    <w:p w:rsidR="00180C6E" w:rsidRDefault="00180C6E" w:rsidP="009C3294">
      <w:pPr>
        <w:spacing w:after="0" w:line="240" w:lineRule="auto"/>
      </w:pPr>
    </w:p>
    <w:p w:rsidR="00180C6E" w:rsidRDefault="00180C6E" w:rsidP="009C3294">
      <w:pPr>
        <w:spacing w:after="0" w:line="240" w:lineRule="auto"/>
      </w:pPr>
    </w:p>
    <w:p w:rsidR="009B6AA4" w:rsidRPr="00B152FC" w:rsidRDefault="009B6AA4" w:rsidP="009B6AA4">
      <w:pPr>
        <w:spacing w:after="0" w:line="240" w:lineRule="auto"/>
        <w:rPr>
          <w:sz w:val="22"/>
          <w:szCs w:val="20"/>
        </w:rPr>
      </w:pPr>
      <w:r w:rsidRPr="00B152FC">
        <w:rPr>
          <w:rFonts w:cs="FuturaStd-ExtraBold"/>
          <w:bCs/>
          <w:sz w:val="22"/>
          <w:szCs w:val="20"/>
        </w:rPr>
        <w:t>La Dirección de desarrollo sectorial cuenta con 5 iniciativas estratégicas, para las cuales se hace una descripción de su gestión:</w:t>
      </w:r>
      <w:r w:rsidRPr="00B152FC">
        <w:rPr>
          <w:sz w:val="22"/>
          <w:szCs w:val="20"/>
        </w:rPr>
        <w:t xml:space="preserve"> </w:t>
      </w:r>
    </w:p>
    <w:p w:rsidR="009B6AA4" w:rsidRPr="00B152FC" w:rsidRDefault="009B6AA4" w:rsidP="009B6AA4">
      <w:pPr>
        <w:spacing w:after="0" w:line="240" w:lineRule="auto"/>
        <w:rPr>
          <w:sz w:val="22"/>
          <w:szCs w:val="20"/>
        </w:rPr>
      </w:pPr>
    </w:p>
    <w:p w:rsidR="009B6AA4" w:rsidRPr="00B152FC" w:rsidRDefault="009B6AA4" w:rsidP="009B6AA4">
      <w:pPr>
        <w:pStyle w:val="Prrafodelista"/>
        <w:numPr>
          <w:ilvl w:val="3"/>
          <w:numId w:val="5"/>
        </w:numPr>
        <w:tabs>
          <w:tab w:val="left" w:pos="0"/>
        </w:tabs>
        <w:spacing w:line="240" w:lineRule="auto"/>
        <w:ind w:left="360"/>
        <w:rPr>
          <w:rStyle w:val="nfasisintenso"/>
          <w:b w:val="0"/>
          <w:i w:val="0"/>
          <w:color w:val="auto"/>
          <w:sz w:val="22"/>
          <w:szCs w:val="20"/>
        </w:rPr>
      </w:pPr>
      <w:r w:rsidRPr="00B152FC">
        <w:rPr>
          <w:b/>
          <w:sz w:val="22"/>
          <w:szCs w:val="20"/>
          <w:lang w:eastAsia="es-CO"/>
        </w:rPr>
        <w:t xml:space="preserve">Articular las políticas de agua y saneamiento con las políticas ambientales y de calidad del agua, </w:t>
      </w:r>
      <w:r w:rsidRPr="00B152FC">
        <w:rPr>
          <w:sz w:val="22"/>
          <w:szCs w:val="20"/>
          <w:lang w:eastAsia="es-CO"/>
        </w:rPr>
        <w:t>mediante esta iniciativa</w:t>
      </w:r>
      <w:r w:rsidR="00C65028" w:rsidRPr="00B152FC">
        <w:rPr>
          <w:sz w:val="22"/>
          <w:szCs w:val="20"/>
          <w:lang w:eastAsia="es-CO"/>
        </w:rPr>
        <w:t xml:space="preserve"> que cuenta con una ejecución del 75%,</w:t>
      </w:r>
      <w:r w:rsidRPr="00B152FC">
        <w:rPr>
          <w:sz w:val="22"/>
          <w:szCs w:val="20"/>
          <w:lang w:eastAsia="es-CO"/>
        </w:rPr>
        <w:t xml:space="preserve"> se busca brindar </w:t>
      </w:r>
      <w:r w:rsidRPr="00B152FC">
        <w:rPr>
          <w:rStyle w:val="nfasisintenso"/>
          <w:rFonts w:cstheme="minorHAnsi"/>
          <w:b w:val="0"/>
          <w:i w:val="0"/>
          <w:color w:val="auto"/>
          <w:sz w:val="22"/>
          <w:szCs w:val="20"/>
        </w:rPr>
        <w:t xml:space="preserve"> acompañamiento y/o asistencia técnica a las autoridades ambientales, entes territoriales, gestores del PAP-PDA, empresas prestadoras de servicios públicos de acueducto, alcantarillado y aseo, para la incorporación de aspectos ambientales sectoriales en los programas y proyectos del sector de agua potable y saneamiento básico. Al corte del tercer trimestre se ha logrado avanzar en la a</w:t>
      </w:r>
      <w:r w:rsidRPr="00B152FC">
        <w:rPr>
          <w:rStyle w:val="nfasisintenso"/>
          <w:b w:val="0"/>
          <w:i w:val="0"/>
          <w:color w:val="auto"/>
          <w:sz w:val="22"/>
          <w:szCs w:val="20"/>
        </w:rPr>
        <w:t xml:space="preserve">probación de </w:t>
      </w:r>
      <w:r w:rsidRPr="00B152FC">
        <w:rPr>
          <w:rStyle w:val="nfasisintenso"/>
          <w:b w:val="0"/>
          <w:i w:val="0"/>
          <w:color w:val="auto"/>
          <w:sz w:val="22"/>
          <w:szCs w:val="20"/>
          <w:u w:val="single"/>
        </w:rPr>
        <w:t>13 Planes Ambientales</w:t>
      </w:r>
      <w:r w:rsidRPr="00B152FC">
        <w:rPr>
          <w:rStyle w:val="nfasisintenso"/>
          <w:b w:val="0"/>
          <w:i w:val="0"/>
          <w:color w:val="auto"/>
          <w:sz w:val="22"/>
          <w:szCs w:val="20"/>
        </w:rPr>
        <w:t xml:space="preserve"> de los PAP–PDA en Comité Directivo. Norte de Santander, Choco, Guaviare, Sucre, Cundinamarca, Amazonas, Tolima, Caquetá, Bolívar, Caldas, Risaralda, Meta y Cauca. </w:t>
      </w:r>
    </w:p>
    <w:p w:rsidR="009B6AA4" w:rsidRPr="00B152FC" w:rsidRDefault="009B6AA4" w:rsidP="009B6AA4">
      <w:pPr>
        <w:tabs>
          <w:tab w:val="left" w:pos="0"/>
        </w:tabs>
        <w:spacing w:line="240" w:lineRule="auto"/>
        <w:ind w:left="360" w:right="21"/>
        <w:rPr>
          <w:rStyle w:val="nfasisintenso"/>
          <w:b w:val="0"/>
          <w:i w:val="0"/>
          <w:color w:val="auto"/>
          <w:sz w:val="22"/>
          <w:szCs w:val="20"/>
        </w:rPr>
      </w:pPr>
      <w:r w:rsidRPr="00B152FC">
        <w:rPr>
          <w:rStyle w:val="nfasisintenso"/>
          <w:b w:val="0"/>
          <w:i w:val="0"/>
          <w:color w:val="auto"/>
          <w:sz w:val="22"/>
          <w:szCs w:val="20"/>
        </w:rPr>
        <w:t xml:space="preserve">Así mismo se ha realizado asistencia técnica para la estructuración del componente ambiental de los PDA para los departamentos de Casanare, Vichada, Arauca, Boyacá, Cundinamarca, Putumayo, Caquetá, Amazonas, Antioquia, Sucre, Cordoba, Guajira, Norte de Santander, Santander, Quindío, Risaralda, Caldas, Cauca, Nariño, Tolima, Guaviare, Choco, Huila. </w:t>
      </w:r>
    </w:p>
    <w:p w:rsidR="009B6AA4" w:rsidRPr="00B152FC" w:rsidRDefault="009B6AA4" w:rsidP="009B6AA4">
      <w:pPr>
        <w:tabs>
          <w:tab w:val="left" w:pos="0"/>
        </w:tabs>
        <w:spacing w:line="240" w:lineRule="auto"/>
        <w:ind w:left="360" w:right="21"/>
        <w:rPr>
          <w:rStyle w:val="nfasisintenso"/>
          <w:b w:val="0"/>
          <w:i w:val="0"/>
          <w:color w:val="auto"/>
          <w:sz w:val="22"/>
          <w:szCs w:val="20"/>
        </w:rPr>
      </w:pPr>
      <w:r w:rsidRPr="00B152FC">
        <w:rPr>
          <w:rStyle w:val="nfasisintenso"/>
          <w:b w:val="0"/>
          <w:i w:val="0"/>
          <w:color w:val="auto"/>
          <w:sz w:val="22"/>
          <w:szCs w:val="20"/>
        </w:rPr>
        <w:t xml:space="preserve">Y se llevó a cabo la socialización de la Guía para la elaboración de los Planes Ambientales de los PAP -PDA, por el Grupo de Desarrollo Sostenible y divulgada a través de los líderes del Ministerio (Dirección de Programas); a todos los gestores de los PAP-PDA. </w:t>
      </w:r>
    </w:p>
    <w:p w:rsidR="009B6AA4" w:rsidRPr="00B152FC" w:rsidRDefault="009B6AA4" w:rsidP="009B6AA4">
      <w:pPr>
        <w:rPr>
          <w:bCs/>
          <w:sz w:val="22"/>
          <w:szCs w:val="20"/>
          <w:shd w:val="clear" w:color="auto" w:fill="FFFFFF"/>
        </w:rPr>
      </w:pPr>
      <w:r w:rsidRPr="00B152FC">
        <w:rPr>
          <w:rStyle w:val="nfasisintenso"/>
          <w:rFonts w:cstheme="minorHAnsi"/>
          <w:b w:val="0"/>
          <w:i w:val="0"/>
          <w:color w:val="auto"/>
          <w:sz w:val="22"/>
          <w:szCs w:val="20"/>
        </w:rPr>
        <w:t xml:space="preserve">Por otro lado, el GDS de la DDS ha avanzado en las acciones relacionadas con el tratamiento de aguas residuales en las cuencas priorizadas incluidas en el PND tal como se describe a continuación: </w:t>
      </w:r>
      <w:r w:rsidRPr="00B152FC">
        <w:rPr>
          <w:bCs/>
          <w:sz w:val="22"/>
          <w:szCs w:val="20"/>
          <w:shd w:val="clear" w:color="auto" w:fill="FFFFFF"/>
        </w:rPr>
        <w:t xml:space="preserve"> </w:t>
      </w:r>
    </w:p>
    <w:p w:rsidR="009B6AA4" w:rsidRPr="00B152FC" w:rsidRDefault="009B6AA4" w:rsidP="009B6AA4">
      <w:pPr>
        <w:pStyle w:val="Prrafodelista"/>
        <w:numPr>
          <w:ilvl w:val="0"/>
          <w:numId w:val="23"/>
        </w:numPr>
        <w:spacing w:after="200" w:line="240" w:lineRule="auto"/>
        <w:rPr>
          <w:rStyle w:val="nfasisintenso"/>
          <w:b w:val="0"/>
          <w:bCs w:val="0"/>
          <w:i w:val="0"/>
          <w:color w:val="auto"/>
          <w:sz w:val="22"/>
          <w:szCs w:val="20"/>
        </w:rPr>
      </w:pPr>
      <w:r w:rsidRPr="00B152FC">
        <w:rPr>
          <w:rStyle w:val="nfasisintenso"/>
          <w:b w:val="0"/>
          <w:bCs w:val="0"/>
          <w:i w:val="0"/>
          <w:color w:val="auto"/>
          <w:sz w:val="22"/>
          <w:szCs w:val="20"/>
        </w:rPr>
        <w:t xml:space="preserve">Apoyo técnico al DNP en la elaboración del CONPES SAVER. </w:t>
      </w:r>
    </w:p>
    <w:p w:rsidR="009B6AA4" w:rsidRPr="00B152FC" w:rsidRDefault="009B6AA4" w:rsidP="009B6AA4">
      <w:pPr>
        <w:pStyle w:val="Prrafodelista"/>
        <w:numPr>
          <w:ilvl w:val="0"/>
          <w:numId w:val="23"/>
        </w:numPr>
        <w:spacing w:after="200" w:line="240" w:lineRule="auto"/>
        <w:rPr>
          <w:rStyle w:val="nfasisintenso"/>
          <w:b w:val="0"/>
          <w:bCs w:val="0"/>
          <w:i w:val="0"/>
          <w:color w:val="auto"/>
          <w:sz w:val="22"/>
          <w:szCs w:val="20"/>
        </w:rPr>
      </w:pPr>
      <w:r w:rsidRPr="00B152FC">
        <w:rPr>
          <w:rStyle w:val="nfasisintenso"/>
          <w:b w:val="0"/>
          <w:bCs w:val="0"/>
          <w:i w:val="0"/>
          <w:color w:val="auto"/>
          <w:sz w:val="22"/>
          <w:szCs w:val="20"/>
        </w:rPr>
        <w:lastRenderedPageBreak/>
        <w:t xml:space="preserve">Cuenca de Ubaté-Suarez y Pasto: Se socializó Segundo Informe de la consultoría referente al “Medidas de inversión y requerimientos financieros para infraestructura de tratamiento de aguas residuales”. El 19 de Septiembre, vía Email, se remite consolidado de comentarios de parte de VASB, </w:t>
      </w:r>
      <w:proofErr w:type="spellStart"/>
      <w:r w:rsidRPr="00B152FC">
        <w:rPr>
          <w:rStyle w:val="nfasisintenso"/>
          <w:b w:val="0"/>
          <w:bCs w:val="0"/>
          <w:i w:val="0"/>
          <w:color w:val="auto"/>
          <w:sz w:val="22"/>
          <w:szCs w:val="20"/>
        </w:rPr>
        <w:t>KfW</w:t>
      </w:r>
      <w:proofErr w:type="spellEnd"/>
      <w:r w:rsidRPr="00B152FC">
        <w:rPr>
          <w:rStyle w:val="nfasisintenso"/>
          <w:b w:val="0"/>
          <w:bCs w:val="0"/>
          <w:i w:val="0"/>
          <w:color w:val="auto"/>
          <w:sz w:val="22"/>
          <w:szCs w:val="20"/>
        </w:rPr>
        <w:t xml:space="preserve"> y DNP, a la firma consultora.</w:t>
      </w:r>
    </w:p>
    <w:p w:rsidR="009B6AA4" w:rsidRPr="00B152FC" w:rsidRDefault="009B6AA4" w:rsidP="009B6AA4">
      <w:pPr>
        <w:pStyle w:val="Prrafodelista"/>
        <w:numPr>
          <w:ilvl w:val="0"/>
          <w:numId w:val="23"/>
        </w:numPr>
        <w:spacing w:after="200" w:line="240" w:lineRule="auto"/>
        <w:rPr>
          <w:rStyle w:val="nfasisintenso"/>
          <w:b w:val="0"/>
          <w:bCs w:val="0"/>
          <w:i w:val="0"/>
          <w:color w:val="auto"/>
          <w:sz w:val="22"/>
          <w:szCs w:val="20"/>
        </w:rPr>
      </w:pPr>
      <w:r w:rsidRPr="00B152FC">
        <w:rPr>
          <w:rStyle w:val="nfasisintenso"/>
          <w:b w:val="0"/>
          <w:bCs w:val="0"/>
          <w:i w:val="0"/>
          <w:color w:val="auto"/>
          <w:sz w:val="22"/>
          <w:szCs w:val="20"/>
        </w:rPr>
        <w:t xml:space="preserve">Cuenca Chinchiná: Se concluye Aguas de Manizales, que el Lote de </w:t>
      </w:r>
      <w:proofErr w:type="spellStart"/>
      <w:r w:rsidRPr="00B152FC">
        <w:rPr>
          <w:rStyle w:val="nfasisintenso"/>
          <w:b w:val="0"/>
          <w:bCs w:val="0"/>
          <w:i w:val="0"/>
          <w:color w:val="auto"/>
          <w:sz w:val="22"/>
          <w:szCs w:val="20"/>
        </w:rPr>
        <w:t>Cámbulos</w:t>
      </w:r>
      <w:proofErr w:type="spellEnd"/>
      <w:r w:rsidRPr="00B152FC">
        <w:rPr>
          <w:rStyle w:val="nfasisintenso"/>
          <w:b w:val="0"/>
          <w:bCs w:val="0"/>
          <w:i w:val="0"/>
          <w:color w:val="auto"/>
          <w:sz w:val="22"/>
          <w:szCs w:val="20"/>
        </w:rPr>
        <w:t xml:space="preserve"> hace más económico el proyecto y allí se llevarán a cabo los estudios y diseños para la PTAR. </w:t>
      </w:r>
    </w:p>
    <w:p w:rsidR="009B6AA4" w:rsidRPr="00B152FC" w:rsidRDefault="009B6AA4" w:rsidP="009B6AA4">
      <w:pPr>
        <w:pStyle w:val="Prrafodelista"/>
        <w:numPr>
          <w:ilvl w:val="0"/>
          <w:numId w:val="23"/>
        </w:numPr>
        <w:spacing w:after="200" w:line="240" w:lineRule="auto"/>
        <w:rPr>
          <w:rStyle w:val="nfasisintenso"/>
          <w:b w:val="0"/>
          <w:bCs w:val="0"/>
          <w:i w:val="0"/>
          <w:color w:val="auto"/>
          <w:sz w:val="22"/>
          <w:szCs w:val="20"/>
        </w:rPr>
      </w:pPr>
      <w:r w:rsidRPr="00B152FC">
        <w:rPr>
          <w:rStyle w:val="nfasisintenso"/>
          <w:b w:val="0"/>
          <w:bCs w:val="0"/>
          <w:i w:val="0"/>
          <w:color w:val="auto"/>
          <w:sz w:val="22"/>
          <w:szCs w:val="20"/>
        </w:rPr>
        <w:t>Cuenca Otún-</w:t>
      </w:r>
      <w:proofErr w:type="spellStart"/>
      <w:r w:rsidRPr="00B152FC">
        <w:rPr>
          <w:rStyle w:val="nfasisintenso"/>
          <w:b w:val="0"/>
          <w:bCs w:val="0"/>
          <w:i w:val="0"/>
          <w:color w:val="auto"/>
          <w:sz w:val="22"/>
          <w:szCs w:val="20"/>
        </w:rPr>
        <w:t>Consota</w:t>
      </w:r>
      <w:proofErr w:type="spellEnd"/>
      <w:r w:rsidRPr="00B152FC">
        <w:rPr>
          <w:rStyle w:val="nfasisintenso"/>
          <w:b w:val="0"/>
          <w:bCs w:val="0"/>
          <w:i w:val="0"/>
          <w:color w:val="auto"/>
          <w:sz w:val="22"/>
          <w:szCs w:val="20"/>
        </w:rPr>
        <w:t xml:space="preserve"> </w:t>
      </w:r>
      <w:proofErr w:type="spellStart"/>
      <w:r w:rsidRPr="00B152FC">
        <w:rPr>
          <w:rStyle w:val="nfasisintenso"/>
          <w:b w:val="0"/>
          <w:bCs w:val="0"/>
          <w:i w:val="0"/>
          <w:color w:val="auto"/>
          <w:sz w:val="22"/>
          <w:szCs w:val="20"/>
        </w:rPr>
        <w:t>Carder</w:t>
      </w:r>
      <w:proofErr w:type="spellEnd"/>
      <w:r w:rsidRPr="00B152FC">
        <w:rPr>
          <w:rStyle w:val="nfasisintenso"/>
          <w:b w:val="0"/>
          <w:bCs w:val="0"/>
          <w:i w:val="0"/>
          <w:color w:val="auto"/>
          <w:sz w:val="22"/>
          <w:szCs w:val="20"/>
        </w:rPr>
        <w:t xml:space="preserve"> envía oficio a Aguas y Aguas de Pereira, Se espera preparación de la estrategia de negociación a seguir y programar las reuniones presenciales.</w:t>
      </w:r>
    </w:p>
    <w:p w:rsidR="009B6AA4" w:rsidRPr="00B152FC" w:rsidRDefault="009B6AA4" w:rsidP="009B6AA4">
      <w:pPr>
        <w:pStyle w:val="Prrafodelista"/>
        <w:numPr>
          <w:ilvl w:val="0"/>
          <w:numId w:val="23"/>
        </w:numPr>
        <w:spacing w:after="200" w:line="240" w:lineRule="auto"/>
        <w:rPr>
          <w:rStyle w:val="nfasisintenso"/>
          <w:b w:val="0"/>
          <w:bCs w:val="0"/>
          <w:i w:val="0"/>
          <w:color w:val="auto"/>
          <w:sz w:val="22"/>
          <w:szCs w:val="20"/>
        </w:rPr>
      </w:pPr>
      <w:r w:rsidRPr="00B152FC">
        <w:rPr>
          <w:rStyle w:val="nfasisintenso"/>
          <w:b w:val="0"/>
          <w:bCs w:val="0"/>
          <w:i w:val="0"/>
          <w:color w:val="auto"/>
          <w:sz w:val="22"/>
          <w:szCs w:val="20"/>
        </w:rPr>
        <w:t xml:space="preserve">Cuenca Río de Oro: EMPAS S.A, Se espera preparación de la estrategia de negociación a seguir y programar las reuniones presenciales con </w:t>
      </w:r>
      <w:proofErr w:type="spellStart"/>
      <w:r w:rsidRPr="00B152FC">
        <w:rPr>
          <w:rStyle w:val="nfasisintenso"/>
          <w:b w:val="0"/>
          <w:bCs w:val="0"/>
          <w:i w:val="0"/>
          <w:color w:val="auto"/>
          <w:sz w:val="22"/>
          <w:szCs w:val="20"/>
        </w:rPr>
        <w:t>KfW</w:t>
      </w:r>
      <w:proofErr w:type="spellEnd"/>
      <w:r w:rsidRPr="00B152FC">
        <w:rPr>
          <w:rStyle w:val="nfasisintenso"/>
          <w:b w:val="0"/>
          <w:bCs w:val="0"/>
          <w:i w:val="0"/>
          <w:color w:val="auto"/>
          <w:sz w:val="22"/>
          <w:szCs w:val="20"/>
        </w:rPr>
        <w:t>.</w:t>
      </w:r>
    </w:p>
    <w:p w:rsidR="009B6AA4" w:rsidRDefault="00B152FC" w:rsidP="00AD1450">
      <w:pPr>
        <w:jc w:val="center"/>
        <w:rPr>
          <w:rStyle w:val="nfasisintenso"/>
          <w:rFonts w:cstheme="minorHAnsi"/>
          <w:b w:val="0"/>
          <w:color w:val="auto"/>
          <w:sz w:val="20"/>
          <w:szCs w:val="20"/>
        </w:rPr>
      </w:pPr>
      <w:r w:rsidRPr="00124A49">
        <w:rPr>
          <w:noProof/>
          <w:bdr w:val="single" w:sz="12" w:space="0" w:color="auto"/>
          <w:lang w:eastAsia="es-CO"/>
        </w:rPr>
        <w:drawing>
          <wp:inline distT="0" distB="0" distL="0" distR="0" wp14:anchorId="4C4D05A1" wp14:editId="41DDC568">
            <wp:extent cx="5902036" cy="3736780"/>
            <wp:effectExtent l="0" t="0" r="3810" b="0"/>
            <wp:docPr id="2475" name="Imagen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1936" cy="3749380"/>
                    </a:xfrm>
                    <a:prstGeom prst="rect">
                      <a:avLst/>
                    </a:prstGeom>
                    <a:noFill/>
                    <a:ln>
                      <a:noFill/>
                    </a:ln>
                  </pic:spPr>
                </pic:pic>
              </a:graphicData>
            </a:graphic>
          </wp:inline>
        </w:drawing>
      </w:r>
    </w:p>
    <w:p w:rsidR="009B6AA4" w:rsidRPr="00B152FC" w:rsidRDefault="009B6AA4" w:rsidP="009B6AA4">
      <w:pPr>
        <w:rPr>
          <w:sz w:val="22"/>
          <w:szCs w:val="20"/>
          <w:lang w:val="es-ES"/>
        </w:rPr>
      </w:pPr>
      <w:r w:rsidRPr="00B152FC">
        <w:rPr>
          <w:rStyle w:val="nfasisintenso"/>
          <w:rFonts w:cstheme="minorHAnsi"/>
          <w:b w:val="0"/>
          <w:color w:val="auto"/>
          <w:sz w:val="22"/>
          <w:szCs w:val="20"/>
        </w:rPr>
        <w:lastRenderedPageBreak/>
        <w:t xml:space="preserve">En lo relacionado con la gestión del riesgo en el sector de AAA, la DDS Brindó asistencia técnica para el fortalecimiento de la gestión de riesgo en el sector de agua potable y saneamiento básico. </w:t>
      </w:r>
      <w:r w:rsidRPr="00B152FC">
        <w:rPr>
          <w:sz w:val="22"/>
          <w:szCs w:val="20"/>
          <w:lang w:val="es-ES"/>
        </w:rPr>
        <w:t xml:space="preserve"> Con 13 asistencias técnicas dirigidas a los PAP-PDA con el propósito de formular el componente de gestión del riesgo en los departamentos de: Nariño, Caldas, Quindío, Risaralda, Boyacá, Chocó, Sucre, Norte de Santander, Antioquia, Cauca, Vichada, Guaviare y Putumayo.  De igual manera el VASB continua cuanto prestando apoyo técnico para restablecer los servicios de acueducto y alcantarillado, en el municipio de Mocoa.</w:t>
      </w:r>
    </w:p>
    <w:p w:rsidR="009B6AA4" w:rsidRPr="00B152FC" w:rsidRDefault="008410CE" w:rsidP="009B6AA4">
      <w:pPr>
        <w:rPr>
          <w:sz w:val="22"/>
          <w:szCs w:val="20"/>
          <w:lang w:val="es-ES"/>
        </w:rPr>
      </w:pPr>
      <w:r w:rsidRPr="00B152FC">
        <w:rPr>
          <w:sz w:val="22"/>
          <w:szCs w:val="20"/>
          <w:lang w:val="es-ES"/>
        </w:rPr>
        <w:t xml:space="preserve">El MVCT  a través del VASB  realiza la coordinación interinstitucional e intersectorial en la Política de Calidad del Agua para el Consumo Humano, en el marco del decreto 1575 de 2007, en este sentido ha venido avanzado con el Ministerio de Salud y Protección Social:  en el Informe Nacional de Calidad del Agua 2016: Capítulo 0: Aspectos Generales y el Capítulo V: Avance de las acciones, y el Documento de protocolos de vigilancia de calidad del agua en zona rural; con la SSPD Superintendencia de Servicios Públicos Domiciliarios SSPD, se realizaron mesas de trabajo en las que el MVCT presentó el listado de los municipios catalogados con nivel de riesgo “Alto” e “Inviable Sanitariamente y al interior de la DDS se avanza en el Capítulo IV: Información de Proyectos de Inversión ejecutados durante el año 2016, que servirá de insumo para la elaboración del Informe Nacional de Calidad de Agua – INCA 2016. </w:t>
      </w:r>
    </w:p>
    <w:p w:rsidR="009B6AA4" w:rsidRPr="00B152FC" w:rsidRDefault="009B6AA4" w:rsidP="009B6AA4">
      <w:pPr>
        <w:rPr>
          <w:rFonts w:eastAsia="Calibri"/>
          <w:sz w:val="22"/>
          <w:szCs w:val="20"/>
        </w:rPr>
      </w:pPr>
      <w:r w:rsidRPr="00B152FC">
        <w:rPr>
          <w:rFonts w:eastAsia="Calibri"/>
          <w:sz w:val="22"/>
          <w:szCs w:val="20"/>
        </w:rPr>
        <w:t xml:space="preserve">Por último se vienen realizando mesas de trabajo con el Plan departamental del departamento de Boyacá para brindar asistencia técnica en la construcción del documento del PLAN DE ASEGURAMIENTO DE LA CALIDAD DEL AGUA- PACA RURAL. </w:t>
      </w:r>
    </w:p>
    <w:p w:rsidR="009B6AA4" w:rsidRPr="00B152FC" w:rsidRDefault="009B6AA4" w:rsidP="009B6AA4">
      <w:pPr>
        <w:rPr>
          <w:rFonts w:eastAsia="Calibri"/>
          <w:sz w:val="22"/>
          <w:szCs w:val="20"/>
        </w:rPr>
      </w:pPr>
      <w:r w:rsidRPr="00B152FC">
        <w:rPr>
          <w:rFonts w:cs="FuturaStd-ExtraBold"/>
          <w:bCs/>
          <w:sz w:val="22"/>
          <w:szCs w:val="20"/>
        </w:rPr>
        <w:t>Cabe anotar que la medición para la ejecución de esta iniciativa, no contempla el indicador con rezago relacionado con “Porcentaje de aguas urbanas tratadas” debido a que este valor para la vigencia 2017 se reporta anual con 365 días de rezago, es decir en la vigencia 2019.</w:t>
      </w:r>
    </w:p>
    <w:p w:rsidR="009B6AA4" w:rsidRPr="00B152FC" w:rsidRDefault="00C65028" w:rsidP="009B6AA4">
      <w:pPr>
        <w:rPr>
          <w:rFonts w:cs="FuturaStd-ExtraBold"/>
          <w:bCs/>
          <w:sz w:val="22"/>
          <w:szCs w:val="20"/>
        </w:rPr>
      </w:pPr>
      <w:r w:rsidRPr="00B152FC">
        <w:rPr>
          <w:b/>
          <w:sz w:val="22"/>
          <w:szCs w:val="20"/>
          <w:lang w:eastAsia="es-CO"/>
        </w:rPr>
        <w:t>2.</w:t>
      </w:r>
      <w:r w:rsidR="009B6AA4" w:rsidRPr="00B152FC">
        <w:rPr>
          <w:sz w:val="22"/>
          <w:szCs w:val="20"/>
          <w:lang w:eastAsia="es-CO"/>
        </w:rPr>
        <w:t xml:space="preserve"> </w:t>
      </w:r>
      <w:r w:rsidRPr="00B152FC">
        <w:rPr>
          <w:b/>
          <w:sz w:val="22"/>
          <w:szCs w:val="20"/>
          <w:lang w:eastAsia="es-CO"/>
        </w:rPr>
        <w:t xml:space="preserve">Implementar la política de agua potable y saneamiento básico para zonas rurales. </w:t>
      </w:r>
      <w:r w:rsidRPr="00B152FC">
        <w:rPr>
          <w:sz w:val="22"/>
          <w:szCs w:val="20"/>
          <w:lang w:eastAsia="es-CO"/>
        </w:rPr>
        <w:t>La presente iniciativa cuenta con una ejecución del 80%.</w:t>
      </w:r>
      <w:r w:rsidR="009B6AA4" w:rsidRPr="00B152FC">
        <w:rPr>
          <w:sz w:val="22"/>
          <w:szCs w:val="20"/>
          <w:lang w:eastAsia="es-CO"/>
        </w:rPr>
        <w:t xml:space="preserve"> </w:t>
      </w:r>
      <w:r w:rsidR="009B6AA4" w:rsidRPr="00B152FC">
        <w:rPr>
          <w:sz w:val="22"/>
          <w:szCs w:val="20"/>
          <w:lang w:val="es-ES" w:eastAsia="es-CO"/>
        </w:rPr>
        <w:t xml:space="preserve">El Grupo de Política Sectorial terminó de estructurar el  instrumento normativo “Por la cual se reglamentan las actividades de asistencia técnica y fortalecimiento comunitario para quienes proveen agua para consumo humano y doméstico y saneamiento básico en zonas rurales - en concordancia con lo dispuesto en el Artículo 2.3.7.1.4.4. </w:t>
      </w:r>
      <w:r w:rsidR="008410CE" w:rsidRPr="00B152FC">
        <w:rPr>
          <w:sz w:val="22"/>
          <w:szCs w:val="20"/>
          <w:lang w:val="es-ES" w:eastAsia="es-CO"/>
        </w:rPr>
        <w:t>Y</w:t>
      </w:r>
      <w:r w:rsidR="009B6AA4" w:rsidRPr="00B152FC">
        <w:rPr>
          <w:sz w:val="22"/>
          <w:szCs w:val="20"/>
          <w:lang w:val="es-ES" w:eastAsia="es-CO"/>
        </w:rPr>
        <w:t xml:space="preserve"> el Artículo 2.3.7.1.4.5. </w:t>
      </w:r>
      <w:r w:rsidR="008410CE" w:rsidRPr="00B152FC">
        <w:rPr>
          <w:sz w:val="22"/>
          <w:szCs w:val="20"/>
          <w:lang w:val="es-ES" w:eastAsia="es-CO"/>
        </w:rPr>
        <w:t>Del</w:t>
      </w:r>
      <w:r w:rsidR="009B6AA4" w:rsidRPr="00B152FC">
        <w:rPr>
          <w:sz w:val="22"/>
          <w:szCs w:val="20"/>
          <w:lang w:val="es-ES" w:eastAsia="es-CO"/>
        </w:rPr>
        <w:t xml:space="preserve"> Título VII - Capítulo I del Decreto 1077 de 2015 </w:t>
      </w:r>
      <w:r w:rsidR="008410CE" w:rsidRPr="00B152FC">
        <w:rPr>
          <w:sz w:val="22"/>
          <w:szCs w:val="20"/>
          <w:lang w:val="es-ES" w:eastAsia="es-CO"/>
        </w:rPr>
        <w:t>(Decreto</w:t>
      </w:r>
      <w:r w:rsidR="009B6AA4" w:rsidRPr="00B152FC">
        <w:rPr>
          <w:sz w:val="22"/>
          <w:szCs w:val="20"/>
          <w:lang w:val="es-ES" w:eastAsia="es-CO"/>
        </w:rPr>
        <w:t xml:space="preserve"> 1898 de 2016)” </w:t>
      </w:r>
      <w:r w:rsidR="009B6AA4" w:rsidRPr="00B152FC">
        <w:rPr>
          <w:rFonts w:cs="FuturaStd-ExtraBold"/>
          <w:bCs/>
          <w:sz w:val="22"/>
          <w:szCs w:val="20"/>
        </w:rPr>
        <w:t xml:space="preserve">Cumpliendo así con </w:t>
      </w:r>
      <w:r w:rsidRPr="00B152FC">
        <w:rPr>
          <w:rFonts w:cs="FuturaStd-ExtraBold"/>
          <w:bCs/>
          <w:sz w:val="22"/>
          <w:szCs w:val="20"/>
        </w:rPr>
        <w:t>la meta del</w:t>
      </w:r>
      <w:r w:rsidR="009B6AA4" w:rsidRPr="00B152FC">
        <w:rPr>
          <w:rFonts w:cs="FuturaStd-ExtraBold"/>
          <w:bCs/>
          <w:sz w:val="22"/>
          <w:szCs w:val="20"/>
        </w:rPr>
        <w:t xml:space="preserve"> 100%</w:t>
      </w:r>
      <w:r w:rsidRPr="00B152FC">
        <w:rPr>
          <w:rFonts w:cs="FuturaStd-ExtraBold"/>
          <w:bCs/>
          <w:sz w:val="22"/>
          <w:szCs w:val="20"/>
        </w:rPr>
        <w:t xml:space="preserve"> planteada en el presente periodo para esta actividad</w:t>
      </w:r>
      <w:r w:rsidR="009B6AA4" w:rsidRPr="00B152FC">
        <w:rPr>
          <w:rFonts w:cs="FuturaStd-ExtraBold"/>
          <w:bCs/>
          <w:sz w:val="22"/>
          <w:szCs w:val="20"/>
        </w:rPr>
        <w:t xml:space="preserve">. Por otra parte en la actividad de divulgación del Decreto 1898 se logró realizar 4 eventos, de los cuales 3 se realizaron en el departamento del Valle del Cauca y uno (1) en Risaralda. </w:t>
      </w:r>
    </w:p>
    <w:p w:rsidR="009B6AA4" w:rsidRPr="00B152FC" w:rsidRDefault="009B6AA4" w:rsidP="009B6AA4">
      <w:pPr>
        <w:rPr>
          <w:sz w:val="22"/>
          <w:szCs w:val="20"/>
          <w:lang w:val="es-ES" w:eastAsia="es-CO"/>
        </w:rPr>
      </w:pPr>
      <w:r w:rsidRPr="00B152FC">
        <w:rPr>
          <w:rFonts w:cs="FuturaStd-ExtraBold"/>
          <w:bCs/>
          <w:sz w:val="22"/>
          <w:szCs w:val="20"/>
        </w:rPr>
        <w:lastRenderedPageBreak/>
        <w:t>Cabe anotar que la medición para la ejecución de esta iniciativa, no contempla los indicadores con rezago relacionados con “Personas con manejo adecuado de aguas residuales en la zona rural” y “Personas con acceso a agua potable en la zona rural” debido a que estos valores para la vigencia 2017 se reportan Anual con 180 días de rezago, es decir en la vigencia 2018.</w:t>
      </w:r>
    </w:p>
    <w:p w:rsidR="009B6AA4" w:rsidRPr="00B152FC" w:rsidRDefault="00C65028" w:rsidP="009B6AA4">
      <w:pPr>
        <w:rPr>
          <w:sz w:val="22"/>
          <w:szCs w:val="20"/>
          <w:lang w:val="es-ES" w:eastAsia="es-CO"/>
        </w:rPr>
      </w:pPr>
      <w:r w:rsidRPr="00B152FC">
        <w:rPr>
          <w:b/>
          <w:sz w:val="22"/>
          <w:szCs w:val="20"/>
          <w:lang w:eastAsia="es-CO"/>
        </w:rPr>
        <w:t xml:space="preserve">3. Proyectar estudios,  o propuestas de nuevas disposiciones o modificaciones normativas o de política del sector  o de análisis al uso de los recursos del </w:t>
      </w:r>
      <w:r w:rsidR="009B6AA4" w:rsidRPr="00B152FC">
        <w:rPr>
          <w:b/>
          <w:sz w:val="22"/>
          <w:szCs w:val="20"/>
          <w:lang w:eastAsia="es-CO"/>
        </w:rPr>
        <w:t>SGP-</w:t>
      </w:r>
      <w:r w:rsidRPr="00B152FC">
        <w:rPr>
          <w:b/>
          <w:sz w:val="22"/>
          <w:szCs w:val="20"/>
          <w:lang w:eastAsia="es-CO"/>
        </w:rPr>
        <w:t>APS.</w:t>
      </w:r>
      <w:r w:rsidR="009B6AA4" w:rsidRPr="00B152FC">
        <w:rPr>
          <w:i/>
          <w:sz w:val="22"/>
          <w:szCs w:val="20"/>
          <w:lang w:eastAsia="es-CO"/>
        </w:rPr>
        <w:t xml:space="preserve"> </w:t>
      </w:r>
      <w:r w:rsidRPr="00B152FC">
        <w:rPr>
          <w:i/>
          <w:sz w:val="22"/>
          <w:szCs w:val="20"/>
          <w:lang w:eastAsia="es-CO"/>
        </w:rPr>
        <w:t xml:space="preserve"> </w:t>
      </w:r>
      <w:r w:rsidRPr="00B152FC">
        <w:rPr>
          <w:sz w:val="22"/>
          <w:szCs w:val="20"/>
          <w:lang w:eastAsia="es-CO"/>
        </w:rPr>
        <w:t>S</w:t>
      </w:r>
      <w:r w:rsidR="009B6AA4" w:rsidRPr="00B152FC">
        <w:rPr>
          <w:sz w:val="22"/>
          <w:szCs w:val="20"/>
          <w:lang w:eastAsia="es-CO"/>
        </w:rPr>
        <w:t xml:space="preserve">e </w:t>
      </w:r>
      <w:r w:rsidRPr="00B152FC">
        <w:rPr>
          <w:sz w:val="22"/>
          <w:szCs w:val="20"/>
          <w:lang w:eastAsia="es-CO"/>
        </w:rPr>
        <w:t>presenta</w:t>
      </w:r>
      <w:r w:rsidR="009B6AA4" w:rsidRPr="00B152FC">
        <w:rPr>
          <w:sz w:val="22"/>
          <w:szCs w:val="20"/>
          <w:lang w:eastAsia="es-CO"/>
        </w:rPr>
        <w:t xml:space="preserve"> una ejecución de </w:t>
      </w:r>
      <w:r w:rsidR="00F22CD3" w:rsidRPr="00B152FC">
        <w:rPr>
          <w:sz w:val="22"/>
          <w:szCs w:val="20"/>
          <w:lang w:eastAsia="es-CO"/>
        </w:rPr>
        <w:t>96.25%</w:t>
      </w:r>
      <w:r w:rsidR="009B6AA4" w:rsidRPr="00B152FC">
        <w:rPr>
          <w:sz w:val="22"/>
          <w:szCs w:val="20"/>
          <w:lang w:eastAsia="es-CO"/>
        </w:rPr>
        <w:t>, en esta estrategia se reportan a la fecha de corte de este informe</w:t>
      </w:r>
      <w:r w:rsidRPr="00B152FC">
        <w:rPr>
          <w:sz w:val="22"/>
          <w:szCs w:val="20"/>
          <w:lang w:eastAsia="es-CO"/>
        </w:rPr>
        <w:t xml:space="preserve"> el desarrollo de</w:t>
      </w:r>
      <w:r w:rsidR="009B6AA4" w:rsidRPr="00B152FC">
        <w:rPr>
          <w:sz w:val="22"/>
          <w:szCs w:val="20"/>
          <w:lang w:eastAsia="es-CO"/>
        </w:rPr>
        <w:t xml:space="preserve"> los siguientes documentos de propuesta </w:t>
      </w:r>
      <w:r w:rsidR="009B6AA4" w:rsidRPr="00B152FC">
        <w:rPr>
          <w:rStyle w:val="nfasisintenso"/>
          <w:rFonts w:cstheme="minorHAnsi"/>
          <w:b w:val="0"/>
          <w:i w:val="0"/>
          <w:color w:val="auto"/>
          <w:sz w:val="22"/>
          <w:szCs w:val="20"/>
        </w:rPr>
        <w:t>o recomendaciones del sector de agua potable y saneamiento básico</w:t>
      </w:r>
      <w:r w:rsidR="00C36C3F" w:rsidRPr="00B152FC">
        <w:rPr>
          <w:rStyle w:val="nfasisintenso"/>
          <w:rFonts w:cstheme="minorHAnsi"/>
          <w:b w:val="0"/>
          <w:color w:val="auto"/>
          <w:sz w:val="22"/>
          <w:szCs w:val="20"/>
        </w:rPr>
        <w:t>:</w:t>
      </w:r>
      <w:r w:rsidR="009B6AA4" w:rsidRPr="00B152FC">
        <w:rPr>
          <w:rStyle w:val="nfasisintenso"/>
          <w:rFonts w:cstheme="minorHAnsi"/>
          <w:b w:val="0"/>
          <w:i w:val="0"/>
          <w:color w:val="auto"/>
          <w:sz w:val="22"/>
          <w:szCs w:val="20"/>
        </w:rPr>
        <w:t xml:space="preserve"> </w:t>
      </w:r>
      <w:r w:rsidR="009B6AA4" w:rsidRPr="00B152FC">
        <w:rPr>
          <w:sz w:val="22"/>
          <w:szCs w:val="20"/>
          <w:lang w:eastAsia="es-CO"/>
        </w:rPr>
        <w:t>Documento 1. Expedido "Resolución 0487 del 26 de julio 2017" que reglamenta el funcionamiento, operación y administración del Sistema de Inversiones en Agua Potable y Saneamiento Básico – SINAS y Documento 2. Propuesta de Documento "Estrategia de política de información sectorial”. Así mismo, en el d</w:t>
      </w:r>
      <w:r w:rsidR="009B6AA4" w:rsidRPr="00B152FC">
        <w:rPr>
          <w:rStyle w:val="nfasisintenso"/>
          <w:rFonts w:cstheme="minorHAnsi"/>
          <w:b w:val="0"/>
          <w:i w:val="0"/>
          <w:color w:val="auto"/>
          <w:sz w:val="22"/>
          <w:szCs w:val="20"/>
        </w:rPr>
        <w:t>esarrollo de políticas y regulaciones orientadas a la gestión integral de residuos sólidos</w:t>
      </w:r>
      <w:r w:rsidR="00C36C3F" w:rsidRPr="00B152FC">
        <w:rPr>
          <w:rStyle w:val="nfasisintenso"/>
          <w:rFonts w:cstheme="minorHAnsi"/>
          <w:b w:val="0"/>
          <w:color w:val="auto"/>
          <w:sz w:val="22"/>
          <w:szCs w:val="20"/>
        </w:rPr>
        <w:t xml:space="preserve">. </w:t>
      </w:r>
      <w:r w:rsidR="00C36C3F" w:rsidRPr="00B152FC">
        <w:rPr>
          <w:rStyle w:val="nfasisintenso"/>
          <w:rFonts w:cstheme="minorHAnsi"/>
          <w:b w:val="0"/>
          <w:i w:val="0"/>
          <w:color w:val="auto"/>
          <w:sz w:val="22"/>
          <w:szCs w:val="20"/>
        </w:rPr>
        <w:t xml:space="preserve">Igualmente, </w:t>
      </w:r>
      <w:r w:rsidR="009B6AA4" w:rsidRPr="00B152FC">
        <w:rPr>
          <w:rStyle w:val="nfasisintenso"/>
          <w:rFonts w:cstheme="minorHAnsi"/>
          <w:b w:val="0"/>
          <w:i w:val="0"/>
          <w:color w:val="auto"/>
          <w:sz w:val="22"/>
          <w:szCs w:val="20"/>
        </w:rPr>
        <w:t>se terminaron los documentos 1. Documento de propuesta</w:t>
      </w:r>
      <w:r w:rsidR="009B6AA4" w:rsidRPr="00B152FC">
        <w:rPr>
          <w:rStyle w:val="nfasisintenso"/>
          <w:rFonts w:cstheme="minorHAnsi"/>
          <w:b w:val="0"/>
          <w:color w:val="auto"/>
          <w:sz w:val="22"/>
          <w:szCs w:val="20"/>
        </w:rPr>
        <w:t>: “Por el cual se adiciona el Capítulo Sexto a la Parte 3, del Título 2 del Decreto 1077 de 2015, que reglamenta parcialmente el artículo 88 de la Ley 1753 de 2015 sobre el incentivo al aprovechamiento de residuos sólidos y se dictan otras disposiciones” y 2</w:t>
      </w:r>
      <w:r w:rsidR="009B6AA4" w:rsidRPr="00B152FC">
        <w:rPr>
          <w:rStyle w:val="nfasisintenso"/>
          <w:rFonts w:cstheme="minorHAnsi"/>
          <w:b w:val="0"/>
          <w:i w:val="0"/>
          <w:color w:val="auto"/>
          <w:sz w:val="22"/>
          <w:szCs w:val="20"/>
        </w:rPr>
        <w:t>. Documento de propuesta Normativa:</w:t>
      </w:r>
      <w:r w:rsidR="009B6AA4" w:rsidRPr="00B152FC">
        <w:rPr>
          <w:rStyle w:val="nfasisintenso"/>
          <w:rFonts w:cstheme="minorHAnsi"/>
          <w:b w:val="0"/>
          <w:color w:val="auto"/>
          <w:sz w:val="22"/>
          <w:szCs w:val="20"/>
        </w:rPr>
        <w:t xml:space="preserve"> “Por el cual se modifica y adiciona el Decreto 1077 de 2015 en lo relativo con las actividades complementarias de tratamiento y disposición final  en el servicio público de aseo”. TERMINADO 100%</w:t>
      </w:r>
    </w:p>
    <w:p w:rsidR="009B6AA4" w:rsidRPr="00B152FC" w:rsidRDefault="009B6AA4" w:rsidP="009B6AA4">
      <w:pPr>
        <w:rPr>
          <w:rFonts w:eastAsia="Times New Roman"/>
          <w:sz w:val="22"/>
          <w:szCs w:val="20"/>
          <w:lang w:eastAsia="es-CO"/>
        </w:rPr>
      </w:pPr>
      <w:r w:rsidRPr="00B152FC">
        <w:rPr>
          <w:rStyle w:val="nfasisintenso"/>
          <w:b w:val="0"/>
          <w:i w:val="0"/>
          <w:color w:val="auto"/>
          <w:sz w:val="22"/>
          <w:szCs w:val="20"/>
          <w:lang w:val="es-ES"/>
        </w:rPr>
        <w:t>Frente a la</w:t>
      </w:r>
      <w:r w:rsidRPr="00B152FC">
        <w:rPr>
          <w:rStyle w:val="nfasisintenso"/>
          <w:b w:val="0"/>
          <w:i w:val="0"/>
          <w:color w:val="auto"/>
          <w:sz w:val="22"/>
          <w:szCs w:val="20"/>
        </w:rPr>
        <w:t xml:space="preserve"> Actualización de la reglamentación y desarrollos  técnicos del sector de agua potable y saneamiento básico</w:t>
      </w:r>
      <w:r w:rsidRPr="00B152FC">
        <w:rPr>
          <w:rStyle w:val="nfasisintenso"/>
          <w:b w:val="0"/>
          <w:color w:val="auto"/>
          <w:sz w:val="22"/>
          <w:szCs w:val="20"/>
        </w:rPr>
        <w:t xml:space="preserve">, </w:t>
      </w:r>
      <w:r w:rsidRPr="00B152FC">
        <w:rPr>
          <w:rStyle w:val="nfasisintenso"/>
          <w:b w:val="0"/>
          <w:i w:val="0"/>
          <w:color w:val="auto"/>
          <w:sz w:val="22"/>
          <w:szCs w:val="20"/>
        </w:rPr>
        <w:t>se</w:t>
      </w:r>
      <w:r w:rsidRPr="00B152FC">
        <w:rPr>
          <w:rStyle w:val="nfasisintenso"/>
          <w:b w:val="0"/>
          <w:color w:val="auto"/>
          <w:sz w:val="22"/>
          <w:szCs w:val="20"/>
        </w:rPr>
        <w:t xml:space="preserve"> </w:t>
      </w:r>
      <w:r w:rsidRPr="00B152FC">
        <w:rPr>
          <w:rFonts w:eastAsia="Times New Roman"/>
          <w:sz w:val="22"/>
          <w:szCs w:val="20"/>
          <w:lang w:eastAsia="es-CO"/>
        </w:rPr>
        <w:t xml:space="preserve"> expidieron: en Junio 8 de 2017, la Resolución 0330, y 2. Se expidió la Resolución 0501 del 4 de agosto/17. Dando por terminada esta actividad al 100% </w:t>
      </w:r>
    </w:p>
    <w:p w:rsidR="009B6AA4" w:rsidRPr="00B152FC" w:rsidRDefault="009B6AA4" w:rsidP="009B6AA4">
      <w:pPr>
        <w:rPr>
          <w:rFonts w:eastAsia="Times New Roman"/>
          <w:sz w:val="22"/>
          <w:szCs w:val="20"/>
          <w:lang w:eastAsia="es-CO"/>
        </w:rPr>
      </w:pPr>
      <w:r w:rsidRPr="00B152FC">
        <w:rPr>
          <w:rStyle w:val="nfasisintenso"/>
          <w:b w:val="0"/>
          <w:i w:val="0"/>
          <w:color w:val="auto"/>
          <w:sz w:val="22"/>
          <w:szCs w:val="20"/>
        </w:rPr>
        <w:t>Por último frente a la realización del monitoreo y asistencia técnica para el uso y destinación de los recursos del Sistema General de Participaciones para agua potable y saneamiento básico (SGP-APSB)</w:t>
      </w:r>
      <w:r w:rsidRPr="00B152FC">
        <w:rPr>
          <w:rFonts w:eastAsia="Times New Roman"/>
          <w:i/>
          <w:sz w:val="22"/>
          <w:szCs w:val="20"/>
          <w:lang w:eastAsia="es-CO"/>
        </w:rPr>
        <w:t xml:space="preserve">, </w:t>
      </w:r>
      <w:r w:rsidRPr="00B152FC">
        <w:rPr>
          <w:rFonts w:eastAsia="Times New Roman"/>
          <w:sz w:val="22"/>
          <w:szCs w:val="20"/>
          <w:lang w:eastAsia="es-CO"/>
        </w:rPr>
        <w:t xml:space="preserve">se han realizado las siguientes acciones: </w:t>
      </w:r>
    </w:p>
    <w:p w:rsidR="009B6AA4" w:rsidRPr="00B152FC" w:rsidRDefault="009B6AA4" w:rsidP="009B6AA4">
      <w:pPr>
        <w:pStyle w:val="Prrafodelista"/>
        <w:numPr>
          <w:ilvl w:val="0"/>
          <w:numId w:val="17"/>
        </w:numPr>
        <w:ind w:left="360"/>
        <w:rPr>
          <w:sz w:val="22"/>
          <w:szCs w:val="20"/>
          <w:lang w:val="es-ES" w:eastAsia="es-CO"/>
        </w:rPr>
      </w:pPr>
      <w:r w:rsidRPr="00B152FC">
        <w:rPr>
          <w:rFonts w:eastAsia="Times New Roman"/>
          <w:sz w:val="22"/>
          <w:szCs w:val="20"/>
          <w:lang w:eastAsia="es-CO"/>
        </w:rPr>
        <w:t xml:space="preserve">Se terminó el documento técnico que contiene propuesta de articulado “Por la cual se modifica parcialmente la Ley 1176 de 2007 para el sector de agua potable y saneamiento básico”. </w:t>
      </w:r>
    </w:p>
    <w:p w:rsidR="009B6AA4" w:rsidRPr="00B152FC" w:rsidRDefault="009B6AA4" w:rsidP="009B6AA4">
      <w:pPr>
        <w:pStyle w:val="Prrafodelista"/>
        <w:numPr>
          <w:ilvl w:val="0"/>
          <w:numId w:val="17"/>
        </w:numPr>
        <w:ind w:left="360"/>
        <w:rPr>
          <w:sz w:val="22"/>
          <w:szCs w:val="20"/>
          <w:lang w:val="es-ES" w:eastAsia="es-CO"/>
        </w:rPr>
      </w:pPr>
      <w:r w:rsidRPr="00B152FC">
        <w:rPr>
          <w:sz w:val="22"/>
          <w:szCs w:val="20"/>
          <w:lang w:val="es-ES" w:eastAsia="es-CO"/>
        </w:rPr>
        <w:t xml:space="preserve">Se expidió la Resolución MVCT No. 222 del 26 de abril de 2017 </w:t>
      </w:r>
    </w:p>
    <w:p w:rsidR="009B6AA4" w:rsidRPr="00B152FC" w:rsidRDefault="009B6AA4" w:rsidP="009B6AA4">
      <w:pPr>
        <w:pStyle w:val="Prrafodelista"/>
        <w:numPr>
          <w:ilvl w:val="0"/>
          <w:numId w:val="17"/>
        </w:numPr>
        <w:ind w:left="360"/>
        <w:rPr>
          <w:sz w:val="22"/>
          <w:szCs w:val="20"/>
          <w:lang w:val="es-ES" w:eastAsia="es-CO"/>
        </w:rPr>
      </w:pPr>
      <w:r w:rsidRPr="00B152FC">
        <w:rPr>
          <w:sz w:val="22"/>
          <w:szCs w:val="20"/>
          <w:lang w:val="es-ES" w:eastAsia="es-CO"/>
        </w:rPr>
        <w:t>Se expidió el Decreto 631 del 17 de abril de 2017</w:t>
      </w:r>
    </w:p>
    <w:p w:rsidR="009B6AA4" w:rsidRPr="00B152FC" w:rsidRDefault="009B6AA4" w:rsidP="009B6AA4">
      <w:pPr>
        <w:pStyle w:val="Prrafodelista"/>
        <w:numPr>
          <w:ilvl w:val="0"/>
          <w:numId w:val="17"/>
        </w:numPr>
        <w:ind w:left="360"/>
        <w:rPr>
          <w:sz w:val="22"/>
          <w:szCs w:val="20"/>
          <w:lang w:val="es-ES" w:eastAsia="es-CO"/>
        </w:rPr>
      </w:pPr>
      <w:r w:rsidRPr="00B152FC">
        <w:rPr>
          <w:sz w:val="22"/>
          <w:szCs w:val="20"/>
          <w:lang w:val="es-ES" w:eastAsia="es-CO"/>
        </w:rPr>
        <w:t>Se encuentra apoyando el proyecto de decreto de esquemas.</w:t>
      </w:r>
    </w:p>
    <w:p w:rsidR="009B6AA4" w:rsidRPr="00B152FC" w:rsidRDefault="009B6AA4" w:rsidP="009B6AA4">
      <w:pPr>
        <w:pStyle w:val="Prrafodelista"/>
        <w:numPr>
          <w:ilvl w:val="0"/>
          <w:numId w:val="17"/>
        </w:numPr>
        <w:ind w:left="360"/>
        <w:rPr>
          <w:sz w:val="22"/>
          <w:szCs w:val="20"/>
          <w:lang w:val="es-ES" w:eastAsia="es-CO"/>
        </w:rPr>
      </w:pPr>
      <w:r w:rsidRPr="00B152FC">
        <w:rPr>
          <w:sz w:val="22"/>
          <w:szCs w:val="20"/>
          <w:lang w:val="es-ES" w:eastAsia="es-CO"/>
        </w:rPr>
        <w:t xml:space="preserve">Se encuentra en proceso de estructuración de documento técnico con aspectos a tener en cuenta en la aplicación de la metodología de balance del esquema solidario. </w:t>
      </w:r>
    </w:p>
    <w:p w:rsidR="009B6AA4" w:rsidRPr="00B152FC" w:rsidRDefault="009B6AA4" w:rsidP="009B6AA4">
      <w:pPr>
        <w:pStyle w:val="Prrafodelista"/>
        <w:numPr>
          <w:ilvl w:val="0"/>
          <w:numId w:val="17"/>
        </w:numPr>
        <w:ind w:left="360"/>
        <w:rPr>
          <w:sz w:val="22"/>
          <w:szCs w:val="20"/>
          <w:lang w:val="es-ES" w:eastAsia="es-CO"/>
        </w:rPr>
      </w:pPr>
      <w:r w:rsidRPr="00B152FC">
        <w:rPr>
          <w:sz w:val="22"/>
          <w:szCs w:val="20"/>
          <w:lang w:val="es-ES" w:eastAsia="es-CO"/>
        </w:rPr>
        <w:lastRenderedPageBreak/>
        <w:t xml:space="preserve">Se encuentra actualizando la “Guía de orientaciones para el uso y destinación de los recursos del Sistema General de Participaciones para agua potable y saneamiento básico (subsidios e inversión).  </w:t>
      </w:r>
    </w:p>
    <w:p w:rsidR="009B6AA4" w:rsidRPr="00B152FC" w:rsidRDefault="009B6AA4" w:rsidP="009B6AA4">
      <w:pPr>
        <w:pStyle w:val="Prrafodelista"/>
        <w:numPr>
          <w:ilvl w:val="0"/>
          <w:numId w:val="17"/>
        </w:numPr>
        <w:ind w:left="360"/>
        <w:rPr>
          <w:sz w:val="22"/>
          <w:szCs w:val="20"/>
          <w:lang w:val="es-ES" w:eastAsia="es-CO"/>
        </w:rPr>
      </w:pPr>
      <w:r w:rsidRPr="00B152FC">
        <w:rPr>
          <w:sz w:val="22"/>
          <w:szCs w:val="20"/>
          <w:lang w:val="es-ES" w:eastAsia="es-CO"/>
        </w:rPr>
        <w:t>El MHCP en coordinación con el MVCT ha impuesto dieciocho (18) medidas preventivas y correctivas. (Ver informe Sinapsis Completo)</w:t>
      </w:r>
    </w:p>
    <w:p w:rsidR="009B6AA4" w:rsidRPr="00B152FC" w:rsidRDefault="009B6AA4" w:rsidP="009B6AA4">
      <w:pPr>
        <w:pStyle w:val="Prrafodelista"/>
        <w:numPr>
          <w:ilvl w:val="0"/>
          <w:numId w:val="17"/>
        </w:numPr>
        <w:ind w:left="360"/>
        <w:rPr>
          <w:sz w:val="22"/>
          <w:szCs w:val="20"/>
          <w:lang w:val="es-ES" w:eastAsia="es-CO"/>
        </w:rPr>
      </w:pPr>
      <w:r w:rsidRPr="00B152FC">
        <w:rPr>
          <w:sz w:val="22"/>
          <w:szCs w:val="20"/>
          <w:lang w:val="es-ES" w:eastAsia="es-CO"/>
        </w:rPr>
        <w:t xml:space="preserve">Se viene realizando asistencia técnica en el uso y destinación de los recursos del SGP-APSB, a departamentos que tienen municipios descertificados. </w:t>
      </w:r>
    </w:p>
    <w:p w:rsidR="009B6AA4" w:rsidRPr="00B152FC" w:rsidRDefault="009B6AA4" w:rsidP="009B6AA4">
      <w:pPr>
        <w:pStyle w:val="Prrafodelista"/>
        <w:numPr>
          <w:ilvl w:val="0"/>
          <w:numId w:val="17"/>
        </w:numPr>
        <w:ind w:left="360"/>
        <w:rPr>
          <w:sz w:val="22"/>
          <w:szCs w:val="20"/>
          <w:lang w:val="es-ES" w:eastAsia="es-CO"/>
        </w:rPr>
      </w:pPr>
      <w:r w:rsidRPr="00B152FC">
        <w:rPr>
          <w:sz w:val="22"/>
          <w:szCs w:val="20"/>
          <w:lang w:val="es-ES" w:eastAsia="es-CO"/>
        </w:rPr>
        <w:t>Se revisó y aplicó la metodología del cumplimiento con el fin de certificar a los municipios y distritos, remitió a la SSPD la información de los requisitos 1, 2 y 4 del proceso de certificación. Comunicado No 2017EE0051551 de mayo 31 de 2017.</w:t>
      </w:r>
    </w:p>
    <w:p w:rsidR="009B6AA4" w:rsidRPr="00B152FC" w:rsidRDefault="009B6AA4" w:rsidP="009B6AA4">
      <w:pPr>
        <w:pStyle w:val="Prrafodelista"/>
        <w:numPr>
          <w:ilvl w:val="0"/>
          <w:numId w:val="17"/>
        </w:numPr>
        <w:ind w:left="360"/>
        <w:rPr>
          <w:sz w:val="22"/>
          <w:szCs w:val="20"/>
          <w:lang w:val="es-ES" w:eastAsia="es-CO"/>
        </w:rPr>
      </w:pPr>
      <w:r w:rsidRPr="00B152FC">
        <w:rPr>
          <w:sz w:val="22"/>
          <w:szCs w:val="20"/>
          <w:lang w:val="es-ES" w:eastAsia="es-CO"/>
        </w:rPr>
        <w:t xml:space="preserve">Se ha brindado asistencia técnica en el marco de la Asunción temporal de competencias para el departamento de la guajira en todos los aspectos necesarios, relacionados con el cargue de información, avances en cobertura, calidad y continuidad, así como en las competencias que asume la Nación frente. </w:t>
      </w:r>
    </w:p>
    <w:p w:rsidR="009B6AA4" w:rsidRPr="00B152FC" w:rsidRDefault="009B6AA4" w:rsidP="009B6AA4">
      <w:pPr>
        <w:pStyle w:val="Prrafodelista"/>
        <w:numPr>
          <w:ilvl w:val="0"/>
          <w:numId w:val="17"/>
        </w:numPr>
        <w:ind w:left="360"/>
        <w:rPr>
          <w:sz w:val="22"/>
          <w:szCs w:val="20"/>
          <w:lang w:val="es-ES" w:eastAsia="es-CO"/>
        </w:rPr>
      </w:pPr>
      <w:r w:rsidRPr="00B152FC">
        <w:rPr>
          <w:sz w:val="22"/>
          <w:szCs w:val="20"/>
          <w:lang w:val="es-ES" w:eastAsia="es-CO"/>
        </w:rPr>
        <w:t>Se ha apoyado a la Subdirección de Finanzas y Presupuesto del MVCT con la revisión de los valores programados para las transferencias de las entidades territoriales que registraron cuentas maestras en virtud de lo establecido en la Resolución MVCT No. 857 de 2016, además del seguimiento a los trámites de registro realizados por cada una de las entidades territoriales.</w:t>
      </w:r>
    </w:p>
    <w:p w:rsidR="009B6AA4" w:rsidRPr="00B152FC" w:rsidRDefault="00C36C3F" w:rsidP="009B6AA4">
      <w:pPr>
        <w:rPr>
          <w:sz w:val="22"/>
          <w:szCs w:val="20"/>
          <w:lang w:val="es-ES" w:eastAsia="es-CO"/>
        </w:rPr>
      </w:pPr>
      <w:r w:rsidRPr="00B152FC">
        <w:rPr>
          <w:b/>
          <w:i/>
          <w:sz w:val="22"/>
          <w:szCs w:val="20"/>
          <w:lang w:eastAsia="es-CO"/>
        </w:rPr>
        <w:t xml:space="preserve">4. </w:t>
      </w:r>
      <w:r w:rsidR="009B6AA4" w:rsidRPr="00B152FC">
        <w:rPr>
          <w:b/>
          <w:sz w:val="22"/>
          <w:szCs w:val="20"/>
          <w:lang w:eastAsia="es-CO"/>
        </w:rPr>
        <w:t>FORTALECER LA GESTIÓN DEL RIESGO EN EL SECTOR DE AGU</w:t>
      </w:r>
      <w:r w:rsidRPr="00B152FC">
        <w:rPr>
          <w:b/>
          <w:sz w:val="22"/>
          <w:szCs w:val="20"/>
          <w:lang w:eastAsia="es-CO"/>
        </w:rPr>
        <w:t>A POTABLE Y SANEAMIENTO BÁSICO.</w:t>
      </w:r>
      <w:r w:rsidRPr="00B152FC">
        <w:rPr>
          <w:b/>
          <w:i/>
          <w:sz w:val="22"/>
          <w:szCs w:val="20"/>
          <w:lang w:eastAsia="es-CO"/>
        </w:rPr>
        <w:t xml:space="preserve"> </w:t>
      </w:r>
      <w:r w:rsidRPr="00B152FC">
        <w:rPr>
          <w:sz w:val="22"/>
          <w:szCs w:val="20"/>
          <w:lang w:eastAsia="es-CO"/>
        </w:rPr>
        <w:t xml:space="preserve">Esta iniciativa </w:t>
      </w:r>
      <w:r w:rsidR="009B6AA4" w:rsidRPr="00B152FC">
        <w:rPr>
          <w:sz w:val="22"/>
          <w:szCs w:val="20"/>
          <w:lang w:eastAsia="es-CO"/>
        </w:rPr>
        <w:t xml:space="preserve">reporta un avance de </w:t>
      </w:r>
      <w:r w:rsidRPr="00B152FC">
        <w:rPr>
          <w:sz w:val="22"/>
          <w:szCs w:val="20"/>
          <w:lang w:eastAsia="es-CO"/>
        </w:rPr>
        <w:t>55.71</w:t>
      </w:r>
      <w:r w:rsidR="009B6AA4" w:rsidRPr="00B152FC">
        <w:rPr>
          <w:sz w:val="22"/>
          <w:szCs w:val="20"/>
          <w:lang w:eastAsia="es-CO"/>
        </w:rPr>
        <w:t>%,</w:t>
      </w:r>
      <w:r w:rsidR="009B6AA4" w:rsidRPr="00B152FC">
        <w:rPr>
          <w:b/>
          <w:i/>
          <w:sz w:val="22"/>
          <w:szCs w:val="20"/>
          <w:lang w:eastAsia="es-CO"/>
        </w:rPr>
        <w:t xml:space="preserve"> </w:t>
      </w:r>
      <w:r w:rsidRPr="00B152FC">
        <w:rPr>
          <w:sz w:val="22"/>
          <w:szCs w:val="20"/>
          <w:lang w:val="es-ES" w:eastAsia="es-CO"/>
        </w:rPr>
        <w:t>s</w:t>
      </w:r>
      <w:r w:rsidR="009B6AA4" w:rsidRPr="00B152FC">
        <w:rPr>
          <w:sz w:val="22"/>
          <w:szCs w:val="20"/>
          <w:lang w:val="es-ES" w:eastAsia="es-CO"/>
        </w:rPr>
        <w:t>e viene avanzando en la asistencia técnica  a los PAP-PDA de 4 departamentos de: Antioquia, Boyacá, choco, Norte de Santander; con el fin de dar continuidad a la implementación del componente de gestión de riesgo en los PDA departamentales.  De igual manera a la fecha de cierre</w:t>
      </w:r>
      <w:r w:rsidRPr="00B152FC">
        <w:rPr>
          <w:sz w:val="22"/>
          <w:szCs w:val="20"/>
          <w:lang w:val="es-ES" w:eastAsia="es-CO"/>
        </w:rPr>
        <w:t xml:space="preserve">, </w:t>
      </w:r>
      <w:r w:rsidR="008410CE" w:rsidRPr="00B152FC">
        <w:rPr>
          <w:sz w:val="22"/>
          <w:szCs w:val="20"/>
          <w:lang w:val="es-ES" w:eastAsia="es-CO"/>
        </w:rPr>
        <w:t>está</w:t>
      </w:r>
      <w:r w:rsidRPr="00B152FC">
        <w:rPr>
          <w:sz w:val="22"/>
          <w:szCs w:val="20"/>
          <w:lang w:val="es-ES" w:eastAsia="es-CO"/>
        </w:rPr>
        <w:t xml:space="preserve"> pendiente el recibo de la</w:t>
      </w:r>
      <w:r w:rsidR="009B6AA4" w:rsidRPr="00B152FC">
        <w:rPr>
          <w:sz w:val="22"/>
          <w:szCs w:val="20"/>
          <w:lang w:val="es-ES" w:eastAsia="es-CO"/>
        </w:rPr>
        <w:t xml:space="preserve"> respuesta sobre la solicitud de modificación de la ficha, enviada a Presidencia de la República, del indicador del PND en la parte de la descripción  para que el indicador reporte los municipios que ejecutaron acciones estructurales o no estructurales de reducción del riesgo por desabastecimiento  de agua potable. </w:t>
      </w:r>
    </w:p>
    <w:tbl>
      <w:tblPr>
        <w:tblW w:w="0" w:type="auto"/>
        <w:tblCellSpacing w:w="0" w:type="dxa"/>
        <w:tblCellMar>
          <w:top w:w="15" w:type="dxa"/>
          <w:left w:w="15" w:type="dxa"/>
          <w:bottom w:w="15" w:type="dxa"/>
          <w:right w:w="15" w:type="dxa"/>
        </w:tblCellMar>
        <w:tblLook w:val="04A0" w:firstRow="1" w:lastRow="0" w:firstColumn="1" w:lastColumn="0" w:noHBand="0" w:noVBand="1"/>
        <w:tblDescription w:val="Funcionarios"/>
      </w:tblPr>
      <w:tblGrid>
        <w:gridCol w:w="36"/>
      </w:tblGrid>
      <w:tr w:rsidR="009B6AA4" w:rsidRPr="009B6AA4" w:rsidTr="00C25210">
        <w:trPr>
          <w:tblCellSpacing w:w="0" w:type="dxa"/>
        </w:trPr>
        <w:tc>
          <w:tcPr>
            <w:tcW w:w="0" w:type="auto"/>
            <w:shd w:val="clear" w:color="auto" w:fill="F2F2F2"/>
            <w:vAlign w:val="center"/>
            <w:hideMark/>
          </w:tcPr>
          <w:p w:rsidR="009B6AA4" w:rsidRPr="009B6AA4" w:rsidRDefault="009B6AA4" w:rsidP="00C25210">
            <w:pPr>
              <w:spacing w:after="0" w:line="240" w:lineRule="auto"/>
              <w:rPr>
                <w:rFonts w:ascii="Arial" w:eastAsia="Times New Roman" w:hAnsi="Arial" w:cs="Arial"/>
                <w:color w:val="000000"/>
                <w:sz w:val="20"/>
                <w:szCs w:val="20"/>
                <w:lang w:eastAsia="es-CO"/>
              </w:rPr>
            </w:pPr>
          </w:p>
        </w:tc>
      </w:tr>
    </w:tbl>
    <w:p w:rsidR="001918ED" w:rsidRPr="00D94993" w:rsidRDefault="00AD1450" w:rsidP="00B07D7A">
      <w:pPr>
        <w:jc w:val="center"/>
        <w:rPr>
          <w:sz w:val="22"/>
        </w:rPr>
      </w:pPr>
      <w:r w:rsidRPr="00124A49">
        <w:rPr>
          <w:noProof/>
          <w:bdr w:val="single" w:sz="12" w:space="0" w:color="auto"/>
          <w:lang w:eastAsia="es-CO"/>
        </w:rPr>
        <w:lastRenderedPageBreak/>
        <w:drawing>
          <wp:inline distT="0" distB="0" distL="0" distR="0" wp14:anchorId="1C078878" wp14:editId="680B145F">
            <wp:extent cx="8039595" cy="5415148"/>
            <wp:effectExtent l="0" t="0" r="0" b="0"/>
            <wp:docPr id="2500" name="Imagen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34912" cy="5411994"/>
                    </a:xfrm>
                    <a:prstGeom prst="rect">
                      <a:avLst/>
                    </a:prstGeom>
                    <a:noFill/>
                    <a:ln>
                      <a:noFill/>
                    </a:ln>
                  </pic:spPr>
                </pic:pic>
              </a:graphicData>
            </a:graphic>
          </wp:inline>
        </w:drawing>
      </w:r>
    </w:p>
    <w:p w:rsidR="00E4054A" w:rsidRDefault="00E4054A" w:rsidP="00B152FC">
      <w:pPr>
        <w:pStyle w:val="Ttulo1"/>
        <w:spacing w:before="0" w:line="240" w:lineRule="auto"/>
        <w:rPr>
          <w:rFonts w:eastAsia="Arial Narrow"/>
          <w:szCs w:val="22"/>
        </w:rPr>
      </w:pPr>
    </w:p>
    <w:p w:rsidR="00B152FC" w:rsidRDefault="00B152FC" w:rsidP="00B152FC">
      <w:pPr>
        <w:pStyle w:val="Ttulo1"/>
        <w:spacing w:before="0" w:line="240" w:lineRule="auto"/>
        <w:rPr>
          <w:rFonts w:eastAsia="Arial Narrow"/>
          <w:szCs w:val="22"/>
        </w:rPr>
      </w:pPr>
      <w:bookmarkStart w:id="24" w:name="_Toc496861744"/>
      <w:r w:rsidRPr="008C24C4">
        <w:rPr>
          <w:rFonts w:ascii="FuturaStd-ExtraBold" w:hAnsi="FuturaStd-ExtraBold" w:cs="FuturaStd-ExtraBold"/>
          <w:b w:val="0"/>
          <w:bCs w:val="0"/>
          <w:noProof/>
          <w:color w:val="CC0066"/>
          <w:sz w:val="48"/>
          <w:szCs w:val="52"/>
          <w:lang w:eastAsia="es-CO"/>
        </w:rPr>
        <w:lastRenderedPageBreak/>
        <w:drawing>
          <wp:anchor distT="0" distB="0" distL="114300" distR="114300" simplePos="0" relativeHeight="251915264" behindDoc="0" locked="0" layoutInCell="1" allowOverlap="1" wp14:anchorId="61E112E4" wp14:editId="129EB0D6">
            <wp:simplePos x="0" y="0"/>
            <wp:positionH relativeFrom="column">
              <wp:posOffset>7048500</wp:posOffset>
            </wp:positionH>
            <wp:positionV relativeFrom="paragraph">
              <wp:posOffset>24765</wp:posOffset>
            </wp:positionV>
            <wp:extent cx="942975" cy="1320165"/>
            <wp:effectExtent l="0" t="0" r="9525" b="0"/>
            <wp:wrapSquare wrapText="bothSides"/>
            <wp:docPr id="2511" name="Imagen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2975" cy="1320165"/>
                    </a:xfrm>
                    <a:prstGeom prst="rect">
                      <a:avLst/>
                    </a:prstGeom>
                    <a:noFill/>
                  </pic:spPr>
                </pic:pic>
              </a:graphicData>
            </a:graphic>
            <wp14:sizeRelH relativeFrom="page">
              <wp14:pctWidth>0</wp14:pctWidth>
            </wp14:sizeRelH>
            <wp14:sizeRelV relativeFrom="page">
              <wp14:pctHeight>0</wp14:pctHeight>
            </wp14:sizeRelV>
          </wp:anchor>
        </w:drawing>
      </w:r>
      <w:bookmarkEnd w:id="24"/>
    </w:p>
    <w:p w:rsidR="00D37968" w:rsidRPr="008C24C4" w:rsidRDefault="00E945BD" w:rsidP="00B152FC">
      <w:pPr>
        <w:pStyle w:val="Ttulo1"/>
        <w:spacing w:before="0" w:line="240" w:lineRule="auto"/>
        <w:rPr>
          <w:rFonts w:eastAsia="Arial Narrow"/>
          <w:szCs w:val="22"/>
        </w:rPr>
      </w:pPr>
      <w:bookmarkStart w:id="25" w:name="_Toc496861745"/>
      <w:r>
        <w:rPr>
          <w:rFonts w:eastAsia="Arial Narrow"/>
          <w:szCs w:val="22"/>
        </w:rPr>
        <w:t xml:space="preserve">2. </w:t>
      </w:r>
      <w:r w:rsidR="00992C42" w:rsidRPr="008C24C4">
        <w:rPr>
          <w:rFonts w:eastAsia="Arial Narrow"/>
          <w:szCs w:val="22"/>
        </w:rPr>
        <w:t>DIRECCIÓN DE PROGRAMAS</w:t>
      </w:r>
      <w:bookmarkEnd w:id="25"/>
    </w:p>
    <w:p w:rsidR="00D37968" w:rsidRPr="00B80204" w:rsidRDefault="00D37968" w:rsidP="00B152FC">
      <w:pPr>
        <w:spacing w:after="0" w:line="240" w:lineRule="auto"/>
        <w:rPr>
          <w:sz w:val="22"/>
        </w:rPr>
      </w:pPr>
      <w:r w:rsidRPr="00B80204">
        <w:rPr>
          <w:sz w:val="22"/>
        </w:rPr>
        <w:t xml:space="preserve">Director: Dr. </w:t>
      </w:r>
      <w:r w:rsidR="00992C42" w:rsidRPr="00B80204">
        <w:rPr>
          <w:sz w:val="22"/>
        </w:rPr>
        <w:t>Lady Johanna Ospina Corso</w:t>
      </w:r>
    </w:p>
    <w:p w:rsidR="00D37968" w:rsidRPr="00B80204" w:rsidRDefault="00D37968" w:rsidP="00B152FC">
      <w:pPr>
        <w:spacing w:after="0" w:line="240" w:lineRule="auto"/>
        <w:rPr>
          <w:rFonts w:ascii="Times New Roman" w:eastAsia="Times New Roman" w:hAnsi="Times New Roman"/>
          <w:sz w:val="22"/>
        </w:rPr>
      </w:pPr>
    </w:p>
    <w:tbl>
      <w:tblPr>
        <w:tblpPr w:leftFromText="141" w:rightFromText="141" w:vertAnchor="text" w:horzAnchor="margin" w:tblpY="73"/>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48"/>
        <w:gridCol w:w="1724"/>
        <w:gridCol w:w="3049"/>
        <w:gridCol w:w="1715"/>
      </w:tblGrid>
      <w:tr w:rsidR="00180C6E" w:rsidRPr="00B80204" w:rsidTr="00B07D7A">
        <w:trPr>
          <w:trHeight w:val="513"/>
        </w:trPr>
        <w:tc>
          <w:tcPr>
            <w:tcW w:w="3048" w:type="dxa"/>
            <w:shd w:val="clear" w:color="auto" w:fill="993366"/>
            <w:vAlign w:val="center"/>
          </w:tcPr>
          <w:p w:rsidR="00180C6E" w:rsidRPr="00B80204" w:rsidRDefault="00180C6E" w:rsidP="00B40D9B">
            <w:pPr>
              <w:spacing w:after="0" w:line="240" w:lineRule="auto"/>
              <w:ind w:left="120"/>
              <w:jc w:val="center"/>
              <w:rPr>
                <w:rFonts w:eastAsia="Arial Narrow"/>
                <w:b/>
                <w:color w:val="FF0000"/>
                <w:sz w:val="22"/>
              </w:rPr>
            </w:pPr>
            <w:r w:rsidRPr="00B80204">
              <w:rPr>
                <w:rFonts w:eastAsia="Arial Narrow"/>
                <w:b/>
                <w:color w:val="FFFFFF" w:themeColor="background1"/>
                <w:sz w:val="22"/>
              </w:rPr>
              <w:t>Avance registrado</w:t>
            </w:r>
          </w:p>
        </w:tc>
        <w:tc>
          <w:tcPr>
            <w:tcW w:w="1724" w:type="dxa"/>
            <w:shd w:val="clear" w:color="auto" w:fill="auto"/>
            <w:vAlign w:val="center"/>
          </w:tcPr>
          <w:p w:rsidR="00180C6E" w:rsidRPr="00B80204" w:rsidRDefault="008410CE" w:rsidP="00B40D9B">
            <w:pPr>
              <w:spacing w:after="0" w:line="240" w:lineRule="auto"/>
              <w:ind w:right="20"/>
              <w:jc w:val="center"/>
              <w:rPr>
                <w:rFonts w:eastAsia="Arial Narrow"/>
                <w:b/>
                <w:color w:val="FF0000"/>
                <w:sz w:val="22"/>
              </w:rPr>
            </w:pPr>
            <w:r>
              <w:rPr>
                <w:rFonts w:eastAsia="Arial Narrow"/>
                <w:b/>
                <w:sz w:val="22"/>
              </w:rPr>
              <w:t>84.88</w:t>
            </w:r>
            <w:r w:rsidR="00B07D7A" w:rsidRPr="00B07D7A">
              <w:rPr>
                <w:rFonts w:eastAsia="Arial Narrow"/>
                <w:b/>
                <w:sz w:val="22"/>
              </w:rPr>
              <w:t>%</w:t>
            </w:r>
          </w:p>
        </w:tc>
        <w:tc>
          <w:tcPr>
            <w:tcW w:w="3049" w:type="dxa"/>
            <w:shd w:val="clear" w:color="auto" w:fill="993366"/>
          </w:tcPr>
          <w:p w:rsidR="00180C6E" w:rsidRPr="00B80204" w:rsidRDefault="00180C6E" w:rsidP="00B40D9B">
            <w:pPr>
              <w:spacing w:after="0" w:line="240" w:lineRule="auto"/>
              <w:ind w:right="20"/>
              <w:jc w:val="center"/>
              <w:rPr>
                <w:rFonts w:eastAsia="Arial Narrow"/>
                <w:sz w:val="22"/>
              </w:rPr>
            </w:pPr>
            <w:r w:rsidRPr="00B80204">
              <w:rPr>
                <w:rFonts w:eastAsia="Arial Narrow"/>
                <w:b/>
                <w:color w:val="FFFFFF" w:themeColor="background1"/>
                <w:sz w:val="22"/>
              </w:rPr>
              <w:t xml:space="preserve">Número de Iniciativas </w:t>
            </w:r>
          </w:p>
        </w:tc>
        <w:tc>
          <w:tcPr>
            <w:tcW w:w="1715" w:type="dxa"/>
            <w:vAlign w:val="center"/>
          </w:tcPr>
          <w:p w:rsidR="00180C6E" w:rsidRPr="00B80204" w:rsidRDefault="008C24C4" w:rsidP="00B40D9B">
            <w:pPr>
              <w:spacing w:after="0" w:line="240" w:lineRule="auto"/>
              <w:ind w:right="20"/>
              <w:jc w:val="center"/>
              <w:rPr>
                <w:rFonts w:eastAsia="Arial Narrow"/>
                <w:b/>
                <w:sz w:val="22"/>
              </w:rPr>
            </w:pPr>
            <w:r>
              <w:rPr>
                <w:rFonts w:eastAsia="Arial Narrow"/>
                <w:b/>
                <w:sz w:val="22"/>
              </w:rPr>
              <w:t>4</w:t>
            </w:r>
          </w:p>
        </w:tc>
      </w:tr>
    </w:tbl>
    <w:p w:rsidR="007B5965" w:rsidRPr="00B80204" w:rsidRDefault="007B5965" w:rsidP="009813BD">
      <w:pPr>
        <w:spacing w:after="0" w:line="240" w:lineRule="auto"/>
        <w:rPr>
          <w:rFonts w:ascii="FuturaStd-ExtraBold" w:hAnsi="FuturaStd-ExtraBold" w:cs="FuturaStd-ExtraBold"/>
          <w:b/>
          <w:bCs/>
          <w:color w:val="CC0066"/>
          <w:sz w:val="22"/>
          <w14:shadow w14:blurRad="50800" w14:dist="38100" w14:dir="16200000" w14:sx="100000" w14:sy="100000" w14:kx="0" w14:ky="0" w14:algn="b">
            <w14:srgbClr w14:val="000000">
              <w14:alpha w14:val="60000"/>
            </w14:srgbClr>
          </w14:shadow>
        </w:rPr>
      </w:pPr>
    </w:p>
    <w:p w:rsidR="007B5965" w:rsidRPr="00B80204" w:rsidRDefault="007B5965" w:rsidP="009813BD">
      <w:pPr>
        <w:spacing w:after="0" w:line="240" w:lineRule="auto"/>
        <w:rPr>
          <w:rFonts w:ascii="FuturaStd-ExtraBold" w:hAnsi="FuturaStd-ExtraBold" w:cs="FuturaStd-ExtraBold"/>
          <w:b/>
          <w:bCs/>
          <w:color w:val="CC0066"/>
          <w:sz w:val="22"/>
          <w14:shadow w14:blurRad="50800" w14:dist="38100" w14:dir="16200000" w14:sx="100000" w14:sy="100000" w14:kx="0" w14:ky="0" w14:algn="b">
            <w14:srgbClr w14:val="000000">
              <w14:alpha w14:val="60000"/>
            </w14:srgbClr>
          </w14:shadow>
        </w:rPr>
      </w:pPr>
    </w:p>
    <w:p w:rsidR="007207EF" w:rsidRPr="00B80204" w:rsidRDefault="007207EF" w:rsidP="009813BD">
      <w:pPr>
        <w:spacing w:after="0" w:line="240" w:lineRule="auto"/>
        <w:rPr>
          <w:rFonts w:ascii="FuturaStd-ExtraBold" w:hAnsi="FuturaStd-ExtraBold" w:cs="FuturaStd-ExtraBold"/>
          <w:b/>
          <w:bCs/>
          <w:color w:val="CC0066"/>
          <w:sz w:val="22"/>
          <w14:shadow w14:blurRad="50800" w14:dist="38100" w14:dir="16200000" w14:sx="100000" w14:sy="100000" w14:kx="0" w14:ky="0" w14:algn="b">
            <w14:srgbClr w14:val="000000">
              <w14:alpha w14:val="60000"/>
            </w14:srgbClr>
          </w14:shadow>
        </w:rPr>
      </w:pPr>
    </w:p>
    <w:p w:rsidR="009866CC" w:rsidRPr="00B152FC" w:rsidRDefault="009866CC" w:rsidP="00902726">
      <w:pPr>
        <w:rPr>
          <w:bCs/>
          <w:sz w:val="22"/>
          <w:lang w:eastAsia="es-CO"/>
        </w:rPr>
      </w:pPr>
      <w:r w:rsidRPr="00B152FC">
        <w:rPr>
          <w:bCs/>
          <w:sz w:val="22"/>
          <w:lang w:eastAsia="es-CO"/>
        </w:rPr>
        <w:t xml:space="preserve">La dirección cuenta  con cuatro iniciativas, las cuales se presenta a continuación su gestión: </w:t>
      </w:r>
    </w:p>
    <w:p w:rsidR="00B152FC" w:rsidRDefault="00C36C3F" w:rsidP="00B152FC">
      <w:pPr>
        <w:rPr>
          <w:bCs/>
          <w:sz w:val="22"/>
          <w:lang w:eastAsia="es-CO"/>
        </w:rPr>
      </w:pPr>
      <w:r w:rsidRPr="00B152FC">
        <w:rPr>
          <w:b/>
          <w:bCs/>
          <w:sz w:val="22"/>
          <w:lang w:eastAsia="es-CO"/>
        </w:rPr>
        <w:t xml:space="preserve">1. </w:t>
      </w:r>
      <w:r w:rsidR="000851F9" w:rsidRPr="00B152FC">
        <w:rPr>
          <w:b/>
          <w:bCs/>
          <w:sz w:val="22"/>
          <w:lang w:eastAsia="es-CO"/>
        </w:rPr>
        <w:t>Brindar asistencia y seguimiento, técnico y/o financiero para el Desarrollo de proyectos del sector de Agua potable y saneamiento básico a nivel nacional, financiados con recursos de la Nación</w:t>
      </w:r>
      <w:r w:rsidR="000851F9" w:rsidRPr="00B152FC">
        <w:rPr>
          <w:bCs/>
          <w:sz w:val="22"/>
          <w:lang w:eastAsia="es-CO"/>
        </w:rPr>
        <w:t>. Para el primer periodo se tiene un avance del 75%, en el cual,  se han beneficiado 262.303 personas de acuerdo a la proyección de la ficha metodológica del indicador, como resultado de los proyectos terminados en vigencia del sector de agua potable y saneamiento básico. Como acciones para el cumplimiento de esta estrategia se elabora un</w:t>
      </w:r>
      <w:r w:rsidR="000851F9" w:rsidRPr="00B152FC">
        <w:rPr>
          <w:sz w:val="22"/>
        </w:rPr>
        <w:t xml:space="preserve"> informe de gestión consolidado trimestral con corte a septiembre 30 de 2017,  en el cual se describen los siguientes avances: </w:t>
      </w:r>
      <w:r w:rsidR="000851F9" w:rsidRPr="00B152FC">
        <w:rPr>
          <w:bCs/>
          <w:sz w:val="22"/>
          <w:lang w:eastAsia="es-CO"/>
        </w:rPr>
        <w:t xml:space="preserve">Se han realizado </w:t>
      </w:r>
      <w:r w:rsidR="000851F9" w:rsidRPr="00B152FC">
        <w:rPr>
          <w:b/>
          <w:bCs/>
          <w:sz w:val="22"/>
          <w:lang w:eastAsia="es-CO"/>
        </w:rPr>
        <w:t>317 asistencias</w:t>
      </w:r>
      <w:r w:rsidR="000851F9" w:rsidRPr="00B152FC">
        <w:rPr>
          <w:bCs/>
          <w:sz w:val="22"/>
          <w:lang w:eastAsia="es-CO"/>
        </w:rPr>
        <w:t xml:space="preserve"> técnicas en </w:t>
      </w:r>
      <w:r w:rsidR="000851F9" w:rsidRPr="00B152FC">
        <w:rPr>
          <w:b/>
          <w:bCs/>
          <w:sz w:val="22"/>
          <w:lang w:eastAsia="es-CO"/>
        </w:rPr>
        <w:t>32</w:t>
      </w:r>
      <w:r w:rsidR="000851F9" w:rsidRPr="00B152FC">
        <w:rPr>
          <w:bCs/>
          <w:sz w:val="22"/>
          <w:lang w:eastAsia="es-CO"/>
        </w:rPr>
        <w:t xml:space="preserve"> Departamentos, relacionadas con la socialización del mecanismo de </w:t>
      </w:r>
      <w:proofErr w:type="spellStart"/>
      <w:r w:rsidR="000851F9" w:rsidRPr="00B152FC">
        <w:rPr>
          <w:bCs/>
          <w:sz w:val="22"/>
          <w:lang w:eastAsia="es-CO"/>
        </w:rPr>
        <w:t>viabilización</w:t>
      </w:r>
      <w:proofErr w:type="spellEnd"/>
      <w:r w:rsidR="000851F9" w:rsidRPr="00B152FC">
        <w:rPr>
          <w:bCs/>
          <w:sz w:val="22"/>
          <w:lang w:eastAsia="es-CO"/>
        </w:rPr>
        <w:t xml:space="preserve"> de los proyectos del sector de agua potable y saneamiento básico; y</w:t>
      </w:r>
      <w:r w:rsidR="000851F9" w:rsidRPr="00B152FC">
        <w:rPr>
          <w:sz w:val="22"/>
        </w:rPr>
        <w:t xml:space="preserve"> Realizar Seguimiento físico y financiero a los proyectos financiados con recursos de la Nación.</w:t>
      </w:r>
      <w:r w:rsidR="000851F9" w:rsidRPr="00B152FC">
        <w:rPr>
          <w:bCs/>
          <w:sz w:val="22"/>
          <w:lang w:eastAsia="es-CO"/>
        </w:rPr>
        <w:t xml:space="preserve"> </w:t>
      </w:r>
    </w:p>
    <w:p w:rsidR="00B152FC" w:rsidRPr="00E4054A" w:rsidRDefault="00B152FC" w:rsidP="00B152FC">
      <w:pPr>
        <w:rPr>
          <w:sz w:val="22"/>
        </w:rPr>
      </w:pPr>
      <w:r w:rsidRPr="00E4054A">
        <w:rPr>
          <w:sz w:val="22"/>
        </w:rPr>
        <w:t>Cabe anotar que la medición para la ejecución de esta iniciativa, no contempla el indicador con rezago relacionado con “Nuevas personas beneficiadas con proyectos que mejoran provisión, calidad y/o continuidad de los servicios de acueducto y alcantarillado” debido a que este valor para la vigencia 2017 se reporta Anual con 90 días de rezago, es decir en la vigencia 2018.</w:t>
      </w:r>
    </w:p>
    <w:p w:rsidR="00B152FC" w:rsidRPr="00E4054A" w:rsidRDefault="00B152FC" w:rsidP="00B152FC">
      <w:pPr>
        <w:rPr>
          <w:bCs/>
          <w:lang w:eastAsia="es-CO"/>
        </w:rPr>
      </w:pPr>
      <w:r w:rsidRPr="00E4054A">
        <w:rPr>
          <w:b/>
          <w:sz w:val="22"/>
          <w:szCs w:val="20"/>
          <w:lang w:eastAsia="es-CO"/>
        </w:rPr>
        <w:t>2. Asistencia técnica y/o financiera en el marco de la gestión integral de residuos sólidos</w:t>
      </w:r>
      <w:r w:rsidRPr="00E4054A">
        <w:rPr>
          <w:sz w:val="22"/>
          <w:szCs w:val="20"/>
          <w:lang w:eastAsia="es-CO"/>
        </w:rPr>
        <w:t>, el reporte que se hace es de una meta con rezago, con corte al 2015, por la siguiente razón: De acuerdo a la periodicidad establecida en el indicador SINERGIA, esta se reporta anual con un rezago de 90 días, sin embargo es importante anotar que la fuente oficial de información es el SUI (Sistema Único de información), que está a cargo de la Superintendencia de Servicios Públicos Domiciliarios-SSPD; entidad que anualmente elabora el “Informe Nacional de Disposición Final de Residuos Sólidos”. El último informe fue publicado en el año 2015, con la situación de la disposición final de residuos sólidos durante el periodo enero a</w:t>
      </w:r>
    </w:p>
    <w:p w:rsidR="000851F9" w:rsidRDefault="00522A03" w:rsidP="00B152FC">
      <w:pPr>
        <w:jc w:val="center"/>
        <w:rPr>
          <w:bCs/>
          <w:sz w:val="20"/>
          <w:szCs w:val="20"/>
          <w:lang w:eastAsia="es-CO"/>
        </w:rPr>
      </w:pPr>
      <w:r w:rsidRPr="00124A49">
        <w:rPr>
          <w:noProof/>
          <w:bdr w:val="single" w:sz="12" w:space="0" w:color="auto"/>
          <w:lang w:eastAsia="es-CO"/>
        </w:rPr>
        <w:lastRenderedPageBreak/>
        <w:drawing>
          <wp:inline distT="0" distB="0" distL="0" distR="0" wp14:anchorId="45190FF1" wp14:editId="6D8577A6">
            <wp:extent cx="6019027" cy="3533642"/>
            <wp:effectExtent l="0" t="0" r="1270" b="0"/>
            <wp:docPr id="2501" name="Imagen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22606" cy="3535743"/>
                    </a:xfrm>
                    <a:prstGeom prst="rect">
                      <a:avLst/>
                    </a:prstGeom>
                    <a:noFill/>
                    <a:ln>
                      <a:noFill/>
                    </a:ln>
                  </pic:spPr>
                </pic:pic>
              </a:graphicData>
            </a:graphic>
          </wp:inline>
        </w:drawing>
      </w:r>
    </w:p>
    <w:p w:rsidR="000851F9" w:rsidRPr="00E4054A" w:rsidRDefault="000851F9" w:rsidP="000851F9">
      <w:pPr>
        <w:rPr>
          <w:sz w:val="22"/>
          <w:szCs w:val="20"/>
          <w:lang w:eastAsia="es-CO"/>
        </w:rPr>
      </w:pPr>
      <w:proofErr w:type="gramStart"/>
      <w:r w:rsidRPr="00E4054A">
        <w:rPr>
          <w:sz w:val="22"/>
          <w:szCs w:val="20"/>
          <w:lang w:eastAsia="es-CO"/>
        </w:rPr>
        <w:t>diciembre</w:t>
      </w:r>
      <w:proofErr w:type="gramEnd"/>
      <w:r w:rsidRPr="00E4054A">
        <w:rPr>
          <w:sz w:val="22"/>
          <w:szCs w:val="20"/>
          <w:lang w:eastAsia="es-CO"/>
        </w:rPr>
        <w:t xml:space="preserve"> de 2014 y por lo tanto el correspondiente al año 2016 no ha sido publicado. Por lo anterior los resultados oficiales de la vigencia 2017 (fuente SUI), serán publicados en el 2018.</w:t>
      </w:r>
    </w:p>
    <w:p w:rsidR="000851F9" w:rsidRPr="00E4054A" w:rsidRDefault="000851F9" w:rsidP="000851F9">
      <w:pPr>
        <w:rPr>
          <w:sz w:val="22"/>
          <w:szCs w:val="20"/>
          <w:lang w:eastAsia="es-CO"/>
        </w:rPr>
      </w:pPr>
      <w:r w:rsidRPr="00E4054A">
        <w:rPr>
          <w:sz w:val="22"/>
          <w:szCs w:val="20"/>
          <w:lang w:eastAsia="es-CO"/>
        </w:rPr>
        <w:t xml:space="preserve">Como acciones para el cumplimiento de esta estrategia se realizan las siguientes actividades: Asistir Técnica y/o  financieramente  a los proyectos presentados por la entidades territoriales y Realizar Seguimiento físico y financiero a los proyectos financiados con recursos de la Nación que se ven reflejadas en el informe consolidado mes a mes de la gestión de la vigencia 2017, y que se encuentra cargado en SINAPSIS/y plataforma. </w:t>
      </w:r>
    </w:p>
    <w:p w:rsidR="000851F9" w:rsidRPr="00E4054A" w:rsidRDefault="000851F9" w:rsidP="000851F9">
      <w:pPr>
        <w:rPr>
          <w:sz w:val="22"/>
          <w:szCs w:val="20"/>
          <w:lang w:eastAsia="es-CO"/>
        </w:rPr>
      </w:pPr>
      <w:r w:rsidRPr="00E4054A">
        <w:rPr>
          <w:sz w:val="22"/>
          <w:szCs w:val="20"/>
          <w:lang w:eastAsia="es-CO"/>
        </w:rPr>
        <w:t xml:space="preserve">Las actividades de gestión descritas anteriormente reportan un avance de la iniciativa del 75%, al haberse realizado 40 asistencias técnicas, 4 seguimientos a proyectos en ejecución, 13 visitas técnicas, 23 revisiones de proyectos y 31 mesas de trabajo. </w:t>
      </w:r>
    </w:p>
    <w:p w:rsidR="000851F9" w:rsidRPr="00E4054A" w:rsidRDefault="00C36C3F" w:rsidP="000851F9">
      <w:pPr>
        <w:rPr>
          <w:rFonts w:eastAsia="Calibri"/>
          <w:sz w:val="22"/>
          <w:szCs w:val="20"/>
        </w:rPr>
      </w:pPr>
      <w:r w:rsidRPr="00E4054A">
        <w:rPr>
          <w:rFonts w:cs="FuturaStd-ExtraBold"/>
          <w:bCs/>
          <w:sz w:val="22"/>
          <w:szCs w:val="20"/>
        </w:rPr>
        <w:lastRenderedPageBreak/>
        <w:t xml:space="preserve">Teniendo en cuenta lo anterior, </w:t>
      </w:r>
      <w:r w:rsidR="000851F9" w:rsidRPr="00E4054A">
        <w:rPr>
          <w:rFonts w:cs="FuturaStd-ExtraBold"/>
          <w:bCs/>
          <w:sz w:val="22"/>
          <w:szCs w:val="20"/>
        </w:rPr>
        <w:t>la medición para la ejecución de esta iniciativa, no contempla el indicador con rezago relacionado con “Porcentaje de Municipios que tratan adecuadamente los Residuos Sólidos” debido a que este valor para la vigencia 2017 se reporta Anual con 90 días de rezago, es decir en la vigencia 2018.</w:t>
      </w:r>
    </w:p>
    <w:p w:rsidR="000851F9" w:rsidRPr="00E4054A" w:rsidRDefault="00C36C3F" w:rsidP="000851F9">
      <w:pPr>
        <w:rPr>
          <w:sz w:val="22"/>
          <w:szCs w:val="20"/>
          <w:lang w:eastAsia="es-CO"/>
        </w:rPr>
      </w:pPr>
      <w:r w:rsidRPr="00E4054A">
        <w:rPr>
          <w:b/>
          <w:sz w:val="22"/>
          <w:szCs w:val="20"/>
          <w:lang w:eastAsia="es-CO"/>
        </w:rPr>
        <w:t>3.</w:t>
      </w:r>
      <w:r w:rsidR="000851F9" w:rsidRPr="00E4054A">
        <w:rPr>
          <w:sz w:val="22"/>
          <w:szCs w:val="20"/>
          <w:lang w:eastAsia="es-CO"/>
        </w:rPr>
        <w:t xml:space="preserve"> </w:t>
      </w:r>
      <w:r w:rsidR="000851F9" w:rsidRPr="00E4054A">
        <w:rPr>
          <w:b/>
          <w:sz w:val="22"/>
          <w:szCs w:val="20"/>
          <w:lang w:eastAsia="es-CO"/>
        </w:rPr>
        <w:t>brindar asistencia técnica para la implementación de planes de aseguramiento del programa agua para la prosperidad (</w:t>
      </w:r>
      <w:proofErr w:type="spellStart"/>
      <w:r w:rsidR="000851F9" w:rsidRPr="00E4054A">
        <w:rPr>
          <w:b/>
          <w:sz w:val="22"/>
          <w:szCs w:val="20"/>
          <w:lang w:eastAsia="es-CO"/>
        </w:rPr>
        <w:t>pap</w:t>
      </w:r>
      <w:proofErr w:type="spellEnd"/>
      <w:r w:rsidR="000851F9" w:rsidRPr="00E4054A">
        <w:rPr>
          <w:b/>
          <w:sz w:val="22"/>
          <w:szCs w:val="20"/>
          <w:lang w:eastAsia="es-CO"/>
        </w:rPr>
        <w:t xml:space="preserve"> - </w:t>
      </w:r>
      <w:r w:rsidR="008410CE" w:rsidRPr="00E4054A">
        <w:rPr>
          <w:b/>
          <w:sz w:val="22"/>
          <w:szCs w:val="20"/>
          <w:lang w:eastAsia="es-CO"/>
        </w:rPr>
        <w:t>PDA</w:t>
      </w:r>
      <w:r w:rsidR="000851F9" w:rsidRPr="00E4054A">
        <w:rPr>
          <w:b/>
          <w:sz w:val="22"/>
          <w:szCs w:val="20"/>
          <w:lang w:eastAsia="es-CO"/>
        </w:rPr>
        <w:t>)</w:t>
      </w:r>
      <w:r w:rsidR="000851F9" w:rsidRPr="00E4054A">
        <w:rPr>
          <w:b/>
          <w:i/>
          <w:sz w:val="22"/>
          <w:szCs w:val="20"/>
          <w:lang w:eastAsia="es-CO"/>
        </w:rPr>
        <w:t>,</w:t>
      </w:r>
      <w:r w:rsidR="000851F9" w:rsidRPr="00E4054A">
        <w:rPr>
          <w:sz w:val="22"/>
          <w:szCs w:val="20"/>
          <w:lang w:eastAsia="es-CO"/>
        </w:rPr>
        <w:t xml:space="preserve"> En el transcurso de la vigencia 2017 se registran en total 29 planes de aseguramiento aprobados y en implementación, de los cuales se ha adicionado </w:t>
      </w:r>
      <w:r w:rsidRPr="00E4054A">
        <w:rPr>
          <w:sz w:val="22"/>
          <w:szCs w:val="20"/>
          <w:lang w:eastAsia="es-CO"/>
        </w:rPr>
        <w:t xml:space="preserve">un </w:t>
      </w:r>
      <w:r w:rsidR="000851F9" w:rsidRPr="00E4054A">
        <w:rPr>
          <w:sz w:val="22"/>
          <w:szCs w:val="20"/>
          <w:lang w:eastAsia="es-CO"/>
        </w:rPr>
        <w:t>(1) Plan de Aseguramiento del departamento de Santander con concepto favorable por aprobación del Comité Directivo del PDA, superando la meta para esta vigencia</w:t>
      </w:r>
      <w:r w:rsidRPr="00E4054A">
        <w:rPr>
          <w:sz w:val="22"/>
          <w:szCs w:val="20"/>
          <w:lang w:eastAsia="es-CO"/>
        </w:rPr>
        <w:t xml:space="preserve"> (28)</w:t>
      </w:r>
      <w:r w:rsidR="000851F9" w:rsidRPr="00E4054A">
        <w:rPr>
          <w:sz w:val="22"/>
          <w:szCs w:val="20"/>
          <w:lang w:eastAsia="es-CO"/>
        </w:rPr>
        <w:t xml:space="preserve">, sin embargo para el cuatrienio se tiene como meta 32 Planes.  </w:t>
      </w:r>
    </w:p>
    <w:p w:rsidR="00F22CD3" w:rsidRPr="00E4054A" w:rsidRDefault="000851F9" w:rsidP="000851F9">
      <w:pPr>
        <w:rPr>
          <w:sz w:val="22"/>
          <w:szCs w:val="20"/>
          <w:lang w:eastAsia="es-CO"/>
        </w:rPr>
      </w:pPr>
      <w:r w:rsidRPr="00E4054A">
        <w:rPr>
          <w:sz w:val="22"/>
          <w:szCs w:val="20"/>
          <w:lang w:eastAsia="es-CO"/>
        </w:rPr>
        <w:t>Como acciones para el cumplimiento de esta estrategia se elabora un informe de gestión consolidado trimestral con corte a septiembre 30 de 2017</w:t>
      </w:r>
      <w:r w:rsidR="00E03968" w:rsidRPr="00E4054A">
        <w:rPr>
          <w:sz w:val="22"/>
          <w:szCs w:val="20"/>
          <w:lang w:eastAsia="es-CO"/>
        </w:rPr>
        <w:t xml:space="preserve"> en el cual es posible identificar una ejecución de la iniciativa del 92%. </w:t>
      </w:r>
    </w:p>
    <w:p w:rsidR="000851F9" w:rsidRPr="00E4054A" w:rsidRDefault="00E03968" w:rsidP="000851F9">
      <w:pPr>
        <w:rPr>
          <w:sz w:val="22"/>
          <w:szCs w:val="20"/>
          <w:lang w:eastAsia="es-CO"/>
        </w:rPr>
      </w:pPr>
      <w:r w:rsidRPr="00E4054A">
        <w:rPr>
          <w:b/>
          <w:sz w:val="22"/>
          <w:szCs w:val="20"/>
          <w:lang w:eastAsia="es-CO"/>
        </w:rPr>
        <w:t xml:space="preserve">4. Brindar asistencia Técnica y/o financiera para el Desarrollo del programa de Conexiones </w:t>
      </w:r>
      <w:proofErr w:type="spellStart"/>
      <w:r w:rsidRPr="00E4054A">
        <w:rPr>
          <w:b/>
          <w:sz w:val="22"/>
          <w:szCs w:val="20"/>
          <w:lang w:eastAsia="es-CO"/>
        </w:rPr>
        <w:t>Intradomiciliarias</w:t>
      </w:r>
      <w:proofErr w:type="spellEnd"/>
      <w:r w:rsidRPr="00E4054A">
        <w:rPr>
          <w:b/>
          <w:sz w:val="22"/>
          <w:szCs w:val="20"/>
          <w:lang w:eastAsia="es-CO"/>
        </w:rPr>
        <w:t xml:space="preserve"> (PCI) de acuerdo con el Plan Nacional de Desarrollo.</w:t>
      </w:r>
      <w:r w:rsidRPr="00E4054A">
        <w:rPr>
          <w:sz w:val="22"/>
          <w:szCs w:val="20"/>
          <w:lang w:eastAsia="es-CO"/>
        </w:rPr>
        <w:t xml:space="preserve"> </w:t>
      </w:r>
      <w:r w:rsidR="000851F9" w:rsidRPr="00E4054A">
        <w:rPr>
          <w:sz w:val="22"/>
          <w:szCs w:val="20"/>
          <w:lang w:eastAsia="es-CO"/>
        </w:rPr>
        <w:t xml:space="preserve">En el transcurso de la vigencia 2017 se registran un 100% de las asistencias desarrolladas dado que se realizan por demanda y se han realizado en su totalidad. Como acciones para el cumplimiento de esta estrategia se elabora un informe de gestión consolidado trimestral con corte a septiembre 30 de 2017,  que </w:t>
      </w:r>
      <w:r w:rsidRPr="00E4054A">
        <w:rPr>
          <w:sz w:val="22"/>
          <w:szCs w:val="20"/>
          <w:lang w:eastAsia="es-CO"/>
        </w:rPr>
        <w:t xml:space="preserve">contiene la descripción de </w:t>
      </w:r>
      <w:r w:rsidR="008410CE" w:rsidRPr="00E4054A">
        <w:rPr>
          <w:sz w:val="22"/>
          <w:szCs w:val="20"/>
          <w:lang w:eastAsia="es-CO"/>
        </w:rPr>
        <w:t>las</w:t>
      </w:r>
      <w:r w:rsidRPr="00E4054A">
        <w:rPr>
          <w:sz w:val="22"/>
          <w:szCs w:val="20"/>
          <w:lang w:eastAsia="es-CO"/>
        </w:rPr>
        <w:t xml:space="preserve"> siguientes acciones</w:t>
      </w:r>
      <w:r w:rsidR="000851F9" w:rsidRPr="00E4054A">
        <w:rPr>
          <w:sz w:val="22"/>
          <w:szCs w:val="20"/>
          <w:lang w:eastAsia="es-CO"/>
        </w:rPr>
        <w:t>: Realizar seguimiento a los Municipios ya vinculados al PCI, Realizar la asignación de recursos para subsidios de PCI y Realizar la asistencia técnica acorde con lo estipulado en la resolución 494 de 2012 en el desarrollo de las etapas de promoción y/o estructuración de Municipios. Por lo anterior, el avance de la iniciativa es del 9</w:t>
      </w:r>
      <w:r w:rsidR="00F22CD3" w:rsidRPr="00E4054A">
        <w:rPr>
          <w:sz w:val="22"/>
          <w:szCs w:val="20"/>
          <w:lang w:eastAsia="es-CO"/>
        </w:rPr>
        <w:t>7.50</w:t>
      </w:r>
      <w:r w:rsidR="000851F9" w:rsidRPr="00E4054A">
        <w:rPr>
          <w:sz w:val="22"/>
          <w:szCs w:val="20"/>
          <w:lang w:eastAsia="es-CO"/>
        </w:rPr>
        <w:t>%.</w:t>
      </w:r>
    </w:p>
    <w:p w:rsidR="000851F9" w:rsidRDefault="00B07D7A" w:rsidP="000851F9">
      <w:pPr>
        <w:rPr>
          <w:sz w:val="22"/>
          <w:lang w:eastAsia="es-CO"/>
        </w:rPr>
      </w:pPr>
      <w:r w:rsidRPr="00124A49">
        <w:rPr>
          <w:noProof/>
          <w:bdr w:val="single" w:sz="12" w:space="0" w:color="auto"/>
          <w:lang w:eastAsia="es-CO"/>
        </w:rPr>
        <w:lastRenderedPageBreak/>
        <w:drawing>
          <wp:inline distT="0" distB="0" distL="0" distR="0" wp14:anchorId="666C201C" wp14:editId="5D18C350">
            <wp:extent cx="8170223" cy="5415148"/>
            <wp:effectExtent l="0" t="0" r="2540" b="0"/>
            <wp:docPr id="2478" name="Imagen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70217" cy="5415144"/>
                    </a:xfrm>
                    <a:prstGeom prst="rect">
                      <a:avLst/>
                    </a:prstGeom>
                    <a:noFill/>
                    <a:ln>
                      <a:noFill/>
                    </a:ln>
                  </pic:spPr>
                </pic:pic>
              </a:graphicData>
            </a:graphic>
          </wp:inline>
        </w:drawing>
      </w:r>
    </w:p>
    <w:p w:rsidR="00B07D7A" w:rsidRDefault="00B07D7A" w:rsidP="000851F9">
      <w:pPr>
        <w:rPr>
          <w:sz w:val="22"/>
          <w:lang w:eastAsia="es-CO"/>
        </w:rPr>
      </w:pPr>
    </w:p>
    <w:p w:rsidR="00B07D7A" w:rsidRDefault="00B07D7A" w:rsidP="000851F9">
      <w:pPr>
        <w:rPr>
          <w:sz w:val="22"/>
          <w:lang w:eastAsia="es-CO"/>
        </w:rPr>
      </w:pPr>
    </w:p>
    <w:p w:rsidR="008843E7" w:rsidRPr="00543148" w:rsidRDefault="008843E7" w:rsidP="00543148">
      <w:pPr>
        <w:pStyle w:val="Ttulo1"/>
        <w:spacing w:before="0" w:line="240" w:lineRule="auto"/>
        <w:jc w:val="center"/>
      </w:pPr>
      <w:bookmarkStart w:id="26" w:name="_Toc496861746"/>
      <w:r w:rsidRPr="00543148">
        <w:lastRenderedPageBreak/>
        <w:t xml:space="preserve">EJECUCION PRESUPUESTAL  AL 30 DE </w:t>
      </w:r>
      <w:r w:rsidR="000851F9" w:rsidRPr="00543148">
        <w:t>SEPTIEMBRE</w:t>
      </w:r>
      <w:r w:rsidRPr="00543148">
        <w:t xml:space="preserve"> DE 2017</w:t>
      </w:r>
      <w:bookmarkEnd w:id="26"/>
    </w:p>
    <w:p w:rsidR="00543148" w:rsidRDefault="008410CE" w:rsidP="00543148">
      <w:r w:rsidRPr="00543148">
        <w:rPr>
          <w:rFonts w:eastAsiaTheme="majorEastAsia" w:cstheme="majorBidi"/>
          <w:noProof/>
          <w:sz w:val="22"/>
          <w:lang w:eastAsia="es-CO"/>
        </w:rPr>
        <w:drawing>
          <wp:anchor distT="0" distB="0" distL="114300" distR="114300" simplePos="0" relativeHeight="251930624" behindDoc="0" locked="0" layoutInCell="1" allowOverlap="1" wp14:anchorId="5293348A" wp14:editId="74537D94">
            <wp:simplePos x="0" y="0"/>
            <wp:positionH relativeFrom="column">
              <wp:posOffset>653415</wp:posOffset>
            </wp:positionH>
            <wp:positionV relativeFrom="paragraph">
              <wp:posOffset>247015</wp:posOffset>
            </wp:positionV>
            <wp:extent cx="7248525" cy="4300855"/>
            <wp:effectExtent l="0" t="0" r="9525" b="444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48525" cy="4300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3E7" w:rsidRDefault="008843E7" w:rsidP="008843E7">
      <w:pPr>
        <w:jc w:val="center"/>
        <w:rPr>
          <w:rFonts w:asciiTheme="minorHAnsi" w:hAnsiTheme="minorHAnsi"/>
          <w:b/>
          <w:sz w:val="22"/>
          <w:szCs w:val="24"/>
        </w:rPr>
      </w:pPr>
    </w:p>
    <w:p w:rsidR="008843E7" w:rsidRDefault="008843E7" w:rsidP="00147039">
      <w:pPr>
        <w:ind w:left="2836"/>
        <w:rPr>
          <w:b/>
          <w:color w:val="AA2297"/>
          <w:sz w:val="36"/>
          <w:szCs w:val="36"/>
        </w:rPr>
      </w:pPr>
    </w:p>
    <w:p w:rsidR="00F22CD3" w:rsidRDefault="00F22CD3" w:rsidP="008843E7">
      <w:pPr>
        <w:jc w:val="center"/>
        <w:rPr>
          <w:rFonts w:eastAsia="Arial Narrow" w:cstheme="majorBidi"/>
          <w:b/>
          <w:bCs/>
          <w:sz w:val="28"/>
        </w:rPr>
      </w:pPr>
    </w:p>
    <w:p w:rsidR="008843E7" w:rsidRPr="00543148" w:rsidRDefault="00543148" w:rsidP="00543148">
      <w:pPr>
        <w:pStyle w:val="Ttulo1"/>
        <w:spacing w:before="0" w:line="240" w:lineRule="auto"/>
        <w:jc w:val="center"/>
      </w:pPr>
      <w:bookmarkStart w:id="27" w:name="_Toc496861747"/>
      <w:r w:rsidRPr="00543148">
        <w:lastRenderedPageBreak/>
        <w:t>EJECUCIÓN PRESUPUESTAL: SECTOR DE VIVIENDA, CIUDAD Y TERRITORIO</w:t>
      </w:r>
      <w:bookmarkEnd w:id="27"/>
    </w:p>
    <w:p w:rsidR="00473ACF" w:rsidRDefault="00473ACF" w:rsidP="00473ACF">
      <w:pPr>
        <w:rPr>
          <w:sz w:val="20"/>
          <w:highlight w:val="yellow"/>
          <w:lang w:eastAsia="es-CO"/>
        </w:rPr>
      </w:pPr>
    </w:p>
    <w:p w:rsidR="008843E7" w:rsidRDefault="00F22CD3" w:rsidP="00F22CD3">
      <w:pPr>
        <w:jc w:val="center"/>
        <w:rPr>
          <w:sz w:val="20"/>
          <w:highlight w:val="yellow"/>
          <w:lang w:eastAsia="es-CO"/>
        </w:rPr>
      </w:pPr>
      <w:r>
        <w:rPr>
          <w:noProof/>
          <w:sz w:val="20"/>
          <w:lang w:eastAsia="es-CO"/>
        </w:rPr>
        <w:drawing>
          <wp:inline distT="0" distB="0" distL="0" distR="0" wp14:anchorId="420582BD" wp14:editId="68755CC2">
            <wp:extent cx="6956973" cy="1888177"/>
            <wp:effectExtent l="0" t="0" r="0" b="0"/>
            <wp:docPr id="2477" name="Imagen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81351" cy="1894793"/>
                    </a:xfrm>
                    <a:prstGeom prst="rect">
                      <a:avLst/>
                    </a:prstGeom>
                    <a:noFill/>
                  </pic:spPr>
                </pic:pic>
              </a:graphicData>
            </a:graphic>
          </wp:inline>
        </w:drawing>
      </w:r>
    </w:p>
    <w:p w:rsidR="008843E7" w:rsidRDefault="008843E7" w:rsidP="00473ACF">
      <w:pPr>
        <w:rPr>
          <w:sz w:val="20"/>
          <w:highlight w:val="yellow"/>
          <w:lang w:eastAsia="es-CO"/>
        </w:rPr>
      </w:pPr>
    </w:p>
    <w:p w:rsidR="008843E7" w:rsidRDefault="00F22CD3" w:rsidP="00F22CD3">
      <w:pPr>
        <w:jc w:val="center"/>
        <w:rPr>
          <w:rFonts w:asciiTheme="minorHAnsi" w:hAnsiTheme="minorHAnsi"/>
          <w:noProof/>
          <w:sz w:val="22"/>
          <w:lang w:eastAsia="es-CO"/>
        </w:rPr>
      </w:pPr>
      <w:r>
        <w:rPr>
          <w:rFonts w:asciiTheme="minorHAnsi" w:hAnsiTheme="minorHAnsi"/>
          <w:noProof/>
          <w:sz w:val="22"/>
          <w:lang w:eastAsia="es-CO"/>
        </w:rPr>
        <w:drawing>
          <wp:inline distT="0" distB="0" distL="0" distR="0" wp14:anchorId="79745EFB" wp14:editId="006CC198">
            <wp:extent cx="7528955" cy="2016147"/>
            <wp:effectExtent l="0" t="0" r="0" b="3175"/>
            <wp:docPr id="2480" name="Imagen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25622" cy="2015254"/>
                    </a:xfrm>
                    <a:prstGeom prst="rect">
                      <a:avLst/>
                    </a:prstGeom>
                    <a:noFill/>
                  </pic:spPr>
                </pic:pic>
              </a:graphicData>
            </a:graphic>
          </wp:inline>
        </w:drawing>
      </w:r>
    </w:p>
    <w:p w:rsidR="008843E7" w:rsidRPr="00473ACF" w:rsidRDefault="00F22CD3" w:rsidP="00F22CD3">
      <w:pPr>
        <w:jc w:val="center"/>
        <w:rPr>
          <w:sz w:val="20"/>
          <w:highlight w:val="yellow"/>
          <w:lang w:eastAsia="es-CO"/>
        </w:rPr>
      </w:pPr>
      <w:r>
        <w:rPr>
          <w:rFonts w:asciiTheme="minorHAnsi" w:hAnsiTheme="minorHAnsi"/>
          <w:noProof/>
          <w:sz w:val="22"/>
          <w:lang w:eastAsia="es-CO"/>
        </w:rPr>
        <w:drawing>
          <wp:inline distT="0" distB="0" distL="0" distR="0" wp14:anchorId="674B81D0" wp14:editId="56BFFF19">
            <wp:extent cx="7077694" cy="651172"/>
            <wp:effectExtent l="0" t="0" r="0" b="0"/>
            <wp:docPr id="2481" name="Imagen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03606" cy="653556"/>
                    </a:xfrm>
                    <a:prstGeom prst="rect">
                      <a:avLst/>
                    </a:prstGeom>
                    <a:noFill/>
                  </pic:spPr>
                </pic:pic>
              </a:graphicData>
            </a:graphic>
          </wp:inline>
        </w:drawing>
      </w:r>
    </w:p>
    <w:sectPr w:rsidR="008843E7" w:rsidRPr="00473ACF" w:rsidSect="004D4903">
      <w:headerReference w:type="default" r:id="rId56"/>
      <w:footerReference w:type="default" r:id="rId57"/>
      <w:pgSz w:w="15840" w:h="12240" w:orient="landscape" w:code="1"/>
      <w:pgMar w:top="1560" w:right="1134" w:bottom="1134" w:left="1701" w:header="0" w:footer="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1A7" w:rsidRDefault="004E11A7" w:rsidP="00EE7EBE">
      <w:pPr>
        <w:spacing w:after="0" w:line="240" w:lineRule="auto"/>
      </w:pPr>
      <w:r>
        <w:separator/>
      </w:r>
    </w:p>
  </w:endnote>
  <w:endnote w:type="continuationSeparator" w:id="0">
    <w:p w:rsidR="004E11A7" w:rsidRDefault="004E11A7" w:rsidP="00EE7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uturaStd-ExtraBold">
    <w:altName w:val="Century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206" w:rsidRDefault="00E30206">
    <w:pPr>
      <w:pStyle w:val="Piedepgina"/>
    </w:pPr>
  </w:p>
  <w:p w:rsidR="00E30206" w:rsidRDefault="00E302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1A7" w:rsidRDefault="004E11A7" w:rsidP="00EE7EBE">
      <w:pPr>
        <w:spacing w:after="0" w:line="240" w:lineRule="auto"/>
      </w:pPr>
      <w:r>
        <w:separator/>
      </w:r>
    </w:p>
  </w:footnote>
  <w:footnote w:type="continuationSeparator" w:id="0">
    <w:p w:rsidR="004E11A7" w:rsidRDefault="004E11A7" w:rsidP="00EE7EBE">
      <w:pPr>
        <w:spacing w:after="0" w:line="240" w:lineRule="auto"/>
      </w:pPr>
      <w:r>
        <w:continuationSeparator/>
      </w:r>
    </w:p>
  </w:footnote>
  <w:footnote w:id="1">
    <w:p w:rsidR="00E30206" w:rsidRDefault="00E30206" w:rsidP="002471F9">
      <w:pPr>
        <w:pStyle w:val="Textonotapie"/>
      </w:pPr>
      <w:r>
        <w:rPr>
          <w:rStyle w:val="Refdenotaalpie"/>
        </w:rPr>
        <w:footnoteRef/>
      </w:r>
      <w:r>
        <w:t xml:space="preserve"> Por la cual se expiden normas que regulan el empleo público, la carrera administrativa, gerencia pública y se dictan otras disposiciones.</w:t>
      </w:r>
    </w:p>
  </w:footnote>
  <w:footnote w:id="2">
    <w:p w:rsidR="00E30206" w:rsidRDefault="00E30206" w:rsidP="002471F9">
      <w:pPr>
        <w:pStyle w:val="Textonotapie"/>
      </w:pPr>
      <w:r>
        <w:rPr>
          <w:rStyle w:val="Refdenotaalpie"/>
        </w:rPr>
        <w:footnoteRef/>
      </w:r>
      <w:r>
        <w:t xml:space="preserve"> 7. Plan de Trabajo Anual en SST: Debe diseñar y desarrollar un plan de trabajo anual para alcanzar cada uno de los objetivos propuestos en el Sistema de Gestión de la Seguridad y Salud en el Trabajo (SG-SST), el cual debe identificar claramente metas, responsabilidades, recursos y cronograma de actividades, en concordancia con los estándares mínimos del Sistema Obligatorio de Garantía de Calidad del Sistema General de Riesgos Laborales.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206" w:rsidRDefault="00E30206" w:rsidP="00EE7EBE">
    <w:pPr>
      <w:pStyle w:val="Encabezado"/>
      <w:jc w:val="right"/>
    </w:pPr>
    <w:r>
      <w:rPr>
        <w:noProof/>
        <w:lang w:eastAsia="es-CO"/>
      </w:rPr>
      <w:drawing>
        <wp:anchor distT="0" distB="0" distL="114300" distR="114300" simplePos="0" relativeHeight="251658240" behindDoc="0" locked="0" layoutInCell="1" allowOverlap="1" wp14:anchorId="14995FF1" wp14:editId="5B0259DF">
          <wp:simplePos x="0" y="0"/>
          <wp:positionH relativeFrom="column">
            <wp:posOffset>5387340</wp:posOffset>
          </wp:positionH>
          <wp:positionV relativeFrom="paragraph">
            <wp:posOffset>186055</wp:posOffset>
          </wp:positionV>
          <wp:extent cx="3294380" cy="748030"/>
          <wp:effectExtent l="0" t="0" r="127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4380" cy="7480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16CE"/>
      </v:shape>
    </w:pict>
  </w:numPicBullet>
  <w:abstractNum w:abstractNumId="0">
    <w:nsid w:val="00377A8F"/>
    <w:multiLevelType w:val="hybridMultilevel"/>
    <w:tmpl w:val="8E26B0C8"/>
    <w:lvl w:ilvl="0" w:tplc="2862BA4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048F0F0B"/>
    <w:multiLevelType w:val="hybridMultilevel"/>
    <w:tmpl w:val="A16E9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91646E7"/>
    <w:multiLevelType w:val="hybridMultilevel"/>
    <w:tmpl w:val="CDB0958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nsid w:val="0A273E22"/>
    <w:multiLevelType w:val="hybridMultilevel"/>
    <w:tmpl w:val="B6D0B9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1B17631"/>
    <w:multiLevelType w:val="hybridMultilevel"/>
    <w:tmpl w:val="04708C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3EC0376"/>
    <w:multiLevelType w:val="hybridMultilevel"/>
    <w:tmpl w:val="6C7E8FE6"/>
    <w:lvl w:ilvl="0" w:tplc="240A0001">
      <w:start w:val="1"/>
      <w:numFmt w:val="bullet"/>
      <w:lvlText w:val=""/>
      <w:lvlJc w:val="left"/>
      <w:pPr>
        <w:ind w:left="720" w:hanging="360"/>
      </w:pPr>
      <w:rPr>
        <w:rFonts w:ascii="Symbol" w:hAnsi="Symbol" w:hint="default"/>
      </w:rPr>
    </w:lvl>
    <w:lvl w:ilvl="1" w:tplc="330A54BA">
      <w:numFmt w:val="bullet"/>
      <w:lvlText w:val="-"/>
      <w:lvlJc w:val="left"/>
      <w:pPr>
        <w:ind w:left="1785" w:hanging="705"/>
      </w:pPr>
      <w:rPr>
        <w:rFonts w:ascii="Verdana" w:eastAsia="Times New Roman" w:hAnsi="Verdana"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DCD76EF"/>
    <w:multiLevelType w:val="hybridMultilevel"/>
    <w:tmpl w:val="83CEEB0E"/>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nsid w:val="1F425D99"/>
    <w:multiLevelType w:val="hybridMultilevel"/>
    <w:tmpl w:val="0AB624CE"/>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8">
    <w:nsid w:val="225C5976"/>
    <w:multiLevelType w:val="hybridMultilevel"/>
    <w:tmpl w:val="7B7A6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A319F4"/>
    <w:multiLevelType w:val="hybridMultilevel"/>
    <w:tmpl w:val="803C0E0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D5331A"/>
    <w:multiLevelType w:val="hybridMultilevel"/>
    <w:tmpl w:val="5CF6B870"/>
    <w:lvl w:ilvl="0" w:tplc="2862BA40">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1F54ED1"/>
    <w:multiLevelType w:val="hybridMultilevel"/>
    <w:tmpl w:val="C99C03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6FC151F"/>
    <w:multiLevelType w:val="hybridMultilevel"/>
    <w:tmpl w:val="1BAE30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A8123F6"/>
    <w:multiLevelType w:val="hybridMultilevel"/>
    <w:tmpl w:val="A7FE4C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2950C6E"/>
    <w:multiLevelType w:val="multilevel"/>
    <w:tmpl w:val="11CAE1C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nsid w:val="4B1C3088"/>
    <w:multiLevelType w:val="hybridMultilevel"/>
    <w:tmpl w:val="049AC7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15335EB"/>
    <w:multiLevelType w:val="hybridMultilevel"/>
    <w:tmpl w:val="6598F34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nsid w:val="52EE2A20"/>
    <w:multiLevelType w:val="hybridMultilevel"/>
    <w:tmpl w:val="7D02591E"/>
    <w:lvl w:ilvl="0" w:tplc="0C0A0007">
      <w:start w:val="1"/>
      <w:numFmt w:val="bullet"/>
      <w:lvlText w:val=""/>
      <w:lvlPicBulletId w:val="0"/>
      <w:lvlJc w:val="left"/>
      <w:pPr>
        <w:ind w:left="2216" w:hanging="360"/>
      </w:pPr>
      <w:rPr>
        <w:rFonts w:ascii="Symbol" w:hAnsi="Symbol" w:hint="default"/>
      </w:rPr>
    </w:lvl>
    <w:lvl w:ilvl="1" w:tplc="0C0A0003" w:tentative="1">
      <w:start w:val="1"/>
      <w:numFmt w:val="bullet"/>
      <w:lvlText w:val="o"/>
      <w:lvlJc w:val="left"/>
      <w:pPr>
        <w:ind w:left="2936" w:hanging="360"/>
      </w:pPr>
      <w:rPr>
        <w:rFonts w:ascii="Courier New" w:hAnsi="Courier New" w:cs="Courier New" w:hint="default"/>
      </w:rPr>
    </w:lvl>
    <w:lvl w:ilvl="2" w:tplc="0C0A0005" w:tentative="1">
      <w:start w:val="1"/>
      <w:numFmt w:val="bullet"/>
      <w:lvlText w:val=""/>
      <w:lvlJc w:val="left"/>
      <w:pPr>
        <w:ind w:left="3656" w:hanging="360"/>
      </w:pPr>
      <w:rPr>
        <w:rFonts w:ascii="Wingdings" w:hAnsi="Wingdings" w:hint="default"/>
      </w:rPr>
    </w:lvl>
    <w:lvl w:ilvl="3" w:tplc="0C0A0001" w:tentative="1">
      <w:start w:val="1"/>
      <w:numFmt w:val="bullet"/>
      <w:lvlText w:val=""/>
      <w:lvlJc w:val="left"/>
      <w:pPr>
        <w:ind w:left="4376" w:hanging="360"/>
      </w:pPr>
      <w:rPr>
        <w:rFonts w:ascii="Symbol" w:hAnsi="Symbol" w:hint="default"/>
      </w:rPr>
    </w:lvl>
    <w:lvl w:ilvl="4" w:tplc="0C0A0003" w:tentative="1">
      <w:start w:val="1"/>
      <w:numFmt w:val="bullet"/>
      <w:lvlText w:val="o"/>
      <w:lvlJc w:val="left"/>
      <w:pPr>
        <w:ind w:left="5096" w:hanging="360"/>
      </w:pPr>
      <w:rPr>
        <w:rFonts w:ascii="Courier New" w:hAnsi="Courier New" w:cs="Courier New" w:hint="default"/>
      </w:rPr>
    </w:lvl>
    <w:lvl w:ilvl="5" w:tplc="0C0A0005" w:tentative="1">
      <w:start w:val="1"/>
      <w:numFmt w:val="bullet"/>
      <w:lvlText w:val=""/>
      <w:lvlJc w:val="left"/>
      <w:pPr>
        <w:ind w:left="5816" w:hanging="360"/>
      </w:pPr>
      <w:rPr>
        <w:rFonts w:ascii="Wingdings" w:hAnsi="Wingdings" w:hint="default"/>
      </w:rPr>
    </w:lvl>
    <w:lvl w:ilvl="6" w:tplc="0C0A0001" w:tentative="1">
      <w:start w:val="1"/>
      <w:numFmt w:val="bullet"/>
      <w:lvlText w:val=""/>
      <w:lvlJc w:val="left"/>
      <w:pPr>
        <w:ind w:left="6536" w:hanging="360"/>
      </w:pPr>
      <w:rPr>
        <w:rFonts w:ascii="Symbol" w:hAnsi="Symbol" w:hint="default"/>
      </w:rPr>
    </w:lvl>
    <w:lvl w:ilvl="7" w:tplc="0C0A0003" w:tentative="1">
      <w:start w:val="1"/>
      <w:numFmt w:val="bullet"/>
      <w:lvlText w:val="o"/>
      <w:lvlJc w:val="left"/>
      <w:pPr>
        <w:ind w:left="7256" w:hanging="360"/>
      </w:pPr>
      <w:rPr>
        <w:rFonts w:ascii="Courier New" w:hAnsi="Courier New" w:cs="Courier New" w:hint="default"/>
      </w:rPr>
    </w:lvl>
    <w:lvl w:ilvl="8" w:tplc="0C0A0005" w:tentative="1">
      <w:start w:val="1"/>
      <w:numFmt w:val="bullet"/>
      <w:lvlText w:val=""/>
      <w:lvlJc w:val="left"/>
      <w:pPr>
        <w:ind w:left="7976" w:hanging="360"/>
      </w:pPr>
      <w:rPr>
        <w:rFonts w:ascii="Wingdings" w:hAnsi="Wingdings" w:hint="default"/>
      </w:rPr>
    </w:lvl>
  </w:abstractNum>
  <w:abstractNum w:abstractNumId="18">
    <w:nsid w:val="55AD1C33"/>
    <w:multiLevelType w:val="hybridMultilevel"/>
    <w:tmpl w:val="1D127E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nsid w:val="56221FDE"/>
    <w:multiLevelType w:val="hybridMultilevel"/>
    <w:tmpl w:val="255829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B5649FE"/>
    <w:multiLevelType w:val="hybridMultilevel"/>
    <w:tmpl w:val="C83055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479315A"/>
    <w:multiLevelType w:val="hybridMultilevel"/>
    <w:tmpl w:val="F90AA1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A2B49E2"/>
    <w:multiLevelType w:val="hybridMultilevel"/>
    <w:tmpl w:val="2F2E50D2"/>
    <w:lvl w:ilvl="0" w:tplc="240A0001">
      <w:start w:val="1"/>
      <w:numFmt w:val="bullet"/>
      <w:lvlText w:val=""/>
      <w:lvlJc w:val="left"/>
      <w:pPr>
        <w:ind w:left="2216" w:hanging="360"/>
      </w:pPr>
      <w:rPr>
        <w:rFonts w:ascii="Symbol" w:hAnsi="Symbol" w:hint="default"/>
      </w:rPr>
    </w:lvl>
    <w:lvl w:ilvl="1" w:tplc="0C0A0003" w:tentative="1">
      <w:start w:val="1"/>
      <w:numFmt w:val="bullet"/>
      <w:lvlText w:val="o"/>
      <w:lvlJc w:val="left"/>
      <w:pPr>
        <w:ind w:left="2936" w:hanging="360"/>
      </w:pPr>
      <w:rPr>
        <w:rFonts w:ascii="Courier New" w:hAnsi="Courier New" w:cs="Courier New" w:hint="default"/>
      </w:rPr>
    </w:lvl>
    <w:lvl w:ilvl="2" w:tplc="0C0A0005" w:tentative="1">
      <w:start w:val="1"/>
      <w:numFmt w:val="bullet"/>
      <w:lvlText w:val=""/>
      <w:lvlJc w:val="left"/>
      <w:pPr>
        <w:ind w:left="3656" w:hanging="360"/>
      </w:pPr>
      <w:rPr>
        <w:rFonts w:ascii="Wingdings" w:hAnsi="Wingdings" w:hint="default"/>
      </w:rPr>
    </w:lvl>
    <w:lvl w:ilvl="3" w:tplc="0C0A0001" w:tentative="1">
      <w:start w:val="1"/>
      <w:numFmt w:val="bullet"/>
      <w:lvlText w:val=""/>
      <w:lvlJc w:val="left"/>
      <w:pPr>
        <w:ind w:left="4376" w:hanging="360"/>
      </w:pPr>
      <w:rPr>
        <w:rFonts w:ascii="Symbol" w:hAnsi="Symbol" w:hint="default"/>
      </w:rPr>
    </w:lvl>
    <w:lvl w:ilvl="4" w:tplc="0C0A0003" w:tentative="1">
      <w:start w:val="1"/>
      <w:numFmt w:val="bullet"/>
      <w:lvlText w:val="o"/>
      <w:lvlJc w:val="left"/>
      <w:pPr>
        <w:ind w:left="5096" w:hanging="360"/>
      </w:pPr>
      <w:rPr>
        <w:rFonts w:ascii="Courier New" w:hAnsi="Courier New" w:cs="Courier New" w:hint="default"/>
      </w:rPr>
    </w:lvl>
    <w:lvl w:ilvl="5" w:tplc="0C0A0005" w:tentative="1">
      <w:start w:val="1"/>
      <w:numFmt w:val="bullet"/>
      <w:lvlText w:val=""/>
      <w:lvlJc w:val="left"/>
      <w:pPr>
        <w:ind w:left="5816" w:hanging="360"/>
      </w:pPr>
      <w:rPr>
        <w:rFonts w:ascii="Wingdings" w:hAnsi="Wingdings" w:hint="default"/>
      </w:rPr>
    </w:lvl>
    <w:lvl w:ilvl="6" w:tplc="0C0A0001" w:tentative="1">
      <w:start w:val="1"/>
      <w:numFmt w:val="bullet"/>
      <w:lvlText w:val=""/>
      <w:lvlJc w:val="left"/>
      <w:pPr>
        <w:ind w:left="6536" w:hanging="360"/>
      </w:pPr>
      <w:rPr>
        <w:rFonts w:ascii="Symbol" w:hAnsi="Symbol" w:hint="default"/>
      </w:rPr>
    </w:lvl>
    <w:lvl w:ilvl="7" w:tplc="0C0A0003" w:tentative="1">
      <w:start w:val="1"/>
      <w:numFmt w:val="bullet"/>
      <w:lvlText w:val="o"/>
      <w:lvlJc w:val="left"/>
      <w:pPr>
        <w:ind w:left="7256" w:hanging="360"/>
      </w:pPr>
      <w:rPr>
        <w:rFonts w:ascii="Courier New" w:hAnsi="Courier New" w:cs="Courier New" w:hint="default"/>
      </w:rPr>
    </w:lvl>
    <w:lvl w:ilvl="8" w:tplc="0C0A0005" w:tentative="1">
      <w:start w:val="1"/>
      <w:numFmt w:val="bullet"/>
      <w:lvlText w:val=""/>
      <w:lvlJc w:val="left"/>
      <w:pPr>
        <w:ind w:left="7976" w:hanging="360"/>
      </w:pPr>
      <w:rPr>
        <w:rFonts w:ascii="Wingdings" w:hAnsi="Wingdings" w:hint="default"/>
      </w:rPr>
    </w:lvl>
  </w:abstractNum>
  <w:abstractNum w:abstractNumId="23">
    <w:nsid w:val="6A51754C"/>
    <w:multiLevelType w:val="hybridMultilevel"/>
    <w:tmpl w:val="4DD0BD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CAC4515"/>
    <w:multiLevelType w:val="hybridMultilevel"/>
    <w:tmpl w:val="FC4C7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D2D1FC4"/>
    <w:multiLevelType w:val="hybridMultilevel"/>
    <w:tmpl w:val="38CC7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28359F3"/>
    <w:multiLevelType w:val="hybridMultilevel"/>
    <w:tmpl w:val="F768E540"/>
    <w:lvl w:ilvl="0" w:tplc="240A0001">
      <w:start w:val="1"/>
      <w:numFmt w:val="bullet"/>
      <w:lvlText w:val=""/>
      <w:lvlJc w:val="left"/>
      <w:pPr>
        <w:ind w:left="720" w:hanging="360"/>
      </w:pPr>
      <w:rPr>
        <w:rFonts w:ascii="Symbol" w:hAnsi="Symbol" w:hint="default"/>
      </w:rPr>
    </w:lvl>
    <w:lvl w:ilvl="1" w:tplc="8BCEC48A">
      <w:numFmt w:val="bullet"/>
      <w:lvlText w:val="•"/>
      <w:lvlJc w:val="left"/>
      <w:pPr>
        <w:ind w:left="1785" w:hanging="705"/>
      </w:pPr>
      <w:rPr>
        <w:rFonts w:ascii="Verdana" w:eastAsia="Arial Narrow" w:hAnsi="Verdana"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6A454E5"/>
    <w:multiLevelType w:val="hybridMultilevel"/>
    <w:tmpl w:val="B52ABB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9BD264F"/>
    <w:multiLevelType w:val="hybridMultilevel"/>
    <w:tmpl w:val="FC6EC3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D5D361E"/>
    <w:multiLevelType w:val="hybridMultilevel"/>
    <w:tmpl w:val="651E8A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14"/>
  </w:num>
  <w:num w:numId="4">
    <w:abstractNumId w:val="1"/>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5"/>
  </w:num>
  <w:num w:numId="8">
    <w:abstractNumId w:val="19"/>
  </w:num>
  <w:num w:numId="9">
    <w:abstractNumId w:val="18"/>
  </w:num>
  <w:num w:numId="10">
    <w:abstractNumId w:val="24"/>
  </w:num>
  <w:num w:numId="11">
    <w:abstractNumId w:val="8"/>
  </w:num>
  <w:num w:numId="12">
    <w:abstractNumId w:val="21"/>
  </w:num>
  <w:num w:numId="13">
    <w:abstractNumId w:val="27"/>
  </w:num>
  <w:num w:numId="14">
    <w:abstractNumId w:val="3"/>
  </w:num>
  <w:num w:numId="15">
    <w:abstractNumId w:val="25"/>
  </w:num>
  <w:num w:numId="16">
    <w:abstractNumId w:val="4"/>
  </w:num>
  <w:num w:numId="17">
    <w:abstractNumId w:val="11"/>
  </w:num>
  <w:num w:numId="18">
    <w:abstractNumId w:val="13"/>
  </w:num>
  <w:num w:numId="19">
    <w:abstractNumId w:val="12"/>
  </w:num>
  <w:num w:numId="20">
    <w:abstractNumId w:val="17"/>
  </w:num>
  <w:num w:numId="21">
    <w:abstractNumId w:val="6"/>
  </w:num>
  <w:num w:numId="22">
    <w:abstractNumId w:val="22"/>
  </w:num>
  <w:num w:numId="23">
    <w:abstractNumId w:val="2"/>
  </w:num>
  <w:num w:numId="24">
    <w:abstractNumId w:val="0"/>
  </w:num>
  <w:num w:numId="25">
    <w:abstractNumId w:val="10"/>
  </w:num>
  <w:num w:numId="26">
    <w:abstractNumId w:val="29"/>
  </w:num>
  <w:num w:numId="27">
    <w:abstractNumId w:val="28"/>
  </w:num>
  <w:num w:numId="28">
    <w:abstractNumId w:val="20"/>
  </w:num>
  <w:num w:numId="29">
    <w:abstractNumId w:val="23"/>
  </w:num>
  <w:num w:numId="30">
    <w:abstractNumId w:val="9"/>
  </w:num>
  <w:num w:numId="31">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A05"/>
    <w:rsid w:val="00002B70"/>
    <w:rsid w:val="00015C3F"/>
    <w:rsid w:val="00017394"/>
    <w:rsid w:val="00021CDB"/>
    <w:rsid w:val="00023702"/>
    <w:rsid w:val="00026587"/>
    <w:rsid w:val="00026C5C"/>
    <w:rsid w:val="00027226"/>
    <w:rsid w:val="00032004"/>
    <w:rsid w:val="000333E5"/>
    <w:rsid w:val="000341B5"/>
    <w:rsid w:val="00041EFD"/>
    <w:rsid w:val="00044C69"/>
    <w:rsid w:val="000456A2"/>
    <w:rsid w:val="00054A26"/>
    <w:rsid w:val="00056B8E"/>
    <w:rsid w:val="00064254"/>
    <w:rsid w:val="000660E1"/>
    <w:rsid w:val="00067F96"/>
    <w:rsid w:val="00070814"/>
    <w:rsid w:val="00071852"/>
    <w:rsid w:val="00073F69"/>
    <w:rsid w:val="000834A0"/>
    <w:rsid w:val="00083F9B"/>
    <w:rsid w:val="00084629"/>
    <w:rsid w:val="000851F9"/>
    <w:rsid w:val="00086A6E"/>
    <w:rsid w:val="000903B8"/>
    <w:rsid w:val="00091693"/>
    <w:rsid w:val="000A052C"/>
    <w:rsid w:val="000A1F6B"/>
    <w:rsid w:val="000A2BC1"/>
    <w:rsid w:val="000A4386"/>
    <w:rsid w:val="000B1CB5"/>
    <w:rsid w:val="000B2DFD"/>
    <w:rsid w:val="000B7EB5"/>
    <w:rsid w:val="000C5BF6"/>
    <w:rsid w:val="000D1CFA"/>
    <w:rsid w:val="000D5C73"/>
    <w:rsid w:val="000D678C"/>
    <w:rsid w:val="000D778D"/>
    <w:rsid w:val="000E0FFB"/>
    <w:rsid w:val="000E2796"/>
    <w:rsid w:val="000E5071"/>
    <w:rsid w:val="000F0D90"/>
    <w:rsid w:val="000F2261"/>
    <w:rsid w:val="000F66A3"/>
    <w:rsid w:val="000F6F70"/>
    <w:rsid w:val="001012E6"/>
    <w:rsid w:val="001029B5"/>
    <w:rsid w:val="001127E2"/>
    <w:rsid w:val="0011294D"/>
    <w:rsid w:val="00113657"/>
    <w:rsid w:val="00113AC0"/>
    <w:rsid w:val="00113E0D"/>
    <w:rsid w:val="00121811"/>
    <w:rsid w:val="0012221C"/>
    <w:rsid w:val="0012401F"/>
    <w:rsid w:val="00124A49"/>
    <w:rsid w:val="0012513B"/>
    <w:rsid w:val="00135C0C"/>
    <w:rsid w:val="00136F33"/>
    <w:rsid w:val="001414A1"/>
    <w:rsid w:val="00147039"/>
    <w:rsid w:val="001474BF"/>
    <w:rsid w:val="00147894"/>
    <w:rsid w:val="001533C0"/>
    <w:rsid w:val="0015457F"/>
    <w:rsid w:val="00160933"/>
    <w:rsid w:val="001639FE"/>
    <w:rsid w:val="0016408B"/>
    <w:rsid w:val="001675B2"/>
    <w:rsid w:val="0017542B"/>
    <w:rsid w:val="00175E2E"/>
    <w:rsid w:val="00180497"/>
    <w:rsid w:val="001805DD"/>
    <w:rsid w:val="00180C6E"/>
    <w:rsid w:val="00180EC0"/>
    <w:rsid w:val="00182309"/>
    <w:rsid w:val="00182E92"/>
    <w:rsid w:val="00184D82"/>
    <w:rsid w:val="001918ED"/>
    <w:rsid w:val="001A1833"/>
    <w:rsid w:val="001A1E1A"/>
    <w:rsid w:val="001B518C"/>
    <w:rsid w:val="001B5C19"/>
    <w:rsid w:val="001D273D"/>
    <w:rsid w:val="001D2DFC"/>
    <w:rsid w:val="001D3EB6"/>
    <w:rsid w:val="001E66CD"/>
    <w:rsid w:val="001E681B"/>
    <w:rsid w:val="001E75B8"/>
    <w:rsid w:val="001F27FA"/>
    <w:rsid w:val="001F5621"/>
    <w:rsid w:val="0020422A"/>
    <w:rsid w:val="00205CE0"/>
    <w:rsid w:val="0020721E"/>
    <w:rsid w:val="00207A5E"/>
    <w:rsid w:val="00211820"/>
    <w:rsid w:val="00230EAE"/>
    <w:rsid w:val="0023327E"/>
    <w:rsid w:val="00233F6B"/>
    <w:rsid w:val="00240823"/>
    <w:rsid w:val="00240F78"/>
    <w:rsid w:val="00242F97"/>
    <w:rsid w:val="00244DD7"/>
    <w:rsid w:val="00245C1E"/>
    <w:rsid w:val="002471F9"/>
    <w:rsid w:val="0024731C"/>
    <w:rsid w:val="00255F8D"/>
    <w:rsid w:val="00263CC6"/>
    <w:rsid w:val="002746FF"/>
    <w:rsid w:val="00276014"/>
    <w:rsid w:val="002835F6"/>
    <w:rsid w:val="00292770"/>
    <w:rsid w:val="002927FF"/>
    <w:rsid w:val="002A3D5B"/>
    <w:rsid w:val="002A5F6D"/>
    <w:rsid w:val="002A7F53"/>
    <w:rsid w:val="002B06FC"/>
    <w:rsid w:val="002B1F5E"/>
    <w:rsid w:val="002B7776"/>
    <w:rsid w:val="002C1162"/>
    <w:rsid w:val="002C3429"/>
    <w:rsid w:val="002C49B7"/>
    <w:rsid w:val="002E040A"/>
    <w:rsid w:val="002E06B1"/>
    <w:rsid w:val="002E57AF"/>
    <w:rsid w:val="002F1FBF"/>
    <w:rsid w:val="002F2F32"/>
    <w:rsid w:val="002F5153"/>
    <w:rsid w:val="00307938"/>
    <w:rsid w:val="00313F5A"/>
    <w:rsid w:val="00316A7D"/>
    <w:rsid w:val="00320D4A"/>
    <w:rsid w:val="0032357C"/>
    <w:rsid w:val="00324C66"/>
    <w:rsid w:val="00326D3B"/>
    <w:rsid w:val="00334FBB"/>
    <w:rsid w:val="0033774E"/>
    <w:rsid w:val="00337A8F"/>
    <w:rsid w:val="00347591"/>
    <w:rsid w:val="00347F53"/>
    <w:rsid w:val="003525B7"/>
    <w:rsid w:val="00354A05"/>
    <w:rsid w:val="00354EC2"/>
    <w:rsid w:val="003603C9"/>
    <w:rsid w:val="00361388"/>
    <w:rsid w:val="003638D2"/>
    <w:rsid w:val="00363C85"/>
    <w:rsid w:val="00365824"/>
    <w:rsid w:val="00371B5B"/>
    <w:rsid w:val="00371B74"/>
    <w:rsid w:val="00374233"/>
    <w:rsid w:val="00375D3E"/>
    <w:rsid w:val="00376889"/>
    <w:rsid w:val="003819DA"/>
    <w:rsid w:val="0038216A"/>
    <w:rsid w:val="0038632F"/>
    <w:rsid w:val="00392103"/>
    <w:rsid w:val="00392AEF"/>
    <w:rsid w:val="00395E77"/>
    <w:rsid w:val="003A3C1F"/>
    <w:rsid w:val="003A66C3"/>
    <w:rsid w:val="003A674E"/>
    <w:rsid w:val="003A7030"/>
    <w:rsid w:val="003B31BE"/>
    <w:rsid w:val="003B5DD2"/>
    <w:rsid w:val="003B6E2E"/>
    <w:rsid w:val="003C293C"/>
    <w:rsid w:val="003C3D6D"/>
    <w:rsid w:val="003C4C94"/>
    <w:rsid w:val="003C51B9"/>
    <w:rsid w:val="003C6D7B"/>
    <w:rsid w:val="003C7C95"/>
    <w:rsid w:val="003D0695"/>
    <w:rsid w:val="003D30A1"/>
    <w:rsid w:val="003D39C0"/>
    <w:rsid w:val="003D745F"/>
    <w:rsid w:val="003E2240"/>
    <w:rsid w:val="003E27D6"/>
    <w:rsid w:val="003E78EB"/>
    <w:rsid w:val="003F410B"/>
    <w:rsid w:val="003F44AB"/>
    <w:rsid w:val="003F50E0"/>
    <w:rsid w:val="003F5186"/>
    <w:rsid w:val="003F7532"/>
    <w:rsid w:val="004014E1"/>
    <w:rsid w:val="0040492C"/>
    <w:rsid w:val="0041359D"/>
    <w:rsid w:val="00417C94"/>
    <w:rsid w:val="00423412"/>
    <w:rsid w:val="004275F7"/>
    <w:rsid w:val="00432F65"/>
    <w:rsid w:val="004514F4"/>
    <w:rsid w:val="0045313D"/>
    <w:rsid w:val="00455BE1"/>
    <w:rsid w:val="004563E5"/>
    <w:rsid w:val="00460D8C"/>
    <w:rsid w:val="00462B84"/>
    <w:rsid w:val="00463A01"/>
    <w:rsid w:val="00465638"/>
    <w:rsid w:val="00465831"/>
    <w:rsid w:val="00465F0F"/>
    <w:rsid w:val="00466A7B"/>
    <w:rsid w:val="0047372B"/>
    <w:rsid w:val="00473ACF"/>
    <w:rsid w:val="00475981"/>
    <w:rsid w:val="00484C05"/>
    <w:rsid w:val="00485309"/>
    <w:rsid w:val="004859A0"/>
    <w:rsid w:val="00490386"/>
    <w:rsid w:val="00491AE2"/>
    <w:rsid w:val="004922EC"/>
    <w:rsid w:val="00493A52"/>
    <w:rsid w:val="00497CB0"/>
    <w:rsid w:val="004A2495"/>
    <w:rsid w:val="004B2B76"/>
    <w:rsid w:val="004B5DDA"/>
    <w:rsid w:val="004C240E"/>
    <w:rsid w:val="004C5315"/>
    <w:rsid w:val="004C5AFB"/>
    <w:rsid w:val="004D348E"/>
    <w:rsid w:val="004D350B"/>
    <w:rsid w:val="004D4903"/>
    <w:rsid w:val="004D5520"/>
    <w:rsid w:val="004D7FC1"/>
    <w:rsid w:val="004E11A7"/>
    <w:rsid w:val="004E6C24"/>
    <w:rsid w:val="004F00D5"/>
    <w:rsid w:val="004F463E"/>
    <w:rsid w:val="004F5648"/>
    <w:rsid w:val="004F5763"/>
    <w:rsid w:val="004F63D9"/>
    <w:rsid w:val="004F75BA"/>
    <w:rsid w:val="00505970"/>
    <w:rsid w:val="0050663F"/>
    <w:rsid w:val="00506EE7"/>
    <w:rsid w:val="005119D9"/>
    <w:rsid w:val="0051542A"/>
    <w:rsid w:val="00516A55"/>
    <w:rsid w:val="0052078E"/>
    <w:rsid w:val="00520FF2"/>
    <w:rsid w:val="00522A03"/>
    <w:rsid w:val="00522EF8"/>
    <w:rsid w:val="00531A25"/>
    <w:rsid w:val="00535FB9"/>
    <w:rsid w:val="00543148"/>
    <w:rsid w:val="00550895"/>
    <w:rsid w:val="00551B73"/>
    <w:rsid w:val="00553645"/>
    <w:rsid w:val="005551F4"/>
    <w:rsid w:val="00555B59"/>
    <w:rsid w:val="00561855"/>
    <w:rsid w:val="00561A7D"/>
    <w:rsid w:val="00580172"/>
    <w:rsid w:val="005806E1"/>
    <w:rsid w:val="00580C5C"/>
    <w:rsid w:val="005812C8"/>
    <w:rsid w:val="00584F2C"/>
    <w:rsid w:val="0058556D"/>
    <w:rsid w:val="0059405C"/>
    <w:rsid w:val="005A322B"/>
    <w:rsid w:val="005A3648"/>
    <w:rsid w:val="005A525D"/>
    <w:rsid w:val="005B24A0"/>
    <w:rsid w:val="005B4305"/>
    <w:rsid w:val="005B5BE2"/>
    <w:rsid w:val="005C0BDF"/>
    <w:rsid w:val="005C1BCB"/>
    <w:rsid w:val="005C5517"/>
    <w:rsid w:val="005D077B"/>
    <w:rsid w:val="005D16DD"/>
    <w:rsid w:val="005D3906"/>
    <w:rsid w:val="005D5B40"/>
    <w:rsid w:val="005D63B6"/>
    <w:rsid w:val="005D7B50"/>
    <w:rsid w:val="005E06AF"/>
    <w:rsid w:val="005E4DE5"/>
    <w:rsid w:val="005E7C3E"/>
    <w:rsid w:val="005F43E3"/>
    <w:rsid w:val="005F7F15"/>
    <w:rsid w:val="006023A1"/>
    <w:rsid w:val="00606597"/>
    <w:rsid w:val="006068DC"/>
    <w:rsid w:val="00610A60"/>
    <w:rsid w:val="00614A68"/>
    <w:rsid w:val="00617957"/>
    <w:rsid w:val="006304E1"/>
    <w:rsid w:val="0063464A"/>
    <w:rsid w:val="0063703A"/>
    <w:rsid w:val="00637D97"/>
    <w:rsid w:val="00640AB4"/>
    <w:rsid w:val="00650181"/>
    <w:rsid w:val="0065292E"/>
    <w:rsid w:val="00655E06"/>
    <w:rsid w:val="00662E96"/>
    <w:rsid w:val="006648A5"/>
    <w:rsid w:val="0069023A"/>
    <w:rsid w:val="0069092B"/>
    <w:rsid w:val="00692333"/>
    <w:rsid w:val="0069298F"/>
    <w:rsid w:val="00696963"/>
    <w:rsid w:val="00696A35"/>
    <w:rsid w:val="00696AA6"/>
    <w:rsid w:val="006A3CF5"/>
    <w:rsid w:val="006A43CF"/>
    <w:rsid w:val="006A5CDA"/>
    <w:rsid w:val="006A62C6"/>
    <w:rsid w:val="006A6CDD"/>
    <w:rsid w:val="006B19D2"/>
    <w:rsid w:val="006B2DC4"/>
    <w:rsid w:val="006B48AD"/>
    <w:rsid w:val="006B50E0"/>
    <w:rsid w:val="006B520E"/>
    <w:rsid w:val="006B57DA"/>
    <w:rsid w:val="006B5DCD"/>
    <w:rsid w:val="006C4E7E"/>
    <w:rsid w:val="006D22B1"/>
    <w:rsid w:val="006D396C"/>
    <w:rsid w:val="006D57B1"/>
    <w:rsid w:val="006D5A5F"/>
    <w:rsid w:val="006E1539"/>
    <w:rsid w:val="006E4D78"/>
    <w:rsid w:val="006E6931"/>
    <w:rsid w:val="006F1167"/>
    <w:rsid w:val="006F3342"/>
    <w:rsid w:val="006F5329"/>
    <w:rsid w:val="0070004E"/>
    <w:rsid w:val="00700A74"/>
    <w:rsid w:val="00704ED4"/>
    <w:rsid w:val="007059DB"/>
    <w:rsid w:val="0071100F"/>
    <w:rsid w:val="007125B8"/>
    <w:rsid w:val="007147EF"/>
    <w:rsid w:val="007148DF"/>
    <w:rsid w:val="00717E91"/>
    <w:rsid w:val="007207EF"/>
    <w:rsid w:val="0072685D"/>
    <w:rsid w:val="007269ED"/>
    <w:rsid w:val="00730955"/>
    <w:rsid w:val="007309E4"/>
    <w:rsid w:val="00731A3E"/>
    <w:rsid w:val="00734C9C"/>
    <w:rsid w:val="00734F82"/>
    <w:rsid w:val="007419D3"/>
    <w:rsid w:val="00743D2C"/>
    <w:rsid w:val="0075042C"/>
    <w:rsid w:val="00750522"/>
    <w:rsid w:val="0075056A"/>
    <w:rsid w:val="00751124"/>
    <w:rsid w:val="007546F2"/>
    <w:rsid w:val="007559AB"/>
    <w:rsid w:val="00755D4F"/>
    <w:rsid w:val="00756E82"/>
    <w:rsid w:val="007606C3"/>
    <w:rsid w:val="0076480C"/>
    <w:rsid w:val="00764BE7"/>
    <w:rsid w:val="00766E23"/>
    <w:rsid w:val="00773142"/>
    <w:rsid w:val="00774854"/>
    <w:rsid w:val="00776B87"/>
    <w:rsid w:val="007777BC"/>
    <w:rsid w:val="0078396D"/>
    <w:rsid w:val="007862A7"/>
    <w:rsid w:val="007907E0"/>
    <w:rsid w:val="00791156"/>
    <w:rsid w:val="00792ABF"/>
    <w:rsid w:val="0079352D"/>
    <w:rsid w:val="0079624A"/>
    <w:rsid w:val="00797009"/>
    <w:rsid w:val="007A4FCE"/>
    <w:rsid w:val="007A6666"/>
    <w:rsid w:val="007A7C27"/>
    <w:rsid w:val="007B0F24"/>
    <w:rsid w:val="007B21FD"/>
    <w:rsid w:val="007B2AF0"/>
    <w:rsid w:val="007B41A9"/>
    <w:rsid w:val="007B5965"/>
    <w:rsid w:val="007B5DCD"/>
    <w:rsid w:val="007C355E"/>
    <w:rsid w:val="007C4C01"/>
    <w:rsid w:val="007C590F"/>
    <w:rsid w:val="007C7AD2"/>
    <w:rsid w:val="007D18EB"/>
    <w:rsid w:val="007E02C9"/>
    <w:rsid w:val="007E0C5E"/>
    <w:rsid w:val="007E4FEC"/>
    <w:rsid w:val="007E5E95"/>
    <w:rsid w:val="007F0000"/>
    <w:rsid w:val="007F7E50"/>
    <w:rsid w:val="008015CC"/>
    <w:rsid w:val="0080603E"/>
    <w:rsid w:val="008079AE"/>
    <w:rsid w:val="008113BA"/>
    <w:rsid w:val="00814167"/>
    <w:rsid w:val="00815F90"/>
    <w:rsid w:val="00820AF3"/>
    <w:rsid w:val="00822A39"/>
    <w:rsid w:val="00830410"/>
    <w:rsid w:val="00833C4A"/>
    <w:rsid w:val="0083620A"/>
    <w:rsid w:val="0083793E"/>
    <w:rsid w:val="00837A4B"/>
    <w:rsid w:val="008410CE"/>
    <w:rsid w:val="008420AB"/>
    <w:rsid w:val="00847BB2"/>
    <w:rsid w:val="00850A3D"/>
    <w:rsid w:val="0086183A"/>
    <w:rsid w:val="008654BE"/>
    <w:rsid w:val="0086672F"/>
    <w:rsid w:val="00873A63"/>
    <w:rsid w:val="008742A6"/>
    <w:rsid w:val="00875F7F"/>
    <w:rsid w:val="008773A9"/>
    <w:rsid w:val="00883D32"/>
    <w:rsid w:val="008843E7"/>
    <w:rsid w:val="0089237D"/>
    <w:rsid w:val="00894886"/>
    <w:rsid w:val="00897B19"/>
    <w:rsid w:val="008A348A"/>
    <w:rsid w:val="008A3BCC"/>
    <w:rsid w:val="008A4DCA"/>
    <w:rsid w:val="008A5612"/>
    <w:rsid w:val="008B043D"/>
    <w:rsid w:val="008B3523"/>
    <w:rsid w:val="008B41AD"/>
    <w:rsid w:val="008C24C4"/>
    <w:rsid w:val="008D03C1"/>
    <w:rsid w:val="008D26B9"/>
    <w:rsid w:val="008D3FF3"/>
    <w:rsid w:val="008E2A60"/>
    <w:rsid w:val="008E406A"/>
    <w:rsid w:val="008F0D7D"/>
    <w:rsid w:val="008F1AC0"/>
    <w:rsid w:val="008F3D8A"/>
    <w:rsid w:val="008F6960"/>
    <w:rsid w:val="00902726"/>
    <w:rsid w:val="00905161"/>
    <w:rsid w:val="009054CD"/>
    <w:rsid w:val="0090685A"/>
    <w:rsid w:val="00911A5C"/>
    <w:rsid w:val="00912C87"/>
    <w:rsid w:val="00915396"/>
    <w:rsid w:val="0092108C"/>
    <w:rsid w:val="009216A2"/>
    <w:rsid w:val="009216A8"/>
    <w:rsid w:val="00923C31"/>
    <w:rsid w:val="0092559C"/>
    <w:rsid w:val="00925D1B"/>
    <w:rsid w:val="00926830"/>
    <w:rsid w:val="00927AD1"/>
    <w:rsid w:val="00935362"/>
    <w:rsid w:val="00935746"/>
    <w:rsid w:val="00936AE7"/>
    <w:rsid w:val="00937C29"/>
    <w:rsid w:val="0094076B"/>
    <w:rsid w:val="009415A8"/>
    <w:rsid w:val="009420A4"/>
    <w:rsid w:val="00944169"/>
    <w:rsid w:val="00953688"/>
    <w:rsid w:val="0095639B"/>
    <w:rsid w:val="00964E2A"/>
    <w:rsid w:val="0096510A"/>
    <w:rsid w:val="00967536"/>
    <w:rsid w:val="00967557"/>
    <w:rsid w:val="00971AF7"/>
    <w:rsid w:val="00973AEA"/>
    <w:rsid w:val="009749B9"/>
    <w:rsid w:val="00977FAF"/>
    <w:rsid w:val="00980897"/>
    <w:rsid w:val="009813BD"/>
    <w:rsid w:val="00985D3F"/>
    <w:rsid w:val="009866CC"/>
    <w:rsid w:val="00992C42"/>
    <w:rsid w:val="00996B9B"/>
    <w:rsid w:val="00997690"/>
    <w:rsid w:val="009A7055"/>
    <w:rsid w:val="009A7A87"/>
    <w:rsid w:val="009B0A7E"/>
    <w:rsid w:val="009B45D3"/>
    <w:rsid w:val="009B6AA4"/>
    <w:rsid w:val="009B7D8C"/>
    <w:rsid w:val="009C3294"/>
    <w:rsid w:val="009C4B52"/>
    <w:rsid w:val="009D2B1E"/>
    <w:rsid w:val="009E00C8"/>
    <w:rsid w:val="009E08AF"/>
    <w:rsid w:val="009F6E89"/>
    <w:rsid w:val="00A0064E"/>
    <w:rsid w:val="00A01FBB"/>
    <w:rsid w:val="00A07145"/>
    <w:rsid w:val="00A1246A"/>
    <w:rsid w:val="00A25123"/>
    <w:rsid w:val="00A25315"/>
    <w:rsid w:val="00A2566F"/>
    <w:rsid w:val="00A256FB"/>
    <w:rsid w:val="00A30E4B"/>
    <w:rsid w:val="00A324EA"/>
    <w:rsid w:val="00A327F2"/>
    <w:rsid w:val="00A34B46"/>
    <w:rsid w:val="00A35F46"/>
    <w:rsid w:val="00A36DE0"/>
    <w:rsid w:val="00A40C46"/>
    <w:rsid w:val="00A40DF3"/>
    <w:rsid w:val="00A46088"/>
    <w:rsid w:val="00A473F4"/>
    <w:rsid w:val="00A56438"/>
    <w:rsid w:val="00A56B7D"/>
    <w:rsid w:val="00A56C40"/>
    <w:rsid w:val="00A6020F"/>
    <w:rsid w:val="00A60233"/>
    <w:rsid w:val="00A64A6E"/>
    <w:rsid w:val="00A654C0"/>
    <w:rsid w:val="00A70133"/>
    <w:rsid w:val="00A70463"/>
    <w:rsid w:val="00A8422C"/>
    <w:rsid w:val="00A861CF"/>
    <w:rsid w:val="00A86398"/>
    <w:rsid w:val="00A86DD7"/>
    <w:rsid w:val="00A9031F"/>
    <w:rsid w:val="00A90B93"/>
    <w:rsid w:val="00A91B3A"/>
    <w:rsid w:val="00AA099F"/>
    <w:rsid w:val="00AA19D6"/>
    <w:rsid w:val="00AA5AB0"/>
    <w:rsid w:val="00AA7C9E"/>
    <w:rsid w:val="00AB3350"/>
    <w:rsid w:val="00AB478B"/>
    <w:rsid w:val="00AB5AEE"/>
    <w:rsid w:val="00AB5BEF"/>
    <w:rsid w:val="00AB6FC8"/>
    <w:rsid w:val="00AC39BC"/>
    <w:rsid w:val="00AC5010"/>
    <w:rsid w:val="00AC5422"/>
    <w:rsid w:val="00AC7CFD"/>
    <w:rsid w:val="00AD1450"/>
    <w:rsid w:val="00AD60BB"/>
    <w:rsid w:val="00AD79A6"/>
    <w:rsid w:val="00AE0D76"/>
    <w:rsid w:val="00AE4014"/>
    <w:rsid w:val="00AF1016"/>
    <w:rsid w:val="00AF17DC"/>
    <w:rsid w:val="00AF3356"/>
    <w:rsid w:val="00B01424"/>
    <w:rsid w:val="00B0194C"/>
    <w:rsid w:val="00B07BAA"/>
    <w:rsid w:val="00B07D7A"/>
    <w:rsid w:val="00B1123B"/>
    <w:rsid w:val="00B12FE9"/>
    <w:rsid w:val="00B13EA0"/>
    <w:rsid w:val="00B14E06"/>
    <w:rsid w:val="00B152FC"/>
    <w:rsid w:val="00B15E54"/>
    <w:rsid w:val="00B21FB5"/>
    <w:rsid w:val="00B23707"/>
    <w:rsid w:val="00B23D49"/>
    <w:rsid w:val="00B245A2"/>
    <w:rsid w:val="00B30CCD"/>
    <w:rsid w:val="00B33C22"/>
    <w:rsid w:val="00B40D9B"/>
    <w:rsid w:val="00B4708C"/>
    <w:rsid w:val="00B51A31"/>
    <w:rsid w:val="00B534B1"/>
    <w:rsid w:val="00B5361C"/>
    <w:rsid w:val="00B54464"/>
    <w:rsid w:val="00B547EA"/>
    <w:rsid w:val="00B55AA1"/>
    <w:rsid w:val="00B56B1A"/>
    <w:rsid w:val="00B56F86"/>
    <w:rsid w:val="00B63561"/>
    <w:rsid w:val="00B668BE"/>
    <w:rsid w:val="00B7124D"/>
    <w:rsid w:val="00B74324"/>
    <w:rsid w:val="00B74E3E"/>
    <w:rsid w:val="00B75A73"/>
    <w:rsid w:val="00B80204"/>
    <w:rsid w:val="00B82C98"/>
    <w:rsid w:val="00B8322A"/>
    <w:rsid w:val="00B9027A"/>
    <w:rsid w:val="00BA180E"/>
    <w:rsid w:val="00BB16C5"/>
    <w:rsid w:val="00BB17B0"/>
    <w:rsid w:val="00BC2024"/>
    <w:rsid w:val="00BC28C0"/>
    <w:rsid w:val="00BC4F56"/>
    <w:rsid w:val="00BD092A"/>
    <w:rsid w:val="00BD1A53"/>
    <w:rsid w:val="00BD21B7"/>
    <w:rsid w:val="00BD354F"/>
    <w:rsid w:val="00BD3E73"/>
    <w:rsid w:val="00BE1A58"/>
    <w:rsid w:val="00BE21CA"/>
    <w:rsid w:val="00BE2669"/>
    <w:rsid w:val="00BE48BD"/>
    <w:rsid w:val="00BE5082"/>
    <w:rsid w:val="00BF0313"/>
    <w:rsid w:val="00BF27DB"/>
    <w:rsid w:val="00BF43BB"/>
    <w:rsid w:val="00BF66DC"/>
    <w:rsid w:val="00C109D5"/>
    <w:rsid w:val="00C11F76"/>
    <w:rsid w:val="00C13C1B"/>
    <w:rsid w:val="00C15CC1"/>
    <w:rsid w:val="00C23DDB"/>
    <w:rsid w:val="00C23F28"/>
    <w:rsid w:val="00C25210"/>
    <w:rsid w:val="00C34B07"/>
    <w:rsid w:val="00C35CC6"/>
    <w:rsid w:val="00C36C3F"/>
    <w:rsid w:val="00C4024F"/>
    <w:rsid w:val="00C40D61"/>
    <w:rsid w:val="00C42CF7"/>
    <w:rsid w:val="00C451BE"/>
    <w:rsid w:val="00C45DA3"/>
    <w:rsid w:val="00C473EA"/>
    <w:rsid w:val="00C52B58"/>
    <w:rsid w:val="00C55F43"/>
    <w:rsid w:val="00C561A7"/>
    <w:rsid w:val="00C61D75"/>
    <w:rsid w:val="00C63969"/>
    <w:rsid w:val="00C65028"/>
    <w:rsid w:val="00C65A05"/>
    <w:rsid w:val="00C73BED"/>
    <w:rsid w:val="00C73C6B"/>
    <w:rsid w:val="00C76D66"/>
    <w:rsid w:val="00C76F51"/>
    <w:rsid w:val="00C80BAB"/>
    <w:rsid w:val="00C81FD2"/>
    <w:rsid w:val="00C82A66"/>
    <w:rsid w:val="00C82BD2"/>
    <w:rsid w:val="00C94F2A"/>
    <w:rsid w:val="00CB08CC"/>
    <w:rsid w:val="00CB1643"/>
    <w:rsid w:val="00CB3865"/>
    <w:rsid w:val="00CB4076"/>
    <w:rsid w:val="00CB70B8"/>
    <w:rsid w:val="00CC17A4"/>
    <w:rsid w:val="00CE3D0E"/>
    <w:rsid w:val="00CE5BEC"/>
    <w:rsid w:val="00CE7F38"/>
    <w:rsid w:val="00CF55E2"/>
    <w:rsid w:val="00CF78DC"/>
    <w:rsid w:val="00D0164F"/>
    <w:rsid w:val="00D02EAB"/>
    <w:rsid w:val="00D07705"/>
    <w:rsid w:val="00D1176C"/>
    <w:rsid w:val="00D15C13"/>
    <w:rsid w:val="00D25080"/>
    <w:rsid w:val="00D3017C"/>
    <w:rsid w:val="00D30B5F"/>
    <w:rsid w:val="00D333EF"/>
    <w:rsid w:val="00D3757D"/>
    <w:rsid w:val="00D37968"/>
    <w:rsid w:val="00D37AC5"/>
    <w:rsid w:val="00D4257A"/>
    <w:rsid w:val="00D44EBE"/>
    <w:rsid w:val="00D467DB"/>
    <w:rsid w:val="00D47439"/>
    <w:rsid w:val="00D54E40"/>
    <w:rsid w:val="00D54F70"/>
    <w:rsid w:val="00D564BD"/>
    <w:rsid w:val="00D65D86"/>
    <w:rsid w:val="00D673E2"/>
    <w:rsid w:val="00D70A71"/>
    <w:rsid w:val="00D73945"/>
    <w:rsid w:val="00D77711"/>
    <w:rsid w:val="00D81364"/>
    <w:rsid w:val="00D8578C"/>
    <w:rsid w:val="00D9166E"/>
    <w:rsid w:val="00D92978"/>
    <w:rsid w:val="00D92E15"/>
    <w:rsid w:val="00D9304A"/>
    <w:rsid w:val="00D93654"/>
    <w:rsid w:val="00D94993"/>
    <w:rsid w:val="00D94EF2"/>
    <w:rsid w:val="00DA17E6"/>
    <w:rsid w:val="00DA6068"/>
    <w:rsid w:val="00DA723D"/>
    <w:rsid w:val="00DA728A"/>
    <w:rsid w:val="00DA7FF7"/>
    <w:rsid w:val="00DB08A1"/>
    <w:rsid w:val="00DC1CB8"/>
    <w:rsid w:val="00DC2358"/>
    <w:rsid w:val="00DC3954"/>
    <w:rsid w:val="00DC4857"/>
    <w:rsid w:val="00DC4A09"/>
    <w:rsid w:val="00DC710A"/>
    <w:rsid w:val="00DD1C46"/>
    <w:rsid w:val="00DD2D1C"/>
    <w:rsid w:val="00DD480F"/>
    <w:rsid w:val="00DD4CB7"/>
    <w:rsid w:val="00DD5C5D"/>
    <w:rsid w:val="00DE0009"/>
    <w:rsid w:val="00DE2C2D"/>
    <w:rsid w:val="00DE6CDD"/>
    <w:rsid w:val="00DF1663"/>
    <w:rsid w:val="00DF5D01"/>
    <w:rsid w:val="00E01828"/>
    <w:rsid w:val="00E03968"/>
    <w:rsid w:val="00E05547"/>
    <w:rsid w:val="00E131FA"/>
    <w:rsid w:val="00E16CF7"/>
    <w:rsid w:val="00E16DB3"/>
    <w:rsid w:val="00E21543"/>
    <w:rsid w:val="00E26E4C"/>
    <w:rsid w:val="00E26FD8"/>
    <w:rsid w:val="00E30206"/>
    <w:rsid w:val="00E31738"/>
    <w:rsid w:val="00E31D36"/>
    <w:rsid w:val="00E328A3"/>
    <w:rsid w:val="00E35F75"/>
    <w:rsid w:val="00E36E01"/>
    <w:rsid w:val="00E37DE5"/>
    <w:rsid w:val="00E4054A"/>
    <w:rsid w:val="00E429C0"/>
    <w:rsid w:val="00E47D7C"/>
    <w:rsid w:val="00E54C19"/>
    <w:rsid w:val="00E706F7"/>
    <w:rsid w:val="00E7381B"/>
    <w:rsid w:val="00E73F96"/>
    <w:rsid w:val="00E8259E"/>
    <w:rsid w:val="00E922DD"/>
    <w:rsid w:val="00E93160"/>
    <w:rsid w:val="00E93B5B"/>
    <w:rsid w:val="00E945BD"/>
    <w:rsid w:val="00E95725"/>
    <w:rsid w:val="00EA6CA7"/>
    <w:rsid w:val="00EB0438"/>
    <w:rsid w:val="00EB4D55"/>
    <w:rsid w:val="00EC0661"/>
    <w:rsid w:val="00EC4867"/>
    <w:rsid w:val="00EC54C0"/>
    <w:rsid w:val="00ED43E6"/>
    <w:rsid w:val="00EE0579"/>
    <w:rsid w:val="00EE2D0E"/>
    <w:rsid w:val="00EE41CE"/>
    <w:rsid w:val="00EE4BD9"/>
    <w:rsid w:val="00EE50C9"/>
    <w:rsid w:val="00EE7EBE"/>
    <w:rsid w:val="00EF1092"/>
    <w:rsid w:val="00F0360B"/>
    <w:rsid w:val="00F05D6F"/>
    <w:rsid w:val="00F10A82"/>
    <w:rsid w:val="00F11EDD"/>
    <w:rsid w:val="00F12BED"/>
    <w:rsid w:val="00F1465B"/>
    <w:rsid w:val="00F16B6A"/>
    <w:rsid w:val="00F22CD3"/>
    <w:rsid w:val="00F236A9"/>
    <w:rsid w:val="00F242DB"/>
    <w:rsid w:val="00F25529"/>
    <w:rsid w:val="00F26BCF"/>
    <w:rsid w:val="00F309CD"/>
    <w:rsid w:val="00F35721"/>
    <w:rsid w:val="00F37208"/>
    <w:rsid w:val="00F41C91"/>
    <w:rsid w:val="00F47939"/>
    <w:rsid w:val="00F5569F"/>
    <w:rsid w:val="00F60B12"/>
    <w:rsid w:val="00F62B2F"/>
    <w:rsid w:val="00F666C6"/>
    <w:rsid w:val="00F717E0"/>
    <w:rsid w:val="00F71D5E"/>
    <w:rsid w:val="00F722FA"/>
    <w:rsid w:val="00F74E6B"/>
    <w:rsid w:val="00F75461"/>
    <w:rsid w:val="00F824B0"/>
    <w:rsid w:val="00F82CE2"/>
    <w:rsid w:val="00F8380A"/>
    <w:rsid w:val="00F918F0"/>
    <w:rsid w:val="00F9219C"/>
    <w:rsid w:val="00FA11CE"/>
    <w:rsid w:val="00FB172E"/>
    <w:rsid w:val="00FB254F"/>
    <w:rsid w:val="00FB39BA"/>
    <w:rsid w:val="00FB3AFA"/>
    <w:rsid w:val="00FC36A2"/>
    <w:rsid w:val="00FC64A6"/>
    <w:rsid w:val="00FC6AD4"/>
    <w:rsid w:val="00FD128C"/>
    <w:rsid w:val="00FD176A"/>
    <w:rsid w:val="00FD4C80"/>
    <w:rsid w:val="00FD5BC6"/>
    <w:rsid w:val="00FE14F8"/>
    <w:rsid w:val="00FE238C"/>
    <w:rsid w:val="00FE3EB4"/>
    <w:rsid w:val="00FF45F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4A6"/>
    <w:pPr>
      <w:jc w:val="both"/>
    </w:pPr>
    <w:rPr>
      <w:rFonts w:ascii="Verdana" w:hAnsi="Verdana"/>
      <w:sz w:val="24"/>
    </w:rPr>
  </w:style>
  <w:style w:type="paragraph" w:styleId="Ttulo1">
    <w:name w:val="heading 1"/>
    <w:basedOn w:val="Normal"/>
    <w:next w:val="Normal"/>
    <w:link w:val="Ttulo1Car"/>
    <w:uiPriority w:val="9"/>
    <w:qFormat/>
    <w:rsid w:val="003F410B"/>
    <w:pPr>
      <w:keepNext/>
      <w:keepLines/>
      <w:spacing w:before="480" w:after="0"/>
      <w:jc w:val="left"/>
      <w:outlineLvl w:val="0"/>
    </w:pPr>
    <w:rPr>
      <w:rFonts w:eastAsiaTheme="majorEastAsia" w:cstheme="majorBidi"/>
      <w:b/>
      <w:bCs/>
      <w:sz w:val="28"/>
      <w:szCs w:val="28"/>
    </w:rPr>
  </w:style>
  <w:style w:type="paragraph" w:styleId="Ttulo2">
    <w:name w:val="heading 2"/>
    <w:basedOn w:val="Normal"/>
    <w:next w:val="Normal"/>
    <w:link w:val="Ttulo2Car"/>
    <w:qFormat/>
    <w:rsid w:val="00850A3D"/>
    <w:pPr>
      <w:keepNext/>
      <w:spacing w:after="0" w:line="240" w:lineRule="auto"/>
      <w:jc w:val="left"/>
      <w:outlineLvl w:val="1"/>
    </w:pPr>
    <w:rPr>
      <w:rFonts w:ascii="Arial" w:eastAsia="Times New Roman" w:hAnsi="Arial" w:cs="Times New Roman"/>
      <w:b/>
      <w:sz w:val="28"/>
      <w:szCs w:val="20"/>
      <w:lang w:val="es-ES" w:eastAsia="es-ES"/>
    </w:rPr>
  </w:style>
  <w:style w:type="paragraph" w:styleId="Ttulo3">
    <w:name w:val="heading 3"/>
    <w:basedOn w:val="Normal"/>
    <w:next w:val="Normal"/>
    <w:link w:val="Ttulo3Car"/>
    <w:uiPriority w:val="9"/>
    <w:semiHidden/>
    <w:unhideWhenUsed/>
    <w:qFormat/>
    <w:rsid w:val="0020721E"/>
    <w:pPr>
      <w:keepNext/>
      <w:keepLines/>
      <w:spacing w:before="200" w:after="0" w:line="240" w:lineRule="auto"/>
      <w:outlineLvl w:val="2"/>
    </w:pPr>
    <w:rPr>
      <w:rFonts w:asciiTheme="majorHAnsi" w:eastAsiaTheme="majorEastAsia" w:hAnsiTheme="majorHAnsi" w:cstheme="majorBidi"/>
      <w:b/>
      <w:bCs/>
      <w:color w:val="5B9BD5" w:themeColor="accent1"/>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410B"/>
    <w:rPr>
      <w:rFonts w:ascii="Verdana" w:eastAsiaTheme="majorEastAsia" w:hAnsi="Verdana" w:cstheme="majorBidi"/>
      <w:b/>
      <w:bCs/>
      <w:sz w:val="28"/>
      <w:szCs w:val="28"/>
    </w:rPr>
  </w:style>
  <w:style w:type="character" w:customStyle="1" w:styleId="Ttulo2Car">
    <w:name w:val="Título 2 Car"/>
    <w:basedOn w:val="Fuentedeprrafopredeter"/>
    <w:link w:val="Ttulo2"/>
    <w:rsid w:val="00850A3D"/>
    <w:rPr>
      <w:rFonts w:ascii="Arial" w:eastAsia="Times New Roman" w:hAnsi="Arial" w:cs="Times New Roman"/>
      <w:b/>
      <w:sz w:val="28"/>
      <w:szCs w:val="20"/>
      <w:lang w:val="es-ES" w:eastAsia="es-ES"/>
    </w:rPr>
  </w:style>
  <w:style w:type="character" w:customStyle="1" w:styleId="Ttulo3Car">
    <w:name w:val="Título 3 Car"/>
    <w:basedOn w:val="Fuentedeprrafopredeter"/>
    <w:link w:val="Ttulo3"/>
    <w:uiPriority w:val="9"/>
    <w:semiHidden/>
    <w:rsid w:val="0020721E"/>
    <w:rPr>
      <w:rFonts w:asciiTheme="majorHAnsi" w:eastAsiaTheme="majorEastAsia" w:hAnsiTheme="majorHAnsi" w:cstheme="majorBidi"/>
      <w:b/>
      <w:bCs/>
      <w:color w:val="5B9BD5" w:themeColor="accent1"/>
      <w:sz w:val="24"/>
      <w:szCs w:val="24"/>
      <w:lang w:eastAsia="es-ES"/>
    </w:rPr>
  </w:style>
  <w:style w:type="paragraph" w:styleId="Textodeglobo">
    <w:name w:val="Balloon Text"/>
    <w:basedOn w:val="Normal"/>
    <w:link w:val="TextodegloboCar"/>
    <w:uiPriority w:val="99"/>
    <w:semiHidden/>
    <w:unhideWhenUsed/>
    <w:rsid w:val="00C65A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5A05"/>
    <w:rPr>
      <w:rFonts w:ascii="Tahoma" w:hAnsi="Tahoma" w:cs="Tahoma"/>
      <w:sz w:val="16"/>
      <w:szCs w:val="16"/>
    </w:rPr>
  </w:style>
  <w:style w:type="paragraph" w:styleId="NormalWeb">
    <w:name w:val="Normal (Web)"/>
    <w:aliases w:val="Normal (Web) Car Car,Normal (Web) Car Car Car,Normal (Web) Car,Normal (Web) Car Car Car Car Car Car,Normal (Web) Car Car Car Car Car Car Car Car Car"/>
    <w:basedOn w:val="Normal"/>
    <w:uiPriority w:val="99"/>
    <w:semiHidden/>
    <w:unhideWhenUsed/>
    <w:qFormat/>
    <w:rsid w:val="00395E77"/>
    <w:pPr>
      <w:spacing w:before="100" w:beforeAutospacing="1" w:after="100" w:afterAutospacing="1" w:line="240" w:lineRule="auto"/>
    </w:pPr>
    <w:rPr>
      <w:rFonts w:ascii="Times New Roman" w:eastAsiaTheme="minorEastAsia" w:hAnsi="Times New Roman" w:cs="Times New Roman"/>
      <w:szCs w:val="24"/>
      <w:lang w:eastAsia="es-CO"/>
    </w:rPr>
  </w:style>
  <w:style w:type="paragraph" w:styleId="Prrafodelista">
    <w:name w:val="List Paragraph"/>
    <w:aliases w:val="titulo 3,Bullets,Lista vistosa - Énfasis 11,Párrafo de lista1,HOJA,Bolita,Guión,Párrafo de lista31,BOLA,Párrafo de lista21,BOLADEF,Titulo 8,Párrafo de lista5,Colorful List - Accent 11,Colorful List - Accent 12,List,Fluvial1,Ha,Titlu 3"/>
    <w:basedOn w:val="Normal"/>
    <w:link w:val="PrrafodelistaCar"/>
    <w:uiPriority w:val="34"/>
    <w:qFormat/>
    <w:rsid w:val="00915396"/>
    <w:pPr>
      <w:ind w:left="720"/>
      <w:contextualSpacing/>
    </w:pPr>
  </w:style>
  <w:style w:type="character" w:customStyle="1" w:styleId="PrrafodelistaCar">
    <w:name w:val="Párrafo de lista Car"/>
    <w:aliases w:val="titulo 3 Car,Bullets Car,Lista vistosa - Énfasis 11 Car,Párrafo de lista1 Car,HOJA Car,Bolita Car,Guión Car,Párrafo de lista31 Car,BOLA Car,Párrafo de lista21 Car,BOLADEF Car,Titulo 8 Car,Párrafo de lista5 Car,List Car,Fluvial1 Car"/>
    <w:link w:val="Prrafodelista"/>
    <w:uiPriority w:val="34"/>
    <w:locked/>
    <w:rsid w:val="007C7AD2"/>
    <w:rPr>
      <w:rFonts w:ascii="Verdana" w:hAnsi="Verdana"/>
      <w:sz w:val="24"/>
    </w:rPr>
  </w:style>
  <w:style w:type="character" w:styleId="Hipervnculo">
    <w:name w:val="Hyperlink"/>
    <w:basedOn w:val="Fuentedeprrafopredeter"/>
    <w:uiPriority w:val="99"/>
    <w:unhideWhenUsed/>
    <w:rsid w:val="00915396"/>
    <w:rPr>
      <w:color w:val="0563C1" w:themeColor="hyperlink"/>
      <w:u w:val="single"/>
    </w:rPr>
  </w:style>
  <w:style w:type="paragraph" w:styleId="Encabezado">
    <w:name w:val="header"/>
    <w:aliases w:val="Encabezado1"/>
    <w:basedOn w:val="Normal"/>
    <w:link w:val="EncabezadoCar"/>
    <w:unhideWhenUsed/>
    <w:rsid w:val="00EE7EBE"/>
    <w:pPr>
      <w:tabs>
        <w:tab w:val="center" w:pos="4419"/>
        <w:tab w:val="right" w:pos="8838"/>
      </w:tabs>
      <w:spacing w:after="0" w:line="240" w:lineRule="auto"/>
    </w:pPr>
  </w:style>
  <w:style w:type="character" w:customStyle="1" w:styleId="EncabezadoCar">
    <w:name w:val="Encabezado Car"/>
    <w:aliases w:val="Encabezado1 Car"/>
    <w:basedOn w:val="Fuentedeprrafopredeter"/>
    <w:link w:val="Encabezado"/>
    <w:rsid w:val="00EE7EBE"/>
  </w:style>
  <w:style w:type="paragraph" w:styleId="Piedepgina">
    <w:name w:val="footer"/>
    <w:basedOn w:val="Normal"/>
    <w:link w:val="PiedepginaCar"/>
    <w:uiPriority w:val="99"/>
    <w:unhideWhenUsed/>
    <w:rsid w:val="00EE7E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7EBE"/>
  </w:style>
  <w:style w:type="table" w:styleId="Sombreadovistoso-nfasis4">
    <w:name w:val="Colorful Shading Accent 4"/>
    <w:basedOn w:val="Tablanormal"/>
    <w:uiPriority w:val="71"/>
    <w:rsid w:val="00CB70B8"/>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Sombreadomedio2-nfasis3">
    <w:name w:val="Medium Shading 2 Accent 3"/>
    <w:basedOn w:val="Tablanormal"/>
    <w:uiPriority w:val="64"/>
    <w:rsid w:val="00CB70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2">
    <w:name w:val="Medium Grid 3 Accent 2"/>
    <w:basedOn w:val="Tablanormal"/>
    <w:uiPriority w:val="69"/>
    <w:rsid w:val="00CB70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styleId="TtulodeTDC">
    <w:name w:val="TOC Heading"/>
    <w:basedOn w:val="Ttulo1"/>
    <w:next w:val="Normal"/>
    <w:uiPriority w:val="39"/>
    <w:unhideWhenUsed/>
    <w:qFormat/>
    <w:rsid w:val="007D18EB"/>
    <w:pPr>
      <w:spacing w:line="276" w:lineRule="auto"/>
      <w:outlineLvl w:val="9"/>
    </w:pPr>
    <w:rPr>
      <w:lang w:eastAsia="es-CO"/>
    </w:rPr>
  </w:style>
  <w:style w:type="paragraph" w:styleId="TDC1">
    <w:name w:val="toc 1"/>
    <w:basedOn w:val="Normal"/>
    <w:next w:val="Normal"/>
    <w:autoRedefine/>
    <w:uiPriority w:val="39"/>
    <w:unhideWhenUsed/>
    <w:rsid w:val="009749B9"/>
    <w:pPr>
      <w:tabs>
        <w:tab w:val="left" w:pos="0"/>
        <w:tab w:val="right" w:leader="dot" w:pos="12900"/>
      </w:tabs>
      <w:spacing w:after="100"/>
    </w:pPr>
  </w:style>
  <w:style w:type="character" w:styleId="Refdecomentario">
    <w:name w:val="annotation reference"/>
    <w:basedOn w:val="Fuentedeprrafopredeter"/>
    <w:uiPriority w:val="99"/>
    <w:semiHidden/>
    <w:unhideWhenUsed/>
    <w:rsid w:val="002835F6"/>
    <w:rPr>
      <w:sz w:val="16"/>
      <w:szCs w:val="16"/>
    </w:rPr>
  </w:style>
  <w:style w:type="paragraph" w:styleId="Textocomentario">
    <w:name w:val="annotation text"/>
    <w:basedOn w:val="Normal"/>
    <w:link w:val="TextocomentarioCar"/>
    <w:uiPriority w:val="99"/>
    <w:semiHidden/>
    <w:unhideWhenUsed/>
    <w:rsid w:val="002835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5F6"/>
    <w:rPr>
      <w:sz w:val="20"/>
      <w:szCs w:val="20"/>
    </w:rPr>
  </w:style>
  <w:style w:type="paragraph" w:styleId="Asuntodelcomentario">
    <w:name w:val="annotation subject"/>
    <w:basedOn w:val="Textocomentario"/>
    <w:next w:val="Textocomentario"/>
    <w:link w:val="AsuntodelcomentarioCar"/>
    <w:uiPriority w:val="99"/>
    <w:semiHidden/>
    <w:unhideWhenUsed/>
    <w:rsid w:val="002835F6"/>
    <w:rPr>
      <w:b/>
      <w:bCs/>
    </w:rPr>
  </w:style>
  <w:style w:type="character" w:customStyle="1" w:styleId="AsuntodelcomentarioCar">
    <w:name w:val="Asunto del comentario Car"/>
    <w:basedOn w:val="TextocomentarioCar"/>
    <w:link w:val="Asuntodelcomentario"/>
    <w:uiPriority w:val="99"/>
    <w:semiHidden/>
    <w:rsid w:val="002835F6"/>
    <w:rPr>
      <w:b/>
      <w:bCs/>
      <w:sz w:val="20"/>
      <w:szCs w:val="20"/>
    </w:rPr>
  </w:style>
  <w:style w:type="paragraph" w:customStyle="1" w:styleId="epgrafe">
    <w:name w:val="epgrafe"/>
    <w:basedOn w:val="Normal"/>
    <w:rsid w:val="007C7AD2"/>
    <w:pPr>
      <w:spacing w:before="100" w:beforeAutospacing="1" w:after="100" w:afterAutospacing="1" w:line="240" w:lineRule="auto"/>
    </w:pPr>
    <w:rPr>
      <w:rFonts w:ascii="Times New Roman" w:eastAsia="Calibri" w:hAnsi="Times New Roman" w:cs="Times New Roman"/>
      <w:szCs w:val="24"/>
      <w:lang w:val="es-ES" w:eastAsia="es-ES"/>
    </w:rPr>
  </w:style>
  <w:style w:type="paragraph" w:customStyle="1" w:styleId="Default">
    <w:name w:val="Default"/>
    <w:basedOn w:val="Normal"/>
    <w:rsid w:val="004D348E"/>
    <w:pPr>
      <w:autoSpaceDE w:val="0"/>
      <w:autoSpaceDN w:val="0"/>
      <w:spacing w:after="0" w:line="240" w:lineRule="auto"/>
    </w:pPr>
    <w:rPr>
      <w:rFonts w:ascii="Bookman Old Style" w:eastAsia="MS Mincho" w:hAnsi="Bookman Old Style" w:cs="Times New Roman"/>
      <w:color w:val="000000"/>
      <w:szCs w:val="24"/>
      <w:lang w:eastAsia="es-CO"/>
    </w:rPr>
  </w:style>
  <w:style w:type="paragraph" w:customStyle="1" w:styleId="Textoindependiente31">
    <w:name w:val="Texto independiente 31"/>
    <w:basedOn w:val="Normal"/>
    <w:rsid w:val="0020721E"/>
    <w:pPr>
      <w:widowControl w:val="0"/>
      <w:spacing w:after="0" w:line="240" w:lineRule="auto"/>
    </w:pPr>
    <w:rPr>
      <w:rFonts w:ascii="Arial" w:eastAsia="Times New Roman" w:hAnsi="Arial" w:cs="Arial"/>
      <w:szCs w:val="24"/>
      <w:lang w:val="es-ES" w:eastAsia="es-ES"/>
    </w:rPr>
  </w:style>
  <w:style w:type="paragraph" w:styleId="Textodebloque">
    <w:name w:val="Block Text"/>
    <w:basedOn w:val="Normal"/>
    <w:rsid w:val="0020721E"/>
    <w:pPr>
      <w:tabs>
        <w:tab w:val="left" w:pos="0"/>
        <w:tab w:val="left" w:pos="284"/>
      </w:tabs>
      <w:overflowPunct w:val="0"/>
      <w:autoSpaceDE w:val="0"/>
      <w:autoSpaceDN w:val="0"/>
      <w:adjustRightInd w:val="0"/>
      <w:spacing w:after="0" w:line="240" w:lineRule="auto"/>
      <w:ind w:left="284" w:right="51"/>
      <w:textAlignment w:val="baseline"/>
    </w:pPr>
    <w:rPr>
      <w:rFonts w:ascii="Arial" w:eastAsia="Calibri" w:hAnsi="Arial" w:cs="Times New Roman"/>
      <w:color w:val="000000"/>
      <w:szCs w:val="20"/>
      <w:lang w:val="es-ES" w:eastAsia="es-ES"/>
    </w:rPr>
  </w:style>
  <w:style w:type="table" w:styleId="Tablaconcuadrcula">
    <w:name w:val="Table Grid"/>
    <w:basedOn w:val="Tablanormal"/>
    <w:uiPriority w:val="59"/>
    <w:rsid w:val="0020721E"/>
    <w:pPr>
      <w:spacing w:after="0" w:line="240"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20721E"/>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20721E"/>
    <w:rPr>
      <w:rFonts w:eastAsiaTheme="minorEastAsia"/>
      <w:lang w:eastAsia="es-CO"/>
    </w:rPr>
  </w:style>
  <w:style w:type="character" w:customStyle="1" w:styleId="TextonotapieCar">
    <w:name w:val="Texto nota pie Car"/>
    <w:aliases w:val="Texto nota pie Arial 10 Car,Footnote Text Char Char Char Char Char Car,Footnote Text Char Char Char Char Car,Footnote reference Car,FA Fu Car,texto de nota al pie Car,Texto nota pie Car Car Car Car Car Car Car Car Car"/>
    <w:basedOn w:val="Fuentedeprrafopredeter"/>
    <w:link w:val="Textonotapie"/>
    <w:uiPriority w:val="99"/>
    <w:locked/>
    <w:rsid w:val="00766E23"/>
    <w:rPr>
      <w:sz w:val="20"/>
      <w:szCs w:val="20"/>
    </w:rPr>
  </w:style>
  <w:style w:type="paragraph" w:styleId="Textonotapie">
    <w:name w:val="footnote text"/>
    <w:aliases w:val="Texto nota pie Arial 10,Footnote Text Char Char Char Char Char,Footnote Text Char Char Char Char,Footnote reference,FA Fu,texto de nota al pie,Texto nota pie Car Car Car Car Car Car Car Car,Texto nota pie Car Car Car Car Car,FA Fu Car Car"/>
    <w:basedOn w:val="Normal"/>
    <w:link w:val="TextonotapieCar"/>
    <w:uiPriority w:val="99"/>
    <w:unhideWhenUsed/>
    <w:qFormat/>
    <w:rsid w:val="00766E23"/>
    <w:pPr>
      <w:spacing w:after="0" w:line="240" w:lineRule="auto"/>
    </w:pPr>
    <w:rPr>
      <w:rFonts w:asciiTheme="minorHAnsi" w:hAnsiTheme="minorHAnsi"/>
      <w:sz w:val="20"/>
      <w:szCs w:val="20"/>
    </w:rPr>
  </w:style>
  <w:style w:type="character" w:customStyle="1" w:styleId="TextonotapieCar1">
    <w:name w:val="Texto nota pie Car1"/>
    <w:basedOn w:val="Fuentedeprrafopredeter"/>
    <w:uiPriority w:val="99"/>
    <w:semiHidden/>
    <w:rsid w:val="00766E23"/>
    <w:rPr>
      <w:rFonts w:ascii="Verdana" w:hAnsi="Verdana"/>
      <w:sz w:val="20"/>
      <w:szCs w:val="20"/>
    </w:rPr>
  </w:style>
  <w:style w:type="character" w:styleId="Refdenotaalpie">
    <w:name w:val="footnote reference"/>
    <w:aliases w:val="referencia nota al pie,Nota de pie,Ref. de nota al pie2,Texto nota al pie,Appel note de bas de page,Ref,de nota al pie,Footnotes refss,BVI fnr,Footnote Text Char1 Car Car Car Car,Char Car Car Car Car,Pie de Página"/>
    <w:basedOn w:val="Fuentedeprrafopredeter"/>
    <w:uiPriority w:val="99"/>
    <w:unhideWhenUsed/>
    <w:qFormat/>
    <w:rsid w:val="00766E23"/>
    <w:rPr>
      <w:vertAlign w:val="superscript"/>
    </w:rPr>
  </w:style>
  <w:style w:type="character" w:customStyle="1" w:styleId="apple-converted-space">
    <w:name w:val="apple-converted-space"/>
    <w:rsid w:val="00766E23"/>
  </w:style>
  <w:style w:type="character" w:styleId="Textoennegrita">
    <w:name w:val="Strong"/>
    <w:basedOn w:val="Fuentedeprrafopredeter"/>
    <w:uiPriority w:val="22"/>
    <w:qFormat/>
    <w:rsid w:val="00766E23"/>
    <w:rPr>
      <w:b/>
      <w:bCs/>
    </w:rPr>
  </w:style>
  <w:style w:type="character" w:customStyle="1" w:styleId="Textoindependiente2Car">
    <w:name w:val="Texto independiente 2 Car"/>
    <w:aliases w:val="Figura Car"/>
    <w:basedOn w:val="Fuentedeprrafopredeter"/>
    <w:link w:val="Textoindependiente2"/>
    <w:locked/>
    <w:rsid w:val="001029B5"/>
    <w:rPr>
      <w:rFonts w:ascii="Arial" w:hAnsi="Arial" w:cs="Arial"/>
      <w:lang w:eastAsia="es-ES"/>
    </w:rPr>
  </w:style>
  <w:style w:type="paragraph" w:styleId="Textoindependiente2">
    <w:name w:val="Body Text 2"/>
    <w:aliases w:val="Figura"/>
    <w:basedOn w:val="Normal"/>
    <w:link w:val="Textoindependiente2Car"/>
    <w:unhideWhenUsed/>
    <w:rsid w:val="001029B5"/>
    <w:pPr>
      <w:spacing w:after="0" w:line="240" w:lineRule="atLeast"/>
    </w:pPr>
    <w:rPr>
      <w:rFonts w:ascii="Arial" w:hAnsi="Arial" w:cs="Arial"/>
      <w:sz w:val="22"/>
      <w:lang w:eastAsia="es-ES"/>
    </w:rPr>
  </w:style>
  <w:style w:type="character" w:customStyle="1" w:styleId="Textoindependiente2Car1">
    <w:name w:val="Texto independiente 2 Car1"/>
    <w:basedOn w:val="Fuentedeprrafopredeter"/>
    <w:uiPriority w:val="99"/>
    <w:semiHidden/>
    <w:rsid w:val="001029B5"/>
    <w:rPr>
      <w:rFonts w:ascii="Verdana" w:hAnsi="Verdana"/>
      <w:sz w:val="24"/>
    </w:rPr>
  </w:style>
  <w:style w:type="paragraph" w:styleId="TDC3">
    <w:name w:val="toc 3"/>
    <w:basedOn w:val="Normal"/>
    <w:next w:val="Normal"/>
    <w:autoRedefine/>
    <w:uiPriority w:val="39"/>
    <w:unhideWhenUsed/>
    <w:rsid w:val="00944169"/>
    <w:pPr>
      <w:spacing w:after="100"/>
      <w:ind w:left="480"/>
    </w:pPr>
  </w:style>
  <w:style w:type="paragraph" w:styleId="Epgrafe0">
    <w:name w:val="caption"/>
    <w:basedOn w:val="Normal"/>
    <w:next w:val="Normal"/>
    <w:uiPriority w:val="99"/>
    <w:unhideWhenUsed/>
    <w:qFormat/>
    <w:rsid w:val="00D77711"/>
    <w:pPr>
      <w:spacing w:after="200" w:line="240" w:lineRule="auto"/>
    </w:pPr>
    <w:rPr>
      <w:rFonts w:asciiTheme="minorHAnsi" w:eastAsiaTheme="minorEastAsia" w:hAnsiTheme="minorHAnsi"/>
      <w:b/>
      <w:bCs/>
      <w:smallCaps/>
      <w:color w:val="595959" w:themeColor="text1" w:themeTint="A6"/>
      <w:sz w:val="21"/>
      <w:szCs w:val="21"/>
    </w:rPr>
  </w:style>
  <w:style w:type="paragraph" w:styleId="Citadestacada">
    <w:name w:val="Intense Quote"/>
    <w:basedOn w:val="Normal"/>
    <w:next w:val="Normal"/>
    <w:link w:val="CitadestacadaCar"/>
    <w:uiPriority w:val="30"/>
    <w:qFormat/>
    <w:rsid w:val="001918ED"/>
    <w:pPr>
      <w:pBdr>
        <w:bottom w:val="single" w:sz="4" w:space="4" w:color="5B9BD5" w:themeColor="accent1"/>
      </w:pBdr>
      <w:spacing w:before="200" w:after="280"/>
      <w:ind w:left="936" w:right="936"/>
      <w:jc w:val="left"/>
    </w:pPr>
    <w:rPr>
      <w:rFonts w:asciiTheme="minorHAnsi" w:hAnsiTheme="minorHAnsi"/>
      <w:b/>
      <w:bCs/>
      <w:i/>
      <w:iCs/>
      <w:color w:val="5B9BD5" w:themeColor="accent1"/>
      <w:sz w:val="22"/>
    </w:rPr>
  </w:style>
  <w:style w:type="character" w:customStyle="1" w:styleId="CitadestacadaCar">
    <w:name w:val="Cita destacada Car"/>
    <w:basedOn w:val="Fuentedeprrafopredeter"/>
    <w:link w:val="Citadestacada"/>
    <w:uiPriority w:val="30"/>
    <w:rsid w:val="001918ED"/>
    <w:rPr>
      <w:b/>
      <w:bCs/>
      <w:i/>
      <w:iCs/>
      <w:color w:val="5B9BD5" w:themeColor="accent1"/>
    </w:rPr>
  </w:style>
  <w:style w:type="character" w:styleId="nfasisintenso">
    <w:name w:val="Intense Emphasis"/>
    <w:basedOn w:val="Fuentedeprrafopredeter"/>
    <w:uiPriority w:val="21"/>
    <w:qFormat/>
    <w:rsid w:val="001918ED"/>
    <w:rPr>
      <w:b/>
      <w:bCs/>
      <w:i/>
      <w:iCs/>
      <w:color w:val="5B9BD5" w:themeColor="accent1"/>
    </w:rPr>
  </w:style>
  <w:style w:type="character" w:styleId="Referenciasutil">
    <w:name w:val="Subtle Reference"/>
    <w:basedOn w:val="Fuentedeprrafopredeter"/>
    <w:uiPriority w:val="31"/>
    <w:qFormat/>
    <w:rsid w:val="001918ED"/>
    <w:rPr>
      <w:smallCaps/>
      <w:color w:val="ED7D31" w:themeColor="accent2"/>
      <w:u w:val="single"/>
    </w:rPr>
  </w:style>
  <w:style w:type="paragraph" w:styleId="TDC2">
    <w:name w:val="toc 2"/>
    <w:basedOn w:val="Normal"/>
    <w:next w:val="Normal"/>
    <w:autoRedefine/>
    <w:uiPriority w:val="39"/>
    <w:unhideWhenUsed/>
    <w:rsid w:val="00E945BD"/>
    <w:pPr>
      <w:tabs>
        <w:tab w:val="right" w:leader="dot" w:pos="12995"/>
      </w:tabs>
      <w:spacing w:after="100"/>
    </w:pPr>
  </w:style>
  <w:style w:type="paragraph" w:customStyle="1" w:styleId="yiv7931736597msonormal">
    <w:name w:val="yiv7931736597msonormal"/>
    <w:basedOn w:val="Normal"/>
    <w:uiPriority w:val="99"/>
    <w:rsid w:val="009054CD"/>
    <w:pPr>
      <w:spacing w:before="100" w:beforeAutospacing="1" w:after="100" w:afterAutospacing="1" w:line="240" w:lineRule="auto"/>
      <w:jc w:val="left"/>
    </w:pPr>
    <w:rPr>
      <w:rFonts w:ascii="Times New Roman" w:hAnsi="Times New Roman" w:cs="Times New Roman"/>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4A6"/>
    <w:pPr>
      <w:jc w:val="both"/>
    </w:pPr>
    <w:rPr>
      <w:rFonts w:ascii="Verdana" w:hAnsi="Verdana"/>
      <w:sz w:val="24"/>
    </w:rPr>
  </w:style>
  <w:style w:type="paragraph" w:styleId="Ttulo1">
    <w:name w:val="heading 1"/>
    <w:basedOn w:val="Normal"/>
    <w:next w:val="Normal"/>
    <w:link w:val="Ttulo1Car"/>
    <w:uiPriority w:val="9"/>
    <w:qFormat/>
    <w:rsid w:val="003F410B"/>
    <w:pPr>
      <w:keepNext/>
      <w:keepLines/>
      <w:spacing w:before="480" w:after="0"/>
      <w:jc w:val="left"/>
      <w:outlineLvl w:val="0"/>
    </w:pPr>
    <w:rPr>
      <w:rFonts w:eastAsiaTheme="majorEastAsia" w:cstheme="majorBidi"/>
      <w:b/>
      <w:bCs/>
      <w:sz w:val="28"/>
      <w:szCs w:val="28"/>
    </w:rPr>
  </w:style>
  <w:style w:type="paragraph" w:styleId="Ttulo2">
    <w:name w:val="heading 2"/>
    <w:basedOn w:val="Normal"/>
    <w:next w:val="Normal"/>
    <w:link w:val="Ttulo2Car"/>
    <w:qFormat/>
    <w:rsid w:val="00850A3D"/>
    <w:pPr>
      <w:keepNext/>
      <w:spacing w:after="0" w:line="240" w:lineRule="auto"/>
      <w:jc w:val="left"/>
      <w:outlineLvl w:val="1"/>
    </w:pPr>
    <w:rPr>
      <w:rFonts w:ascii="Arial" w:eastAsia="Times New Roman" w:hAnsi="Arial" w:cs="Times New Roman"/>
      <w:b/>
      <w:sz w:val="28"/>
      <w:szCs w:val="20"/>
      <w:lang w:val="es-ES" w:eastAsia="es-ES"/>
    </w:rPr>
  </w:style>
  <w:style w:type="paragraph" w:styleId="Ttulo3">
    <w:name w:val="heading 3"/>
    <w:basedOn w:val="Normal"/>
    <w:next w:val="Normal"/>
    <w:link w:val="Ttulo3Car"/>
    <w:uiPriority w:val="9"/>
    <w:semiHidden/>
    <w:unhideWhenUsed/>
    <w:qFormat/>
    <w:rsid w:val="0020721E"/>
    <w:pPr>
      <w:keepNext/>
      <w:keepLines/>
      <w:spacing w:before="200" w:after="0" w:line="240" w:lineRule="auto"/>
      <w:outlineLvl w:val="2"/>
    </w:pPr>
    <w:rPr>
      <w:rFonts w:asciiTheme="majorHAnsi" w:eastAsiaTheme="majorEastAsia" w:hAnsiTheme="majorHAnsi" w:cstheme="majorBidi"/>
      <w:b/>
      <w:bCs/>
      <w:color w:val="5B9BD5" w:themeColor="accent1"/>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410B"/>
    <w:rPr>
      <w:rFonts w:ascii="Verdana" w:eastAsiaTheme="majorEastAsia" w:hAnsi="Verdana" w:cstheme="majorBidi"/>
      <w:b/>
      <w:bCs/>
      <w:sz w:val="28"/>
      <w:szCs w:val="28"/>
    </w:rPr>
  </w:style>
  <w:style w:type="character" w:customStyle="1" w:styleId="Ttulo2Car">
    <w:name w:val="Título 2 Car"/>
    <w:basedOn w:val="Fuentedeprrafopredeter"/>
    <w:link w:val="Ttulo2"/>
    <w:rsid w:val="00850A3D"/>
    <w:rPr>
      <w:rFonts w:ascii="Arial" w:eastAsia="Times New Roman" w:hAnsi="Arial" w:cs="Times New Roman"/>
      <w:b/>
      <w:sz w:val="28"/>
      <w:szCs w:val="20"/>
      <w:lang w:val="es-ES" w:eastAsia="es-ES"/>
    </w:rPr>
  </w:style>
  <w:style w:type="character" w:customStyle="1" w:styleId="Ttulo3Car">
    <w:name w:val="Título 3 Car"/>
    <w:basedOn w:val="Fuentedeprrafopredeter"/>
    <w:link w:val="Ttulo3"/>
    <w:uiPriority w:val="9"/>
    <w:semiHidden/>
    <w:rsid w:val="0020721E"/>
    <w:rPr>
      <w:rFonts w:asciiTheme="majorHAnsi" w:eastAsiaTheme="majorEastAsia" w:hAnsiTheme="majorHAnsi" w:cstheme="majorBidi"/>
      <w:b/>
      <w:bCs/>
      <w:color w:val="5B9BD5" w:themeColor="accent1"/>
      <w:sz w:val="24"/>
      <w:szCs w:val="24"/>
      <w:lang w:eastAsia="es-ES"/>
    </w:rPr>
  </w:style>
  <w:style w:type="paragraph" w:styleId="Textodeglobo">
    <w:name w:val="Balloon Text"/>
    <w:basedOn w:val="Normal"/>
    <w:link w:val="TextodegloboCar"/>
    <w:uiPriority w:val="99"/>
    <w:semiHidden/>
    <w:unhideWhenUsed/>
    <w:rsid w:val="00C65A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5A05"/>
    <w:rPr>
      <w:rFonts w:ascii="Tahoma" w:hAnsi="Tahoma" w:cs="Tahoma"/>
      <w:sz w:val="16"/>
      <w:szCs w:val="16"/>
    </w:rPr>
  </w:style>
  <w:style w:type="paragraph" w:styleId="NormalWeb">
    <w:name w:val="Normal (Web)"/>
    <w:aliases w:val="Normal (Web) Car Car,Normal (Web) Car Car Car,Normal (Web) Car,Normal (Web) Car Car Car Car Car Car,Normal (Web) Car Car Car Car Car Car Car Car Car"/>
    <w:basedOn w:val="Normal"/>
    <w:uiPriority w:val="99"/>
    <w:semiHidden/>
    <w:unhideWhenUsed/>
    <w:qFormat/>
    <w:rsid w:val="00395E77"/>
    <w:pPr>
      <w:spacing w:before="100" w:beforeAutospacing="1" w:after="100" w:afterAutospacing="1" w:line="240" w:lineRule="auto"/>
    </w:pPr>
    <w:rPr>
      <w:rFonts w:ascii="Times New Roman" w:eastAsiaTheme="minorEastAsia" w:hAnsi="Times New Roman" w:cs="Times New Roman"/>
      <w:szCs w:val="24"/>
      <w:lang w:eastAsia="es-CO"/>
    </w:rPr>
  </w:style>
  <w:style w:type="paragraph" w:styleId="Prrafodelista">
    <w:name w:val="List Paragraph"/>
    <w:aliases w:val="titulo 3,Bullets,Lista vistosa - Énfasis 11,Párrafo de lista1,HOJA,Bolita,Guión,Párrafo de lista31,BOLA,Párrafo de lista21,BOLADEF,Titulo 8,Párrafo de lista5,Colorful List - Accent 11,Colorful List - Accent 12,List,Fluvial1,Ha,Titlu 3"/>
    <w:basedOn w:val="Normal"/>
    <w:link w:val="PrrafodelistaCar"/>
    <w:uiPriority w:val="34"/>
    <w:qFormat/>
    <w:rsid w:val="00915396"/>
    <w:pPr>
      <w:ind w:left="720"/>
      <w:contextualSpacing/>
    </w:pPr>
  </w:style>
  <w:style w:type="character" w:customStyle="1" w:styleId="PrrafodelistaCar">
    <w:name w:val="Párrafo de lista Car"/>
    <w:aliases w:val="titulo 3 Car,Bullets Car,Lista vistosa - Énfasis 11 Car,Párrafo de lista1 Car,HOJA Car,Bolita Car,Guión Car,Párrafo de lista31 Car,BOLA Car,Párrafo de lista21 Car,BOLADEF Car,Titulo 8 Car,Párrafo de lista5 Car,List Car,Fluvial1 Car"/>
    <w:link w:val="Prrafodelista"/>
    <w:uiPriority w:val="34"/>
    <w:locked/>
    <w:rsid w:val="007C7AD2"/>
    <w:rPr>
      <w:rFonts w:ascii="Verdana" w:hAnsi="Verdana"/>
      <w:sz w:val="24"/>
    </w:rPr>
  </w:style>
  <w:style w:type="character" w:styleId="Hipervnculo">
    <w:name w:val="Hyperlink"/>
    <w:basedOn w:val="Fuentedeprrafopredeter"/>
    <w:uiPriority w:val="99"/>
    <w:unhideWhenUsed/>
    <w:rsid w:val="00915396"/>
    <w:rPr>
      <w:color w:val="0563C1" w:themeColor="hyperlink"/>
      <w:u w:val="single"/>
    </w:rPr>
  </w:style>
  <w:style w:type="paragraph" w:styleId="Encabezado">
    <w:name w:val="header"/>
    <w:aliases w:val="Encabezado1"/>
    <w:basedOn w:val="Normal"/>
    <w:link w:val="EncabezadoCar"/>
    <w:unhideWhenUsed/>
    <w:rsid w:val="00EE7EBE"/>
    <w:pPr>
      <w:tabs>
        <w:tab w:val="center" w:pos="4419"/>
        <w:tab w:val="right" w:pos="8838"/>
      </w:tabs>
      <w:spacing w:after="0" w:line="240" w:lineRule="auto"/>
    </w:pPr>
  </w:style>
  <w:style w:type="character" w:customStyle="1" w:styleId="EncabezadoCar">
    <w:name w:val="Encabezado Car"/>
    <w:aliases w:val="Encabezado1 Car"/>
    <w:basedOn w:val="Fuentedeprrafopredeter"/>
    <w:link w:val="Encabezado"/>
    <w:rsid w:val="00EE7EBE"/>
  </w:style>
  <w:style w:type="paragraph" w:styleId="Piedepgina">
    <w:name w:val="footer"/>
    <w:basedOn w:val="Normal"/>
    <w:link w:val="PiedepginaCar"/>
    <w:uiPriority w:val="99"/>
    <w:unhideWhenUsed/>
    <w:rsid w:val="00EE7E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7EBE"/>
  </w:style>
  <w:style w:type="table" w:styleId="Sombreadovistoso-nfasis4">
    <w:name w:val="Colorful Shading Accent 4"/>
    <w:basedOn w:val="Tablanormal"/>
    <w:uiPriority w:val="71"/>
    <w:rsid w:val="00CB70B8"/>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Sombreadomedio2-nfasis3">
    <w:name w:val="Medium Shading 2 Accent 3"/>
    <w:basedOn w:val="Tablanormal"/>
    <w:uiPriority w:val="64"/>
    <w:rsid w:val="00CB70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2">
    <w:name w:val="Medium Grid 3 Accent 2"/>
    <w:basedOn w:val="Tablanormal"/>
    <w:uiPriority w:val="69"/>
    <w:rsid w:val="00CB70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styleId="TtulodeTDC">
    <w:name w:val="TOC Heading"/>
    <w:basedOn w:val="Ttulo1"/>
    <w:next w:val="Normal"/>
    <w:uiPriority w:val="39"/>
    <w:unhideWhenUsed/>
    <w:qFormat/>
    <w:rsid w:val="007D18EB"/>
    <w:pPr>
      <w:spacing w:line="276" w:lineRule="auto"/>
      <w:outlineLvl w:val="9"/>
    </w:pPr>
    <w:rPr>
      <w:lang w:eastAsia="es-CO"/>
    </w:rPr>
  </w:style>
  <w:style w:type="paragraph" w:styleId="TDC1">
    <w:name w:val="toc 1"/>
    <w:basedOn w:val="Normal"/>
    <w:next w:val="Normal"/>
    <w:autoRedefine/>
    <w:uiPriority w:val="39"/>
    <w:unhideWhenUsed/>
    <w:rsid w:val="009749B9"/>
    <w:pPr>
      <w:tabs>
        <w:tab w:val="left" w:pos="0"/>
        <w:tab w:val="right" w:leader="dot" w:pos="12900"/>
      </w:tabs>
      <w:spacing w:after="100"/>
    </w:pPr>
  </w:style>
  <w:style w:type="character" w:styleId="Refdecomentario">
    <w:name w:val="annotation reference"/>
    <w:basedOn w:val="Fuentedeprrafopredeter"/>
    <w:uiPriority w:val="99"/>
    <w:semiHidden/>
    <w:unhideWhenUsed/>
    <w:rsid w:val="002835F6"/>
    <w:rPr>
      <w:sz w:val="16"/>
      <w:szCs w:val="16"/>
    </w:rPr>
  </w:style>
  <w:style w:type="paragraph" w:styleId="Textocomentario">
    <w:name w:val="annotation text"/>
    <w:basedOn w:val="Normal"/>
    <w:link w:val="TextocomentarioCar"/>
    <w:uiPriority w:val="99"/>
    <w:semiHidden/>
    <w:unhideWhenUsed/>
    <w:rsid w:val="002835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5F6"/>
    <w:rPr>
      <w:sz w:val="20"/>
      <w:szCs w:val="20"/>
    </w:rPr>
  </w:style>
  <w:style w:type="paragraph" w:styleId="Asuntodelcomentario">
    <w:name w:val="annotation subject"/>
    <w:basedOn w:val="Textocomentario"/>
    <w:next w:val="Textocomentario"/>
    <w:link w:val="AsuntodelcomentarioCar"/>
    <w:uiPriority w:val="99"/>
    <w:semiHidden/>
    <w:unhideWhenUsed/>
    <w:rsid w:val="002835F6"/>
    <w:rPr>
      <w:b/>
      <w:bCs/>
    </w:rPr>
  </w:style>
  <w:style w:type="character" w:customStyle="1" w:styleId="AsuntodelcomentarioCar">
    <w:name w:val="Asunto del comentario Car"/>
    <w:basedOn w:val="TextocomentarioCar"/>
    <w:link w:val="Asuntodelcomentario"/>
    <w:uiPriority w:val="99"/>
    <w:semiHidden/>
    <w:rsid w:val="002835F6"/>
    <w:rPr>
      <w:b/>
      <w:bCs/>
      <w:sz w:val="20"/>
      <w:szCs w:val="20"/>
    </w:rPr>
  </w:style>
  <w:style w:type="paragraph" w:customStyle="1" w:styleId="epgrafe">
    <w:name w:val="epgrafe"/>
    <w:basedOn w:val="Normal"/>
    <w:rsid w:val="007C7AD2"/>
    <w:pPr>
      <w:spacing w:before="100" w:beforeAutospacing="1" w:after="100" w:afterAutospacing="1" w:line="240" w:lineRule="auto"/>
    </w:pPr>
    <w:rPr>
      <w:rFonts w:ascii="Times New Roman" w:eastAsia="Calibri" w:hAnsi="Times New Roman" w:cs="Times New Roman"/>
      <w:szCs w:val="24"/>
      <w:lang w:val="es-ES" w:eastAsia="es-ES"/>
    </w:rPr>
  </w:style>
  <w:style w:type="paragraph" w:customStyle="1" w:styleId="Default">
    <w:name w:val="Default"/>
    <w:basedOn w:val="Normal"/>
    <w:rsid w:val="004D348E"/>
    <w:pPr>
      <w:autoSpaceDE w:val="0"/>
      <w:autoSpaceDN w:val="0"/>
      <w:spacing w:after="0" w:line="240" w:lineRule="auto"/>
    </w:pPr>
    <w:rPr>
      <w:rFonts w:ascii="Bookman Old Style" w:eastAsia="MS Mincho" w:hAnsi="Bookman Old Style" w:cs="Times New Roman"/>
      <w:color w:val="000000"/>
      <w:szCs w:val="24"/>
      <w:lang w:eastAsia="es-CO"/>
    </w:rPr>
  </w:style>
  <w:style w:type="paragraph" w:customStyle="1" w:styleId="Textoindependiente31">
    <w:name w:val="Texto independiente 31"/>
    <w:basedOn w:val="Normal"/>
    <w:rsid w:val="0020721E"/>
    <w:pPr>
      <w:widowControl w:val="0"/>
      <w:spacing w:after="0" w:line="240" w:lineRule="auto"/>
    </w:pPr>
    <w:rPr>
      <w:rFonts w:ascii="Arial" w:eastAsia="Times New Roman" w:hAnsi="Arial" w:cs="Arial"/>
      <w:szCs w:val="24"/>
      <w:lang w:val="es-ES" w:eastAsia="es-ES"/>
    </w:rPr>
  </w:style>
  <w:style w:type="paragraph" w:styleId="Textodebloque">
    <w:name w:val="Block Text"/>
    <w:basedOn w:val="Normal"/>
    <w:rsid w:val="0020721E"/>
    <w:pPr>
      <w:tabs>
        <w:tab w:val="left" w:pos="0"/>
        <w:tab w:val="left" w:pos="284"/>
      </w:tabs>
      <w:overflowPunct w:val="0"/>
      <w:autoSpaceDE w:val="0"/>
      <w:autoSpaceDN w:val="0"/>
      <w:adjustRightInd w:val="0"/>
      <w:spacing w:after="0" w:line="240" w:lineRule="auto"/>
      <w:ind w:left="284" w:right="51"/>
      <w:textAlignment w:val="baseline"/>
    </w:pPr>
    <w:rPr>
      <w:rFonts w:ascii="Arial" w:eastAsia="Calibri" w:hAnsi="Arial" w:cs="Times New Roman"/>
      <w:color w:val="000000"/>
      <w:szCs w:val="20"/>
      <w:lang w:val="es-ES" w:eastAsia="es-ES"/>
    </w:rPr>
  </w:style>
  <w:style w:type="table" w:styleId="Tablaconcuadrcula">
    <w:name w:val="Table Grid"/>
    <w:basedOn w:val="Tablanormal"/>
    <w:uiPriority w:val="59"/>
    <w:rsid w:val="0020721E"/>
    <w:pPr>
      <w:spacing w:after="0" w:line="240"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20721E"/>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20721E"/>
    <w:rPr>
      <w:rFonts w:eastAsiaTheme="minorEastAsia"/>
      <w:lang w:eastAsia="es-CO"/>
    </w:rPr>
  </w:style>
  <w:style w:type="character" w:customStyle="1" w:styleId="TextonotapieCar">
    <w:name w:val="Texto nota pie Car"/>
    <w:aliases w:val="Texto nota pie Arial 10 Car,Footnote Text Char Char Char Char Char Car,Footnote Text Char Char Char Char Car,Footnote reference Car,FA Fu Car,texto de nota al pie Car,Texto nota pie Car Car Car Car Car Car Car Car Car"/>
    <w:basedOn w:val="Fuentedeprrafopredeter"/>
    <w:link w:val="Textonotapie"/>
    <w:uiPriority w:val="99"/>
    <w:locked/>
    <w:rsid w:val="00766E23"/>
    <w:rPr>
      <w:sz w:val="20"/>
      <w:szCs w:val="20"/>
    </w:rPr>
  </w:style>
  <w:style w:type="paragraph" w:styleId="Textonotapie">
    <w:name w:val="footnote text"/>
    <w:aliases w:val="Texto nota pie Arial 10,Footnote Text Char Char Char Char Char,Footnote Text Char Char Char Char,Footnote reference,FA Fu,texto de nota al pie,Texto nota pie Car Car Car Car Car Car Car Car,Texto nota pie Car Car Car Car Car,FA Fu Car Car"/>
    <w:basedOn w:val="Normal"/>
    <w:link w:val="TextonotapieCar"/>
    <w:uiPriority w:val="99"/>
    <w:unhideWhenUsed/>
    <w:qFormat/>
    <w:rsid w:val="00766E23"/>
    <w:pPr>
      <w:spacing w:after="0" w:line="240" w:lineRule="auto"/>
    </w:pPr>
    <w:rPr>
      <w:rFonts w:asciiTheme="minorHAnsi" w:hAnsiTheme="minorHAnsi"/>
      <w:sz w:val="20"/>
      <w:szCs w:val="20"/>
    </w:rPr>
  </w:style>
  <w:style w:type="character" w:customStyle="1" w:styleId="TextonotapieCar1">
    <w:name w:val="Texto nota pie Car1"/>
    <w:basedOn w:val="Fuentedeprrafopredeter"/>
    <w:uiPriority w:val="99"/>
    <w:semiHidden/>
    <w:rsid w:val="00766E23"/>
    <w:rPr>
      <w:rFonts w:ascii="Verdana" w:hAnsi="Verdana"/>
      <w:sz w:val="20"/>
      <w:szCs w:val="20"/>
    </w:rPr>
  </w:style>
  <w:style w:type="character" w:styleId="Refdenotaalpie">
    <w:name w:val="footnote reference"/>
    <w:aliases w:val="referencia nota al pie,Nota de pie,Ref. de nota al pie2,Texto nota al pie,Appel note de bas de page,Ref,de nota al pie,Footnotes refss,BVI fnr,Footnote Text Char1 Car Car Car Car,Char Car Car Car Car,Pie de Página"/>
    <w:basedOn w:val="Fuentedeprrafopredeter"/>
    <w:uiPriority w:val="99"/>
    <w:unhideWhenUsed/>
    <w:qFormat/>
    <w:rsid w:val="00766E23"/>
    <w:rPr>
      <w:vertAlign w:val="superscript"/>
    </w:rPr>
  </w:style>
  <w:style w:type="character" w:customStyle="1" w:styleId="apple-converted-space">
    <w:name w:val="apple-converted-space"/>
    <w:rsid w:val="00766E23"/>
  </w:style>
  <w:style w:type="character" w:styleId="Textoennegrita">
    <w:name w:val="Strong"/>
    <w:basedOn w:val="Fuentedeprrafopredeter"/>
    <w:uiPriority w:val="22"/>
    <w:qFormat/>
    <w:rsid w:val="00766E23"/>
    <w:rPr>
      <w:b/>
      <w:bCs/>
    </w:rPr>
  </w:style>
  <w:style w:type="character" w:customStyle="1" w:styleId="Textoindependiente2Car">
    <w:name w:val="Texto independiente 2 Car"/>
    <w:aliases w:val="Figura Car"/>
    <w:basedOn w:val="Fuentedeprrafopredeter"/>
    <w:link w:val="Textoindependiente2"/>
    <w:locked/>
    <w:rsid w:val="001029B5"/>
    <w:rPr>
      <w:rFonts w:ascii="Arial" w:hAnsi="Arial" w:cs="Arial"/>
      <w:lang w:eastAsia="es-ES"/>
    </w:rPr>
  </w:style>
  <w:style w:type="paragraph" w:styleId="Textoindependiente2">
    <w:name w:val="Body Text 2"/>
    <w:aliases w:val="Figura"/>
    <w:basedOn w:val="Normal"/>
    <w:link w:val="Textoindependiente2Car"/>
    <w:unhideWhenUsed/>
    <w:rsid w:val="001029B5"/>
    <w:pPr>
      <w:spacing w:after="0" w:line="240" w:lineRule="atLeast"/>
    </w:pPr>
    <w:rPr>
      <w:rFonts w:ascii="Arial" w:hAnsi="Arial" w:cs="Arial"/>
      <w:sz w:val="22"/>
      <w:lang w:eastAsia="es-ES"/>
    </w:rPr>
  </w:style>
  <w:style w:type="character" w:customStyle="1" w:styleId="Textoindependiente2Car1">
    <w:name w:val="Texto independiente 2 Car1"/>
    <w:basedOn w:val="Fuentedeprrafopredeter"/>
    <w:uiPriority w:val="99"/>
    <w:semiHidden/>
    <w:rsid w:val="001029B5"/>
    <w:rPr>
      <w:rFonts w:ascii="Verdana" w:hAnsi="Verdana"/>
      <w:sz w:val="24"/>
    </w:rPr>
  </w:style>
  <w:style w:type="paragraph" w:styleId="TDC3">
    <w:name w:val="toc 3"/>
    <w:basedOn w:val="Normal"/>
    <w:next w:val="Normal"/>
    <w:autoRedefine/>
    <w:uiPriority w:val="39"/>
    <w:unhideWhenUsed/>
    <w:rsid w:val="00944169"/>
    <w:pPr>
      <w:spacing w:after="100"/>
      <w:ind w:left="480"/>
    </w:pPr>
  </w:style>
  <w:style w:type="paragraph" w:styleId="Epgrafe0">
    <w:name w:val="caption"/>
    <w:basedOn w:val="Normal"/>
    <w:next w:val="Normal"/>
    <w:uiPriority w:val="99"/>
    <w:unhideWhenUsed/>
    <w:qFormat/>
    <w:rsid w:val="00D77711"/>
    <w:pPr>
      <w:spacing w:after="200" w:line="240" w:lineRule="auto"/>
    </w:pPr>
    <w:rPr>
      <w:rFonts w:asciiTheme="minorHAnsi" w:eastAsiaTheme="minorEastAsia" w:hAnsiTheme="minorHAnsi"/>
      <w:b/>
      <w:bCs/>
      <w:smallCaps/>
      <w:color w:val="595959" w:themeColor="text1" w:themeTint="A6"/>
      <w:sz w:val="21"/>
      <w:szCs w:val="21"/>
    </w:rPr>
  </w:style>
  <w:style w:type="paragraph" w:styleId="Citadestacada">
    <w:name w:val="Intense Quote"/>
    <w:basedOn w:val="Normal"/>
    <w:next w:val="Normal"/>
    <w:link w:val="CitadestacadaCar"/>
    <w:uiPriority w:val="30"/>
    <w:qFormat/>
    <w:rsid w:val="001918ED"/>
    <w:pPr>
      <w:pBdr>
        <w:bottom w:val="single" w:sz="4" w:space="4" w:color="5B9BD5" w:themeColor="accent1"/>
      </w:pBdr>
      <w:spacing w:before="200" w:after="280"/>
      <w:ind w:left="936" w:right="936"/>
      <w:jc w:val="left"/>
    </w:pPr>
    <w:rPr>
      <w:rFonts w:asciiTheme="minorHAnsi" w:hAnsiTheme="minorHAnsi"/>
      <w:b/>
      <w:bCs/>
      <w:i/>
      <w:iCs/>
      <w:color w:val="5B9BD5" w:themeColor="accent1"/>
      <w:sz w:val="22"/>
    </w:rPr>
  </w:style>
  <w:style w:type="character" w:customStyle="1" w:styleId="CitadestacadaCar">
    <w:name w:val="Cita destacada Car"/>
    <w:basedOn w:val="Fuentedeprrafopredeter"/>
    <w:link w:val="Citadestacada"/>
    <w:uiPriority w:val="30"/>
    <w:rsid w:val="001918ED"/>
    <w:rPr>
      <w:b/>
      <w:bCs/>
      <w:i/>
      <w:iCs/>
      <w:color w:val="5B9BD5" w:themeColor="accent1"/>
    </w:rPr>
  </w:style>
  <w:style w:type="character" w:styleId="nfasisintenso">
    <w:name w:val="Intense Emphasis"/>
    <w:basedOn w:val="Fuentedeprrafopredeter"/>
    <w:uiPriority w:val="21"/>
    <w:qFormat/>
    <w:rsid w:val="001918ED"/>
    <w:rPr>
      <w:b/>
      <w:bCs/>
      <w:i/>
      <w:iCs/>
      <w:color w:val="5B9BD5" w:themeColor="accent1"/>
    </w:rPr>
  </w:style>
  <w:style w:type="character" w:styleId="Referenciasutil">
    <w:name w:val="Subtle Reference"/>
    <w:basedOn w:val="Fuentedeprrafopredeter"/>
    <w:uiPriority w:val="31"/>
    <w:qFormat/>
    <w:rsid w:val="001918ED"/>
    <w:rPr>
      <w:smallCaps/>
      <w:color w:val="ED7D31" w:themeColor="accent2"/>
      <w:u w:val="single"/>
    </w:rPr>
  </w:style>
  <w:style w:type="paragraph" w:styleId="TDC2">
    <w:name w:val="toc 2"/>
    <w:basedOn w:val="Normal"/>
    <w:next w:val="Normal"/>
    <w:autoRedefine/>
    <w:uiPriority w:val="39"/>
    <w:unhideWhenUsed/>
    <w:rsid w:val="00E945BD"/>
    <w:pPr>
      <w:tabs>
        <w:tab w:val="right" w:leader="dot" w:pos="12995"/>
      </w:tabs>
      <w:spacing w:after="100"/>
    </w:pPr>
  </w:style>
  <w:style w:type="paragraph" w:customStyle="1" w:styleId="yiv7931736597msonormal">
    <w:name w:val="yiv7931736597msonormal"/>
    <w:basedOn w:val="Normal"/>
    <w:uiPriority w:val="99"/>
    <w:rsid w:val="009054CD"/>
    <w:pPr>
      <w:spacing w:before="100" w:beforeAutospacing="1" w:after="100" w:afterAutospacing="1" w:line="240" w:lineRule="auto"/>
      <w:jc w:val="left"/>
    </w:pPr>
    <w:rPr>
      <w:rFonts w:ascii="Times New Roman" w:hAnsi="Times New Roman" w:cs="Times New Roman"/>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67418">
      <w:bodyDiv w:val="1"/>
      <w:marLeft w:val="0"/>
      <w:marRight w:val="0"/>
      <w:marTop w:val="0"/>
      <w:marBottom w:val="0"/>
      <w:divBdr>
        <w:top w:val="none" w:sz="0" w:space="0" w:color="auto"/>
        <w:left w:val="none" w:sz="0" w:space="0" w:color="auto"/>
        <w:bottom w:val="none" w:sz="0" w:space="0" w:color="auto"/>
        <w:right w:val="none" w:sz="0" w:space="0" w:color="auto"/>
      </w:divBdr>
    </w:div>
    <w:div w:id="152573572">
      <w:bodyDiv w:val="1"/>
      <w:marLeft w:val="0"/>
      <w:marRight w:val="0"/>
      <w:marTop w:val="0"/>
      <w:marBottom w:val="0"/>
      <w:divBdr>
        <w:top w:val="none" w:sz="0" w:space="0" w:color="auto"/>
        <w:left w:val="none" w:sz="0" w:space="0" w:color="auto"/>
        <w:bottom w:val="none" w:sz="0" w:space="0" w:color="auto"/>
        <w:right w:val="none" w:sz="0" w:space="0" w:color="auto"/>
      </w:divBdr>
    </w:div>
    <w:div w:id="182282729">
      <w:bodyDiv w:val="1"/>
      <w:marLeft w:val="0"/>
      <w:marRight w:val="0"/>
      <w:marTop w:val="0"/>
      <w:marBottom w:val="0"/>
      <w:divBdr>
        <w:top w:val="none" w:sz="0" w:space="0" w:color="auto"/>
        <w:left w:val="none" w:sz="0" w:space="0" w:color="auto"/>
        <w:bottom w:val="none" w:sz="0" w:space="0" w:color="auto"/>
        <w:right w:val="none" w:sz="0" w:space="0" w:color="auto"/>
      </w:divBdr>
    </w:div>
    <w:div w:id="252712435">
      <w:bodyDiv w:val="1"/>
      <w:marLeft w:val="0"/>
      <w:marRight w:val="0"/>
      <w:marTop w:val="0"/>
      <w:marBottom w:val="0"/>
      <w:divBdr>
        <w:top w:val="none" w:sz="0" w:space="0" w:color="auto"/>
        <w:left w:val="none" w:sz="0" w:space="0" w:color="auto"/>
        <w:bottom w:val="none" w:sz="0" w:space="0" w:color="auto"/>
        <w:right w:val="none" w:sz="0" w:space="0" w:color="auto"/>
      </w:divBdr>
    </w:div>
    <w:div w:id="257761777">
      <w:bodyDiv w:val="1"/>
      <w:marLeft w:val="0"/>
      <w:marRight w:val="0"/>
      <w:marTop w:val="0"/>
      <w:marBottom w:val="0"/>
      <w:divBdr>
        <w:top w:val="none" w:sz="0" w:space="0" w:color="auto"/>
        <w:left w:val="none" w:sz="0" w:space="0" w:color="auto"/>
        <w:bottom w:val="none" w:sz="0" w:space="0" w:color="auto"/>
        <w:right w:val="none" w:sz="0" w:space="0" w:color="auto"/>
      </w:divBdr>
      <w:divsChild>
        <w:div w:id="425001391">
          <w:marLeft w:val="605"/>
          <w:marRight w:val="0"/>
          <w:marTop w:val="0"/>
          <w:marBottom w:val="0"/>
          <w:divBdr>
            <w:top w:val="none" w:sz="0" w:space="0" w:color="auto"/>
            <w:left w:val="none" w:sz="0" w:space="0" w:color="auto"/>
            <w:bottom w:val="none" w:sz="0" w:space="0" w:color="auto"/>
            <w:right w:val="none" w:sz="0" w:space="0" w:color="auto"/>
          </w:divBdr>
        </w:div>
      </w:divsChild>
    </w:div>
    <w:div w:id="290521504">
      <w:bodyDiv w:val="1"/>
      <w:marLeft w:val="0"/>
      <w:marRight w:val="0"/>
      <w:marTop w:val="0"/>
      <w:marBottom w:val="0"/>
      <w:divBdr>
        <w:top w:val="none" w:sz="0" w:space="0" w:color="auto"/>
        <w:left w:val="none" w:sz="0" w:space="0" w:color="auto"/>
        <w:bottom w:val="none" w:sz="0" w:space="0" w:color="auto"/>
        <w:right w:val="none" w:sz="0" w:space="0" w:color="auto"/>
      </w:divBdr>
    </w:div>
    <w:div w:id="306322626">
      <w:bodyDiv w:val="1"/>
      <w:marLeft w:val="0"/>
      <w:marRight w:val="0"/>
      <w:marTop w:val="0"/>
      <w:marBottom w:val="0"/>
      <w:divBdr>
        <w:top w:val="none" w:sz="0" w:space="0" w:color="auto"/>
        <w:left w:val="none" w:sz="0" w:space="0" w:color="auto"/>
        <w:bottom w:val="none" w:sz="0" w:space="0" w:color="auto"/>
        <w:right w:val="none" w:sz="0" w:space="0" w:color="auto"/>
      </w:divBdr>
    </w:div>
    <w:div w:id="355036888">
      <w:bodyDiv w:val="1"/>
      <w:marLeft w:val="0"/>
      <w:marRight w:val="0"/>
      <w:marTop w:val="0"/>
      <w:marBottom w:val="0"/>
      <w:divBdr>
        <w:top w:val="none" w:sz="0" w:space="0" w:color="auto"/>
        <w:left w:val="none" w:sz="0" w:space="0" w:color="auto"/>
        <w:bottom w:val="none" w:sz="0" w:space="0" w:color="auto"/>
        <w:right w:val="none" w:sz="0" w:space="0" w:color="auto"/>
      </w:divBdr>
    </w:div>
    <w:div w:id="431628744">
      <w:bodyDiv w:val="1"/>
      <w:marLeft w:val="0"/>
      <w:marRight w:val="0"/>
      <w:marTop w:val="0"/>
      <w:marBottom w:val="0"/>
      <w:divBdr>
        <w:top w:val="none" w:sz="0" w:space="0" w:color="auto"/>
        <w:left w:val="none" w:sz="0" w:space="0" w:color="auto"/>
        <w:bottom w:val="none" w:sz="0" w:space="0" w:color="auto"/>
        <w:right w:val="none" w:sz="0" w:space="0" w:color="auto"/>
      </w:divBdr>
    </w:div>
    <w:div w:id="448359266">
      <w:bodyDiv w:val="1"/>
      <w:marLeft w:val="0"/>
      <w:marRight w:val="0"/>
      <w:marTop w:val="0"/>
      <w:marBottom w:val="0"/>
      <w:divBdr>
        <w:top w:val="none" w:sz="0" w:space="0" w:color="auto"/>
        <w:left w:val="none" w:sz="0" w:space="0" w:color="auto"/>
        <w:bottom w:val="none" w:sz="0" w:space="0" w:color="auto"/>
        <w:right w:val="none" w:sz="0" w:space="0" w:color="auto"/>
      </w:divBdr>
    </w:div>
    <w:div w:id="501624819">
      <w:bodyDiv w:val="1"/>
      <w:marLeft w:val="0"/>
      <w:marRight w:val="0"/>
      <w:marTop w:val="0"/>
      <w:marBottom w:val="0"/>
      <w:divBdr>
        <w:top w:val="none" w:sz="0" w:space="0" w:color="auto"/>
        <w:left w:val="none" w:sz="0" w:space="0" w:color="auto"/>
        <w:bottom w:val="none" w:sz="0" w:space="0" w:color="auto"/>
        <w:right w:val="none" w:sz="0" w:space="0" w:color="auto"/>
      </w:divBdr>
    </w:div>
    <w:div w:id="525798970">
      <w:bodyDiv w:val="1"/>
      <w:marLeft w:val="0"/>
      <w:marRight w:val="0"/>
      <w:marTop w:val="0"/>
      <w:marBottom w:val="0"/>
      <w:divBdr>
        <w:top w:val="none" w:sz="0" w:space="0" w:color="auto"/>
        <w:left w:val="none" w:sz="0" w:space="0" w:color="auto"/>
        <w:bottom w:val="none" w:sz="0" w:space="0" w:color="auto"/>
        <w:right w:val="none" w:sz="0" w:space="0" w:color="auto"/>
      </w:divBdr>
    </w:div>
    <w:div w:id="566108055">
      <w:bodyDiv w:val="1"/>
      <w:marLeft w:val="0"/>
      <w:marRight w:val="0"/>
      <w:marTop w:val="0"/>
      <w:marBottom w:val="0"/>
      <w:divBdr>
        <w:top w:val="none" w:sz="0" w:space="0" w:color="auto"/>
        <w:left w:val="none" w:sz="0" w:space="0" w:color="auto"/>
        <w:bottom w:val="none" w:sz="0" w:space="0" w:color="auto"/>
        <w:right w:val="none" w:sz="0" w:space="0" w:color="auto"/>
      </w:divBdr>
    </w:div>
    <w:div w:id="607549244">
      <w:bodyDiv w:val="1"/>
      <w:marLeft w:val="0"/>
      <w:marRight w:val="0"/>
      <w:marTop w:val="0"/>
      <w:marBottom w:val="0"/>
      <w:divBdr>
        <w:top w:val="none" w:sz="0" w:space="0" w:color="auto"/>
        <w:left w:val="none" w:sz="0" w:space="0" w:color="auto"/>
        <w:bottom w:val="none" w:sz="0" w:space="0" w:color="auto"/>
        <w:right w:val="none" w:sz="0" w:space="0" w:color="auto"/>
      </w:divBdr>
    </w:div>
    <w:div w:id="616638211">
      <w:bodyDiv w:val="1"/>
      <w:marLeft w:val="0"/>
      <w:marRight w:val="0"/>
      <w:marTop w:val="0"/>
      <w:marBottom w:val="0"/>
      <w:divBdr>
        <w:top w:val="none" w:sz="0" w:space="0" w:color="auto"/>
        <w:left w:val="none" w:sz="0" w:space="0" w:color="auto"/>
        <w:bottom w:val="none" w:sz="0" w:space="0" w:color="auto"/>
        <w:right w:val="none" w:sz="0" w:space="0" w:color="auto"/>
      </w:divBdr>
    </w:div>
    <w:div w:id="631206694">
      <w:bodyDiv w:val="1"/>
      <w:marLeft w:val="0"/>
      <w:marRight w:val="0"/>
      <w:marTop w:val="0"/>
      <w:marBottom w:val="0"/>
      <w:divBdr>
        <w:top w:val="none" w:sz="0" w:space="0" w:color="auto"/>
        <w:left w:val="none" w:sz="0" w:space="0" w:color="auto"/>
        <w:bottom w:val="none" w:sz="0" w:space="0" w:color="auto"/>
        <w:right w:val="none" w:sz="0" w:space="0" w:color="auto"/>
      </w:divBdr>
    </w:div>
    <w:div w:id="633027915">
      <w:bodyDiv w:val="1"/>
      <w:marLeft w:val="0"/>
      <w:marRight w:val="0"/>
      <w:marTop w:val="0"/>
      <w:marBottom w:val="0"/>
      <w:divBdr>
        <w:top w:val="none" w:sz="0" w:space="0" w:color="auto"/>
        <w:left w:val="none" w:sz="0" w:space="0" w:color="auto"/>
        <w:bottom w:val="none" w:sz="0" w:space="0" w:color="auto"/>
        <w:right w:val="none" w:sz="0" w:space="0" w:color="auto"/>
      </w:divBdr>
    </w:div>
    <w:div w:id="644312620">
      <w:bodyDiv w:val="1"/>
      <w:marLeft w:val="0"/>
      <w:marRight w:val="0"/>
      <w:marTop w:val="0"/>
      <w:marBottom w:val="0"/>
      <w:divBdr>
        <w:top w:val="none" w:sz="0" w:space="0" w:color="auto"/>
        <w:left w:val="none" w:sz="0" w:space="0" w:color="auto"/>
        <w:bottom w:val="none" w:sz="0" w:space="0" w:color="auto"/>
        <w:right w:val="none" w:sz="0" w:space="0" w:color="auto"/>
      </w:divBdr>
    </w:div>
    <w:div w:id="705446853">
      <w:bodyDiv w:val="1"/>
      <w:marLeft w:val="0"/>
      <w:marRight w:val="0"/>
      <w:marTop w:val="0"/>
      <w:marBottom w:val="0"/>
      <w:divBdr>
        <w:top w:val="none" w:sz="0" w:space="0" w:color="auto"/>
        <w:left w:val="none" w:sz="0" w:space="0" w:color="auto"/>
        <w:bottom w:val="none" w:sz="0" w:space="0" w:color="auto"/>
        <w:right w:val="none" w:sz="0" w:space="0" w:color="auto"/>
      </w:divBdr>
      <w:divsChild>
        <w:div w:id="1959801467">
          <w:marLeft w:val="605"/>
          <w:marRight w:val="0"/>
          <w:marTop w:val="0"/>
          <w:marBottom w:val="0"/>
          <w:divBdr>
            <w:top w:val="none" w:sz="0" w:space="0" w:color="auto"/>
            <w:left w:val="none" w:sz="0" w:space="0" w:color="auto"/>
            <w:bottom w:val="none" w:sz="0" w:space="0" w:color="auto"/>
            <w:right w:val="none" w:sz="0" w:space="0" w:color="auto"/>
          </w:divBdr>
        </w:div>
      </w:divsChild>
    </w:div>
    <w:div w:id="712120674">
      <w:bodyDiv w:val="1"/>
      <w:marLeft w:val="0"/>
      <w:marRight w:val="0"/>
      <w:marTop w:val="0"/>
      <w:marBottom w:val="0"/>
      <w:divBdr>
        <w:top w:val="none" w:sz="0" w:space="0" w:color="auto"/>
        <w:left w:val="none" w:sz="0" w:space="0" w:color="auto"/>
        <w:bottom w:val="none" w:sz="0" w:space="0" w:color="auto"/>
        <w:right w:val="none" w:sz="0" w:space="0" w:color="auto"/>
      </w:divBdr>
    </w:div>
    <w:div w:id="804082892">
      <w:bodyDiv w:val="1"/>
      <w:marLeft w:val="0"/>
      <w:marRight w:val="0"/>
      <w:marTop w:val="0"/>
      <w:marBottom w:val="0"/>
      <w:divBdr>
        <w:top w:val="none" w:sz="0" w:space="0" w:color="auto"/>
        <w:left w:val="none" w:sz="0" w:space="0" w:color="auto"/>
        <w:bottom w:val="none" w:sz="0" w:space="0" w:color="auto"/>
        <w:right w:val="none" w:sz="0" w:space="0" w:color="auto"/>
      </w:divBdr>
    </w:div>
    <w:div w:id="814104609">
      <w:bodyDiv w:val="1"/>
      <w:marLeft w:val="0"/>
      <w:marRight w:val="0"/>
      <w:marTop w:val="0"/>
      <w:marBottom w:val="0"/>
      <w:divBdr>
        <w:top w:val="none" w:sz="0" w:space="0" w:color="auto"/>
        <w:left w:val="none" w:sz="0" w:space="0" w:color="auto"/>
        <w:bottom w:val="none" w:sz="0" w:space="0" w:color="auto"/>
        <w:right w:val="none" w:sz="0" w:space="0" w:color="auto"/>
      </w:divBdr>
    </w:div>
    <w:div w:id="854542342">
      <w:bodyDiv w:val="1"/>
      <w:marLeft w:val="0"/>
      <w:marRight w:val="0"/>
      <w:marTop w:val="0"/>
      <w:marBottom w:val="0"/>
      <w:divBdr>
        <w:top w:val="none" w:sz="0" w:space="0" w:color="auto"/>
        <w:left w:val="none" w:sz="0" w:space="0" w:color="auto"/>
        <w:bottom w:val="none" w:sz="0" w:space="0" w:color="auto"/>
        <w:right w:val="none" w:sz="0" w:space="0" w:color="auto"/>
      </w:divBdr>
    </w:div>
    <w:div w:id="922955491">
      <w:bodyDiv w:val="1"/>
      <w:marLeft w:val="0"/>
      <w:marRight w:val="0"/>
      <w:marTop w:val="0"/>
      <w:marBottom w:val="0"/>
      <w:divBdr>
        <w:top w:val="none" w:sz="0" w:space="0" w:color="auto"/>
        <w:left w:val="none" w:sz="0" w:space="0" w:color="auto"/>
        <w:bottom w:val="none" w:sz="0" w:space="0" w:color="auto"/>
        <w:right w:val="none" w:sz="0" w:space="0" w:color="auto"/>
      </w:divBdr>
    </w:div>
    <w:div w:id="935137084">
      <w:bodyDiv w:val="1"/>
      <w:marLeft w:val="0"/>
      <w:marRight w:val="0"/>
      <w:marTop w:val="0"/>
      <w:marBottom w:val="0"/>
      <w:divBdr>
        <w:top w:val="none" w:sz="0" w:space="0" w:color="auto"/>
        <w:left w:val="none" w:sz="0" w:space="0" w:color="auto"/>
        <w:bottom w:val="none" w:sz="0" w:space="0" w:color="auto"/>
        <w:right w:val="none" w:sz="0" w:space="0" w:color="auto"/>
      </w:divBdr>
    </w:div>
    <w:div w:id="945119241">
      <w:bodyDiv w:val="1"/>
      <w:marLeft w:val="0"/>
      <w:marRight w:val="0"/>
      <w:marTop w:val="0"/>
      <w:marBottom w:val="0"/>
      <w:divBdr>
        <w:top w:val="none" w:sz="0" w:space="0" w:color="auto"/>
        <w:left w:val="none" w:sz="0" w:space="0" w:color="auto"/>
        <w:bottom w:val="none" w:sz="0" w:space="0" w:color="auto"/>
        <w:right w:val="none" w:sz="0" w:space="0" w:color="auto"/>
      </w:divBdr>
    </w:div>
    <w:div w:id="961038726">
      <w:bodyDiv w:val="1"/>
      <w:marLeft w:val="0"/>
      <w:marRight w:val="0"/>
      <w:marTop w:val="0"/>
      <w:marBottom w:val="0"/>
      <w:divBdr>
        <w:top w:val="none" w:sz="0" w:space="0" w:color="auto"/>
        <w:left w:val="none" w:sz="0" w:space="0" w:color="auto"/>
        <w:bottom w:val="none" w:sz="0" w:space="0" w:color="auto"/>
        <w:right w:val="none" w:sz="0" w:space="0" w:color="auto"/>
      </w:divBdr>
    </w:div>
    <w:div w:id="995495678">
      <w:bodyDiv w:val="1"/>
      <w:marLeft w:val="0"/>
      <w:marRight w:val="0"/>
      <w:marTop w:val="0"/>
      <w:marBottom w:val="0"/>
      <w:divBdr>
        <w:top w:val="none" w:sz="0" w:space="0" w:color="auto"/>
        <w:left w:val="none" w:sz="0" w:space="0" w:color="auto"/>
        <w:bottom w:val="none" w:sz="0" w:space="0" w:color="auto"/>
        <w:right w:val="none" w:sz="0" w:space="0" w:color="auto"/>
      </w:divBdr>
    </w:div>
    <w:div w:id="1036349350">
      <w:bodyDiv w:val="1"/>
      <w:marLeft w:val="0"/>
      <w:marRight w:val="0"/>
      <w:marTop w:val="0"/>
      <w:marBottom w:val="0"/>
      <w:divBdr>
        <w:top w:val="none" w:sz="0" w:space="0" w:color="auto"/>
        <w:left w:val="none" w:sz="0" w:space="0" w:color="auto"/>
        <w:bottom w:val="none" w:sz="0" w:space="0" w:color="auto"/>
        <w:right w:val="none" w:sz="0" w:space="0" w:color="auto"/>
      </w:divBdr>
    </w:div>
    <w:div w:id="1073430895">
      <w:bodyDiv w:val="1"/>
      <w:marLeft w:val="0"/>
      <w:marRight w:val="0"/>
      <w:marTop w:val="0"/>
      <w:marBottom w:val="0"/>
      <w:divBdr>
        <w:top w:val="none" w:sz="0" w:space="0" w:color="auto"/>
        <w:left w:val="none" w:sz="0" w:space="0" w:color="auto"/>
        <w:bottom w:val="none" w:sz="0" w:space="0" w:color="auto"/>
        <w:right w:val="none" w:sz="0" w:space="0" w:color="auto"/>
      </w:divBdr>
    </w:div>
    <w:div w:id="1085037006">
      <w:bodyDiv w:val="1"/>
      <w:marLeft w:val="0"/>
      <w:marRight w:val="0"/>
      <w:marTop w:val="0"/>
      <w:marBottom w:val="0"/>
      <w:divBdr>
        <w:top w:val="none" w:sz="0" w:space="0" w:color="auto"/>
        <w:left w:val="none" w:sz="0" w:space="0" w:color="auto"/>
        <w:bottom w:val="none" w:sz="0" w:space="0" w:color="auto"/>
        <w:right w:val="none" w:sz="0" w:space="0" w:color="auto"/>
      </w:divBdr>
    </w:div>
    <w:div w:id="1103915940">
      <w:bodyDiv w:val="1"/>
      <w:marLeft w:val="0"/>
      <w:marRight w:val="0"/>
      <w:marTop w:val="0"/>
      <w:marBottom w:val="0"/>
      <w:divBdr>
        <w:top w:val="none" w:sz="0" w:space="0" w:color="auto"/>
        <w:left w:val="none" w:sz="0" w:space="0" w:color="auto"/>
        <w:bottom w:val="none" w:sz="0" w:space="0" w:color="auto"/>
        <w:right w:val="none" w:sz="0" w:space="0" w:color="auto"/>
      </w:divBdr>
    </w:div>
    <w:div w:id="1126311731">
      <w:bodyDiv w:val="1"/>
      <w:marLeft w:val="0"/>
      <w:marRight w:val="0"/>
      <w:marTop w:val="0"/>
      <w:marBottom w:val="0"/>
      <w:divBdr>
        <w:top w:val="none" w:sz="0" w:space="0" w:color="auto"/>
        <w:left w:val="none" w:sz="0" w:space="0" w:color="auto"/>
        <w:bottom w:val="none" w:sz="0" w:space="0" w:color="auto"/>
        <w:right w:val="none" w:sz="0" w:space="0" w:color="auto"/>
      </w:divBdr>
    </w:div>
    <w:div w:id="1146698921">
      <w:bodyDiv w:val="1"/>
      <w:marLeft w:val="0"/>
      <w:marRight w:val="0"/>
      <w:marTop w:val="0"/>
      <w:marBottom w:val="0"/>
      <w:divBdr>
        <w:top w:val="none" w:sz="0" w:space="0" w:color="auto"/>
        <w:left w:val="none" w:sz="0" w:space="0" w:color="auto"/>
        <w:bottom w:val="none" w:sz="0" w:space="0" w:color="auto"/>
        <w:right w:val="none" w:sz="0" w:space="0" w:color="auto"/>
      </w:divBdr>
    </w:div>
    <w:div w:id="1148740552">
      <w:bodyDiv w:val="1"/>
      <w:marLeft w:val="0"/>
      <w:marRight w:val="0"/>
      <w:marTop w:val="0"/>
      <w:marBottom w:val="0"/>
      <w:divBdr>
        <w:top w:val="none" w:sz="0" w:space="0" w:color="auto"/>
        <w:left w:val="none" w:sz="0" w:space="0" w:color="auto"/>
        <w:bottom w:val="none" w:sz="0" w:space="0" w:color="auto"/>
        <w:right w:val="none" w:sz="0" w:space="0" w:color="auto"/>
      </w:divBdr>
    </w:div>
    <w:div w:id="1189442788">
      <w:bodyDiv w:val="1"/>
      <w:marLeft w:val="0"/>
      <w:marRight w:val="0"/>
      <w:marTop w:val="0"/>
      <w:marBottom w:val="0"/>
      <w:divBdr>
        <w:top w:val="none" w:sz="0" w:space="0" w:color="auto"/>
        <w:left w:val="none" w:sz="0" w:space="0" w:color="auto"/>
        <w:bottom w:val="none" w:sz="0" w:space="0" w:color="auto"/>
        <w:right w:val="none" w:sz="0" w:space="0" w:color="auto"/>
      </w:divBdr>
    </w:div>
    <w:div w:id="1204974916">
      <w:bodyDiv w:val="1"/>
      <w:marLeft w:val="0"/>
      <w:marRight w:val="0"/>
      <w:marTop w:val="0"/>
      <w:marBottom w:val="0"/>
      <w:divBdr>
        <w:top w:val="none" w:sz="0" w:space="0" w:color="auto"/>
        <w:left w:val="none" w:sz="0" w:space="0" w:color="auto"/>
        <w:bottom w:val="none" w:sz="0" w:space="0" w:color="auto"/>
        <w:right w:val="none" w:sz="0" w:space="0" w:color="auto"/>
      </w:divBdr>
    </w:div>
    <w:div w:id="1229419033">
      <w:bodyDiv w:val="1"/>
      <w:marLeft w:val="0"/>
      <w:marRight w:val="0"/>
      <w:marTop w:val="0"/>
      <w:marBottom w:val="0"/>
      <w:divBdr>
        <w:top w:val="none" w:sz="0" w:space="0" w:color="auto"/>
        <w:left w:val="none" w:sz="0" w:space="0" w:color="auto"/>
        <w:bottom w:val="none" w:sz="0" w:space="0" w:color="auto"/>
        <w:right w:val="none" w:sz="0" w:space="0" w:color="auto"/>
      </w:divBdr>
    </w:div>
    <w:div w:id="1239680406">
      <w:bodyDiv w:val="1"/>
      <w:marLeft w:val="0"/>
      <w:marRight w:val="0"/>
      <w:marTop w:val="0"/>
      <w:marBottom w:val="0"/>
      <w:divBdr>
        <w:top w:val="none" w:sz="0" w:space="0" w:color="auto"/>
        <w:left w:val="none" w:sz="0" w:space="0" w:color="auto"/>
        <w:bottom w:val="none" w:sz="0" w:space="0" w:color="auto"/>
        <w:right w:val="none" w:sz="0" w:space="0" w:color="auto"/>
      </w:divBdr>
    </w:div>
    <w:div w:id="1256204330">
      <w:bodyDiv w:val="1"/>
      <w:marLeft w:val="0"/>
      <w:marRight w:val="0"/>
      <w:marTop w:val="0"/>
      <w:marBottom w:val="0"/>
      <w:divBdr>
        <w:top w:val="none" w:sz="0" w:space="0" w:color="auto"/>
        <w:left w:val="none" w:sz="0" w:space="0" w:color="auto"/>
        <w:bottom w:val="none" w:sz="0" w:space="0" w:color="auto"/>
        <w:right w:val="none" w:sz="0" w:space="0" w:color="auto"/>
      </w:divBdr>
    </w:div>
    <w:div w:id="1303315791">
      <w:bodyDiv w:val="1"/>
      <w:marLeft w:val="0"/>
      <w:marRight w:val="0"/>
      <w:marTop w:val="0"/>
      <w:marBottom w:val="0"/>
      <w:divBdr>
        <w:top w:val="none" w:sz="0" w:space="0" w:color="auto"/>
        <w:left w:val="none" w:sz="0" w:space="0" w:color="auto"/>
        <w:bottom w:val="none" w:sz="0" w:space="0" w:color="auto"/>
        <w:right w:val="none" w:sz="0" w:space="0" w:color="auto"/>
      </w:divBdr>
    </w:div>
    <w:div w:id="1313175553">
      <w:bodyDiv w:val="1"/>
      <w:marLeft w:val="0"/>
      <w:marRight w:val="0"/>
      <w:marTop w:val="0"/>
      <w:marBottom w:val="0"/>
      <w:divBdr>
        <w:top w:val="none" w:sz="0" w:space="0" w:color="auto"/>
        <w:left w:val="none" w:sz="0" w:space="0" w:color="auto"/>
        <w:bottom w:val="none" w:sz="0" w:space="0" w:color="auto"/>
        <w:right w:val="none" w:sz="0" w:space="0" w:color="auto"/>
      </w:divBdr>
    </w:div>
    <w:div w:id="1334648326">
      <w:bodyDiv w:val="1"/>
      <w:marLeft w:val="0"/>
      <w:marRight w:val="0"/>
      <w:marTop w:val="0"/>
      <w:marBottom w:val="0"/>
      <w:divBdr>
        <w:top w:val="none" w:sz="0" w:space="0" w:color="auto"/>
        <w:left w:val="none" w:sz="0" w:space="0" w:color="auto"/>
        <w:bottom w:val="none" w:sz="0" w:space="0" w:color="auto"/>
        <w:right w:val="none" w:sz="0" w:space="0" w:color="auto"/>
      </w:divBdr>
    </w:div>
    <w:div w:id="1380009501">
      <w:bodyDiv w:val="1"/>
      <w:marLeft w:val="0"/>
      <w:marRight w:val="0"/>
      <w:marTop w:val="0"/>
      <w:marBottom w:val="0"/>
      <w:divBdr>
        <w:top w:val="none" w:sz="0" w:space="0" w:color="auto"/>
        <w:left w:val="none" w:sz="0" w:space="0" w:color="auto"/>
        <w:bottom w:val="none" w:sz="0" w:space="0" w:color="auto"/>
        <w:right w:val="none" w:sz="0" w:space="0" w:color="auto"/>
      </w:divBdr>
    </w:div>
    <w:div w:id="1422293815">
      <w:bodyDiv w:val="1"/>
      <w:marLeft w:val="0"/>
      <w:marRight w:val="0"/>
      <w:marTop w:val="0"/>
      <w:marBottom w:val="0"/>
      <w:divBdr>
        <w:top w:val="none" w:sz="0" w:space="0" w:color="auto"/>
        <w:left w:val="none" w:sz="0" w:space="0" w:color="auto"/>
        <w:bottom w:val="none" w:sz="0" w:space="0" w:color="auto"/>
        <w:right w:val="none" w:sz="0" w:space="0" w:color="auto"/>
      </w:divBdr>
    </w:div>
    <w:div w:id="1441216600">
      <w:bodyDiv w:val="1"/>
      <w:marLeft w:val="0"/>
      <w:marRight w:val="0"/>
      <w:marTop w:val="0"/>
      <w:marBottom w:val="0"/>
      <w:divBdr>
        <w:top w:val="none" w:sz="0" w:space="0" w:color="auto"/>
        <w:left w:val="none" w:sz="0" w:space="0" w:color="auto"/>
        <w:bottom w:val="none" w:sz="0" w:space="0" w:color="auto"/>
        <w:right w:val="none" w:sz="0" w:space="0" w:color="auto"/>
      </w:divBdr>
    </w:div>
    <w:div w:id="1452437857">
      <w:bodyDiv w:val="1"/>
      <w:marLeft w:val="0"/>
      <w:marRight w:val="0"/>
      <w:marTop w:val="0"/>
      <w:marBottom w:val="0"/>
      <w:divBdr>
        <w:top w:val="none" w:sz="0" w:space="0" w:color="auto"/>
        <w:left w:val="none" w:sz="0" w:space="0" w:color="auto"/>
        <w:bottom w:val="none" w:sz="0" w:space="0" w:color="auto"/>
        <w:right w:val="none" w:sz="0" w:space="0" w:color="auto"/>
      </w:divBdr>
    </w:div>
    <w:div w:id="1487745378">
      <w:bodyDiv w:val="1"/>
      <w:marLeft w:val="0"/>
      <w:marRight w:val="0"/>
      <w:marTop w:val="0"/>
      <w:marBottom w:val="0"/>
      <w:divBdr>
        <w:top w:val="none" w:sz="0" w:space="0" w:color="auto"/>
        <w:left w:val="none" w:sz="0" w:space="0" w:color="auto"/>
        <w:bottom w:val="none" w:sz="0" w:space="0" w:color="auto"/>
        <w:right w:val="none" w:sz="0" w:space="0" w:color="auto"/>
      </w:divBdr>
    </w:div>
    <w:div w:id="1520850535">
      <w:bodyDiv w:val="1"/>
      <w:marLeft w:val="0"/>
      <w:marRight w:val="0"/>
      <w:marTop w:val="0"/>
      <w:marBottom w:val="0"/>
      <w:divBdr>
        <w:top w:val="none" w:sz="0" w:space="0" w:color="auto"/>
        <w:left w:val="none" w:sz="0" w:space="0" w:color="auto"/>
        <w:bottom w:val="none" w:sz="0" w:space="0" w:color="auto"/>
        <w:right w:val="none" w:sz="0" w:space="0" w:color="auto"/>
      </w:divBdr>
    </w:div>
    <w:div w:id="1540243046">
      <w:bodyDiv w:val="1"/>
      <w:marLeft w:val="0"/>
      <w:marRight w:val="0"/>
      <w:marTop w:val="0"/>
      <w:marBottom w:val="0"/>
      <w:divBdr>
        <w:top w:val="none" w:sz="0" w:space="0" w:color="auto"/>
        <w:left w:val="none" w:sz="0" w:space="0" w:color="auto"/>
        <w:bottom w:val="none" w:sz="0" w:space="0" w:color="auto"/>
        <w:right w:val="none" w:sz="0" w:space="0" w:color="auto"/>
      </w:divBdr>
    </w:div>
    <w:div w:id="1540973805">
      <w:bodyDiv w:val="1"/>
      <w:marLeft w:val="0"/>
      <w:marRight w:val="0"/>
      <w:marTop w:val="0"/>
      <w:marBottom w:val="0"/>
      <w:divBdr>
        <w:top w:val="none" w:sz="0" w:space="0" w:color="auto"/>
        <w:left w:val="none" w:sz="0" w:space="0" w:color="auto"/>
        <w:bottom w:val="none" w:sz="0" w:space="0" w:color="auto"/>
        <w:right w:val="none" w:sz="0" w:space="0" w:color="auto"/>
      </w:divBdr>
    </w:div>
    <w:div w:id="1575972519">
      <w:bodyDiv w:val="1"/>
      <w:marLeft w:val="0"/>
      <w:marRight w:val="0"/>
      <w:marTop w:val="0"/>
      <w:marBottom w:val="0"/>
      <w:divBdr>
        <w:top w:val="none" w:sz="0" w:space="0" w:color="auto"/>
        <w:left w:val="none" w:sz="0" w:space="0" w:color="auto"/>
        <w:bottom w:val="none" w:sz="0" w:space="0" w:color="auto"/>
        <w:right w:val="none" w:sz="0" w:space="0" w:color="auto"/>
      </w:divBdr>
    </w:div>
    <w:div w:id="1604341267">
      <w:bodyDiv w:val="1"/>
      <w:marLeft w:val="0"/>
      <w:marRight w:val="0"/>
      <w:marTop w:val="0"/>
      <w:marBottom w:val="0"/>
      <w:divBdr>
        <w:top w:val="none" w:sz="0" w:space="0" w:color="auto"/>
        <w:left w:val="none" w:sz="0" w:space="0" w:color="auto"/>
        <w:bottom w:val="none" w:sz="0" w:space="0" w:color="auto"/>
        <w:right w:val="none" w:sz="0" w:space="0" w:color="auto"/>
      </w:divBdr>
    </w:div>
    <w:div w:id="1608198704">
      <w:bodyDiv w:val="1"/>
      <w:marLeft w:val="0"/>
      <w:marRight w:val="0"/>
      <w:marTop w:val="0"/>
      <w:marBottom w:val="0"/>
      <w:divBdr>
        <w:top w:val="none" w:sz="0" w:space="0" w:color="auto"/>
        <w:left w:val="none" w:sz="0" w:space="0" w:color="auto"/>
        <w:bottom w:val="none" w:sz="0" w:space="0" w:color="auto"/>
        <w:right w:val="none" w:sz="0" w:space="0" w:color="auto"/>
      </w:divBdr>
    </w:div>
    <w:div w:id="1628898758">
      <w:bodyDiv w:val="1"/>
      <w:marLeft w:val="0"/>
      <w:marRight w:val="0"/>
      <w:marTop w:val="0"/>
      <w:marBottom w:val="0"/>
      <w:divBdr>
        <w:top w:val="none" w:sz="0" w:space="0" w:color="auto"/>
        <w:left w:val="none" w:sz="0" w:space="0" w:color="auto"/>
        <w:bottom w:val="none" w:sz="0" w:space="0" w:color="auto"/>
        <w:right w:val="none" w:sz="0" w:space="0" w:color="auto"/>
      </w:divBdr>
    </w:div>
    <w:div w:id="1665433574">
      <w:bodyDiv w:val="1"/>
      <w:marLeft w:val="0"/>
      <w:marRight w:val="0"/>
      <w:marTop w:val="0"/>
      <w:marBottom w:val="0"/>
      <w:divBdr>
        <w:top w:val="none" w:sz="0" w:space="0" w:color="auto"/>
        <w:left w:val="none" w:sz="0" w:space="0" w:color="auto"/>
        <w:bottom w:val="none" w:sz="0" w:space="0" w:color="auto"/>
        <w:right w:val="none" w:sz="0" w:space="0" w:color="auto"/>
      </w:divBdr>
    </w:div>
    <w:div w:id="1711032969">
      <w:bodyDiv w:val="1"/>
      <w:marLeft w:val="0"/>
      <w:marRight w:val="0"/>
      <w:marTop w:val="0"/>
      <w:marBottom w:val="0"/>
      <w:divBdr>
        <w:top w:val="none" w:sz="0" w:space="0" w:color="auto"/>
        <w:left w:val="none" w:sz="0" w:space="0" w:color="auto"/>
        <w:bottom w:val="none" w:sz="0" w:space="0" w:color="auto"/>
        <w:right w:val="none" w:sz="0" w:space="0" w:color="auto"/>
      </w:divBdr>
    </w:div>
    <w:div w:id="1734738684">
      <w:bodyDiv w:val="1"/>
      <w:marLeft w:val="0"/>
      <w:marRight w:val="0"/>
      <w:marTop w:val="0"/>
      <w:marBottom w:val="0"/>
      <w:divBdr>
        <w:top w:val="none" w:sz="0" w:space="0" w:color="auto"/>
        <w:left w:val="none" w:sz="0" w:space="0" w:color="auto"/>
        <w:bottom w:val="none" w:sz="0" w:space="0" w:color="auto"/>
        <w:right w:val="none" w:sz="0" w:space="0" w:color="auto"/>
      </w:divBdr>
    </w:div>
    <w:div w:id="1762334544">
      <w:bodyDiv w:val="1"/>
      <w:marLeft w:val="0"/>
      <w:marRight w:val="0"/>
      <w:marTop w:val="0"/>
      <w:marBottom w:val="0"/>
      <w:divBdr>
        <w:top w:val="none" w:sz="0" w:space="0" w:color="auto"/>
        <w:left w:val="none" w:sz="0" w:space="0" w:color="auto"/>
        <w:bottom w:val="none" w:sz="0" w:space="0" w:color="auto"/>
        <w:right w:val="none" w:sz="0" w:space="0" w:color="auto"/>
      </w:divBdr>
    </w:div>
    <w:div w:id="1772241674">
      <w:bodyDiv w:val="1"/>
      <w:marLeft w:val="0"/>
      <w:marRight w:val="0"/>
      <w:marTop w:val="0"/>
      <w:marBottom w:val="0"/>
      <w:divBdr>
        <w:top w:val="none" w:sz="0" w:space="0" w:color="auto"/>
        <w:left w:val="none" w:sz="0" w:space="0" w:color="auto"/>
        <w:bottom w:val="none" w:sz="0" w:space="0" w:color="auto"/>
        <w:right w:val="none" w:sz="0" w:space="0" w:color="auto"/>
      </w:divBdr>
    </w:div>
    <w:div w:id="1779979993">
      <w:bodyDiv w:val="1"/>
      <w:marLeft w:val="0"/>
      <w:marRight w:val="0"/>
      <w:marTop w:val="0"/>
      <w:marBottom w:val="0"/>
      <w:divBdr>
        <w:top w:val="none" w:sz="0" w:space="0" w:color="auto"/>
        <w:left w:val="none" w:sz="0" w:space="0" w:color="auto"/>
        <w:bottom w:val="none" w:sz="0" w:space="0" w:color="auto"/>
        <w:right w:val="none" w:sz="0" w:space="0" w:color="auto"/>
      </w:divBdr>
    </w:div>
    <w:div w:id="1804343509">
      <w:bodyDiv w:val="1"/>
      <w:marLeft w:val="0"/>
      <w:marRight w:val="0"/>
      <w:marTop w:val="0"/>
      <w:marBottom w:val="0"/>
      <w:divBdr>
        <w:top w:val="none" w:sz="0" w:space="0" w:color="auto"/>
        <w:left w:val="none" w:sz="0" w:space="0" w:color="auto"/>
        <w:bottom w:val="none" w:sz="0" w:space="0" w:color="auto"/>
        <w:right w:val="none" w:sz="0" w:space="0" w:color="auto"/>
      </w:divBdr>
    </w:div>
    <w:div w:id="1831554086">
      <w:bodyDiv w:val="1"/>
      <w:marLeft w:val="0"/>
      <w:marRight w:val="0"/>
      <w:marTop w:val="0"/>
      <w:marBottom w:val="0"/>
      <w:divBdr>
        <w:top w:val="none" w:sz="0" w:space="0" w:color="auto"/>
        <w:left w:val="none" w:sz="0" w:space="0" w:color="auto"/>
        <w:bottom w:val="none" w:sz="0" w:space="0" w:color="auto"/>
        <w:right w:val="none" w:sz="0" w:space="0" w:color="auto"/>
      </w:divBdr>
    </w:div>
    <w:div w:id="1838763783">
      <w:bodyDiv w:val="1"/>
      <w:marLeft w:val="0"/>
      <w:marRight w:val="0"/>
      <w:marTop w:val="0"/>
      <w:marBottom w:val="0"/>
      <w:divBdr>
        <w:top w:val="none" w:sz="0" w:space="0" w:color="auto"/>
        <w:left w:val="none" w:sz="0" w:space="0" w:color="auto"/>
        <w:bottom w:val="none" w:sz="0" w:space="0" w:color="auto"/>
        <w:right w:val="none" w:sz="0" w:space="0" w:color="auto"/>
      </w:divBdr>
    </w:div>
    <w:div w:id="1848985469">
      <w:bodyDiv w:val="1"/>
      <w:marLeft w:val="0"/>
      <w:marRight w:val="0"/>
      <w:marTop w:val="0"/>
      <w:marBottom w:val="0"/>
      <w:divBdr>
        <w:top w:val="none" w:sz="0" w:space="0" w:color="auto"/>
        <w:left w:val="none" w:sz="0" w:space="0" w:color="auto"/>
        <w:bottom w:val="none" w:sz="0" w:space="0" w:color="auto"/>
        <w:right w:val="none" w:sz="0" w:space="0" w:color="auto"/>
      </w:divBdr>
    </w:div>
    <w:div w:id="1883905047">
      <w:bodyDiv w:val="1"/>
      <w:marLeft w:val="0"/>
      <w:marRight w:val="0"/>
      <w:marTop w:val="0"/>
      <w:marBottom w:val="0"/>
      <w:divBdr>
        <w:top w:val="none" w:sz="0" w:space="0" w:color="auto"/>
        <w:left w:val="none" w:sz="0" w:space="0" w:color="auto"/>
        <w:bottom w:val="none" w:sz="0" w:space="0" w:color="auto"/>
        <w:right w:val="none" w:sz="0" w:space="0" w:color="auto"/>
      </w:divBdr>
    </w:div>
    <w:div w:id="1894384826">
      <w:bodyDiv w:val="1"/>
      <w:marLeft w:val="0"/>
      <w:marRight w:val="0"/>
      <w:marTop w:val="0"/>
      <w:marBottom w:val="0"/>
      <w:divBdr>
        <w:top w:val="none" w:sz="0" w:space="0" w:color="auto"/>
        <w:left w:val="none" w:sz="0" w:space="0" w:color="auto"/>
        <w:bottom w:val="none" w:sz="0" w:space="0" w:color="auto"/>
        <w:right w:val="none" w:sz="0" w:space="0" w:color="auto"/>
      </w:divBdr>
    </w:div>
    <w:div w:id="1898469263">
      <w:bodyDiv w:val="1"/>
      <w:marLeft w:val="0"/>
      <w:marRight w:val="0"/>
      <w:marTop w:val="0"/>
      <w:marBottom w:val="0"/>
      <w:divBdr>
        <w:top w:val="none" w:sz="0" w:space="0" w:color="auto"/>
        <w:left w:val="none" w:sz="0" w:space="0" w:color="auto"/>
        <w:bottom w:val="none" w:sz="0" w:space="0" w:color="auto"/>
        <w:right w:val="none" w:sz="0" w:space="0" w:color="auto"/>
      </w:divBdr>
    </w:div>
    <w:div w:id="1914771903">
      <w:bodyDiv w:val="1"/>
      <w:marLeft w:val="0"/>
      <w:marRight w:val="0"/>
      <w:marTop w:val="0"/>
      <w:marBottom w:val="0"/>
      <w:divBdr>
        <w:top w:val="none" w:sz="0" w:space="0" w:color="auto"/>
        <w:left w:val="none" w:sz="0" w:space="0" w:color="auto"/>
        <w:bottom w:val="none" w:sz="0" w:space="0" w:color="auto"/>
        <w:right w:val="none" w:sz="0" w:space="0" w:color="auto"/>
      </w:divBdr>
    </w:div>
    <w:div w:id="1917012829">
      <w:bodyDiv w:val="1"/>
      <w:marLeft w:val="0"/>
      <w:marRight w:val="0"/>
      <w:marTop w:val="0"/>
      <w:marBottom w:val="0"/>
      <w:divBdr>
        <w:top w:val="none" w:sz="0" w:space="0" w:color="auto"/>
        <w:left w:val="none" w:sz="0" w:space="0" w:color="auto"/>
        <w:bottom w:val="none" w:sz="0" w:space="0" w:color="auto"/>
        <w:right w:val="none" w:sz="0" w:space="0" w:color="auto"/>
      </w:divBdr>
    </w:div>
    <w:div w:id="1925801413">
      <w:bodyDiv w:val="1"/>
      <w:marLeft w:val="0"/>
      <w:marRight w:val="0"/>
      <w:marTop w:val="0"/>
      <w:marBottom w:val="0"/>
      <w:divBdr>
        <w:top w:val="none" w:sz="0" w:space="0" w:color="auto"/>
        <w:left w:val="none" w:sz="0" w:space="0" w:color="auto"/>
        <w:bottom w:val="none" w:sz="0" w:space="0" w:color="auto"/>
        <w:right w:val="none" w:sz="0" w:space="0" w:color="auto"/>
      </w:divBdr>
    </w:div>
    <w:div w:id="1962221595">
      <w:bodyDiv w:val="1"/>
      <w:marLeft w:val="0"/>
      <w:marRight w:val="0"/>
      <w:marTop w:val="0"/>
      <w:marBottom w:val="0"/>
      <w:divBdr>
        <w:top w:val="none" w:sz="0" w:space="0" w:color="auto"/>
        <w:left w:val="none" w:sz="0" w:space="0" w:color="auto"/>
        <w:bottom w:val="none" w:sz="0" w:space="0" w:color="auto"/>
        <w:right w:val="none" w:sz="0" w:space="0" w:color="auto"/>
      </w:divBdr>
    </w:div>
    <w:div w:id="2019044070">
      <w:bodyDiv w:val="1"/>
      <w:marLeft w:val="0"/>
      <w:marRight w:val="0"/>
      <w:marTop w:val="0"/>
      <w:marBottom w:val="0"/>
      <w:divBdr>
        <w:top w:val="none" w:sz="0" w:space="0" w:color="auto"/>
        <w:left w:val="none" w:sz="0" w:space="0" w:color="auto"/>
        <w:bottom w:val="none" w:sz="0" w:space="0" w:color="auto"/>
        <w:right w:val="none" w:sz="0" w:space="0" w:color="auto"/>
      </w:divBdr>
    </w:div>
    <w:div w:id="2026320130">
      <w:bodyDiv w:val="1"/>
      <w:marLeft w:val="0"/>
      <w:marRight w:val="0"/>
      <w:marTop w:val="0"/>
      <w:marBottom w:val="0"/>
      <w:divBdr>
        <w:top w:val="none" w:sz="0" w:space="0" w:color="auto"/>
        <w:left w:val="none" w:sz="0" w:space="0" w:color="auto"/>
        <w:bottom w:val="none" w:sz="0" w:space="0" w:color="auto"/>
        <w:right w:val="none" w:sz="0" w:space="0" w:color="auto"/>
      </w:divBdr>
    </w:div>
    <w:div w:id="2032414590">
      <w:bodyDiv w:val="1"/>
      <w:marLeft w:val="0"/>
      <w:marRight w:val="0"/>
      <w:marTop w:val="0"/>
      <w:marBottom w:val="0"/>
      <w:divBdr>
        <w:top w:val="none" w:sz="0" w:space="0" w:color="auto"/>
        <w:left w:val="none" w:sz="0" w:space="0" w:color="auto"/>
        <w:bottom w:val="none" w:sz="0" w:space="0" w:color="auto"/>
        <w:right w:val="none" w:sz="0" w:space="0" w:color="auto"/>
      </w:divBdr>
    </w:div>
    <w:div w:id="2034069578">
      <w:bodyDiv w:val="1"/>
      <w:marLeft w:val="0"/>
      <w:marRight w:val="0"/>
      <w:marTop w:val="0"/>
      <w:marBottom w:val="0"/>
      <w:divBdr>
        <w:top w:val="none" w:sz="0" w:space="0" w:color="auto"/>
        <w:left w:val="none" w:sz="0" w:space="0" w:color="auto"/>
        <w:bottom w:val="none" w:sz="0" w:space="0" w:color="auto"/>
        <w:right w:val="none" w:sz="0" w:space="0" w:color="auto"/>
      </w:divBdr>
    </w:div>
    <w:div w:id="206729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9.emf"/><Relationship Id="rId21" Type="http://schemas.openxmlformats.org/officeDocument/2006/relationships/image" Target="media/image13.emf"/><Relationship Id="rId34" Type="http://schemas.openxmlformats.org/officeDocument/2006/relationships/image" Target="media/image25.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3.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ustomXml" Target="../customXml/item3.xml"/><Relationship Id="rId19" Type="http://schemas.openxmlformats.org/officeDocument/2006/relationships/image" Target="media/image11.png"/><Relationship Id="rId14" Type="http://schemas.openxmlformats.org/officeDocument/2006/relationships/image" Target="media/image6.jp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6.emf"/><Relationship Id="rId43" Type="http://schemas.openxmlformats.org/officeDocument/2006/relationships/image" Target="media/image33.png"/><Relationship Id="rId48" Type="http://schemas.openxmlformats.org/officeDocument/2006/relationships/image" Target="media/image38.emf"/><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png"/><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1.emf"/><Relationship Id="rId54" Type="http://schemas.openxmlformats.org/officeDocument/2006/relationships/image" Target="media/image44.png"/><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yperlink" Target="http://www.sicofi.minvivienda.gov.co" TargetMode="External"/><Relationship Id="rId49" Type="http://schemas.openxmlformats.org/officeDocument/2006/relationships/image" Target="media/image39.emf"/><Relationship Id="rId57" Type="http://schemas.openxmlformats.org/officeDocument/2006/relationships/footer" Target="footer1.xml"/><Relationship Id="rId10" Type="http://schemas.microsoft.com/office/2007/relationships/hdphoto" Target="media/hdphoto1.wdp"/><Relationship Id="rId31" Type="http://schemas.openxmlformats.org/officeDocument/2006/relationships/hyperlink" Target="http://portal.minvivienda.local/Documents/Sobre%20el%20Ministerio/Talento%20humano/Plan%20anual%20de%20Vacantes/PLAN%20DE%20VACANTES.pdf" TargetMode="External"/><Relationship Id="rId44" Type="http://schemas.openxmlformats.org/officeDocument/2006/relationships/image" Target="media/image34.emf"/><Relationship Id="rId52" Type="http://schemas.openxmlformats.org/officeDocument/2006/relationships/image" Target="media/image42.png"/><Relationship Id="rId60"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ransmisión de listas">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DCC6A9-2BFF-4085-9982-C846ED29777C}"/>
</file>

<file path=customXml/itemProps2.xml><?xml version="1.0" encoding="utf-8"?>
<ds:datastoreItem xmlns:ds="http://schemas.openxmlformats.org/officeDocument/2006/customXml" ds:itemID="{A33105E9-C726-4287-B78D-275E9FA95E30}"/>
</file>

<file path=customXml/itemProps3.xml><?xml version="1.0" encoding="utf-8"?>
<ds:datastoreItem xmlns:ds="http://schemas.openxmlformats.org/officeDocument/2006/customXml" ds:itemID="{0401A378-3723-49A5-8505-203DADA3A33A}"/>
</file>

<file path=customXml/itemProps4.xml><?xml version="1.0" encoding="utf-8"?>
<ds:datastoreItem xmlns:ds="http://schemas.openxmlformats.org/officeDocument/2006/customXml" ds:itemID="{3FE8559E-8F40-4F92-A670-EA7BF6FCE49B}"/>
</file>

<file path=docProps/app.xml><?xml version="1.0" encoding="utf-8"?>
<Properties xmlns="http://schemas.openxmlformats.org/officeDocument/2006/extended-properties" xmlns:vt="http://schemas.openxmlformats.org/officeDocument/2006/docPropsVTypes">
  <Template>Normal</Template>
  <TotalTime>1</TotalTime>
  <Pages>77</Pages>
  <Words>17195</Words>
  <Characters>94573</Characters>
  <Application>Microsoft Office Word</Application>
  <DocSecurity>0</DocSecurity>
  <Lines>788</Lines>
  <Paragraphs>223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Lorena Garces Vega</dc:creator>
  <cp:lastModifiedBy>Nelson Yesid Rodriguez Bernal</cp:lastModifiedBy>
  <cp:revision>2</cp:revision>
  <cp:lastPrinted>2017-10-27T15:00:00Z</cp:lastPrinted>
  <dcterms:created xsi:type="dcterms:W3CDTF">2017-10-31T16:35:00Z</dcterms:created>
  <dcterms:modified xsi:type="dcterms:W3CDTF">2017-10-31T16:35:00Z</dcterms:modified>
</cp:coreProperties>
</file>