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9"/>
      </w:tblGrid>
      <w:tr w:rsidR="00821EFC" w14:paraId="36F73826" w14:textId="77777777" w:rsidTr="00821EFC">
        <w:trPr>
          <w:trHeight w:val="2395"/>
        </w:trPr>
        <w:tc>
          <w:tcPr>
            <w:tcW w:w="8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AF38" w14:textId="77777777" w:rsidR="00821EFC" w:rsidRDefault="00821EFC" w:rsidP="0039716F">
            <w:pPr>
              <w:jc w:val="center"/>
            </w:pPr>
            <w:r>
              <w:rPr>
                <w:rFonts w:ascii="Arial" w:hAnsi="Arial"/>
                <w:b/>
                <w:sz w:val="22"/>
                <w:szCs w:val="22"/>
                <w:lang w:val="es-ES"/>
              </w:rPr>
              <w:t>Anexo No 1</w:t>
            </w:r>
          </w:p>
          <w:p w14:paraId="15CB55A6" w14:textId="77777777" w:rsidR="00821EFC" w:rsidRPr="0044337E" w:rsidRDefault="00821EFC" w:rsidP="0039716F">
            <w:pPr>
              <w:jc w:val="center"/>
              <w:rPr>
                <w:rFonts w:ascii="Arial" w:hAnsi="Arial"/>
                <w:b/>
                <w:bCs/>
                <w:sz w:val="22"/>
                <w:szCs w:val="22"/>
                <w:lang w:val="es-ES"/>
              </w:rPr>
            </w:pPr>
            <w:r w:rsidRPr="0044337E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DECLARACIÓN DE ACEPTACIÓN DE LAS NORMAS ANTICORRUPCIÓN DEL</w:t>
            </w:r>
          </w:p>
          <w:p w14:paraId="34A16FFC" w14:textId="77777777" w:rsidR="00821EFC" w:rsidRDefault="00821EFC" w:rsidP="0039716F">
            <w:pPr>
              <w:jc w:val="center"/>
              <w:rPr>
                <w:rFonts w:ascii="Arial" w:hAnsi="Arial"/>
                <w:sz w:val="22"/>
                <w:szCs w:val="22"/>
                <w:lang w:val="es-ES"/>
              </w:rPr>
            </w:pPr>
            <w:r w:rsidRPr="0044337E">
              <w:rPr>
                <w:rFonts w:ascii="Arial" w:hAnsi="Arial"/>
                <w:b/>
                <w:bCs/>
                <w:sz w:val="22"/>
                <w:szCs w:val="22"/>
                <w:lang w:val="es-ES"/>
              </w:rPr>
              <w:t>BANCO MUNDIAL Y SU RÉGIMEN DE SANCIONES</w:t>
            </w:r>
            <w:r>
              <w:rPr>
                <w:rStyle w:val="Refdenotaalpie"/>
                <w:rFonts w:ascii="Arial" w:hAnsi="Arial"/>
                <w:sz w:val="22"/>
                <w:szCs w:val="22"/>
                <w:lang w:val="es-ES"/>
              </w:rPr>
              <w:footnoteReference w:id="1"/>
            </w:r>
          </w:p>
          <w:p w14:paraId="22EB465E" w14:textId="36E2B5D3" w:rsidR="00821EFC" w:rsidRDefault="00821EFC" w:rsidP="00821EFC">
            <w:pPr>
              <w:jc w:val="center"/>
              <w:rPr>
                <w:rFonts w:ascii="Arial" w:hAnsi="Arial"/>
                <w:b/>
                <w:bCs/>
                <w:i/>
                <w:iCs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  <w:t>Formato Carta de Intención - Modalidad Mejoramientos de Vivienda</w:t>
            </w:r>
          </w:p>
        </w:tc>
      </w:tr>
    </w:tbl>
    <w:p w14:paraId="4531E5E4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69EFFBE7" w14:textId="422C982A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 Fecha:  </w:t>
      </w:r>
    </w:p>
    <w:p w14:paraId="369FC8A0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 </w:t>
      </w:r>
    </w:p>
    <w:p w14:paraId="2AE077B2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Contrato </w:t>
      </w:r>
      <w:r>
        <w:rPr>
          <w:rFonts w:ascii="Arial" w:hAnsi="Arial"/>
          <w:sz w:val="22"/>
          <w:szCs w:val="22"/>
          <w:lang w:val="es-ES"/>
        </w:rPr>
        <w:t xml:space="preserve">No. </w:t>
      </w:r>
      <w:r w:rsidRPr="0044337E">
        <w:rPr>
          <w:rFonts w:ascii="Arial" w:hAnsi="Arial"/>
          <w:sz w:val="22"/>
          <w:szCs w:val="22"/>
          <w:lang w:val="es-ES"/>
        </w:rPr>
        <w:t xml:space="preserve">________________________ </w:t>
      </w:r>
    </w:p>
    <w:p w14:paraId="005CABC7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7E36A909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Contrato suscrito entre: ______________________________________________</w:t>
      </w:r>
    </w:p>
    <w:p w14:paraId="11FFC3DF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3741DF76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Nosotros, junto con nuestros subcontratistas, </w:t>
      </w:r>
      <w:proofErr w:type="spellStart"/>
      <w:r w:rsidRPr="0044337E">
        <w:rPr>
          <w:rFonts w:ascii="Arial" w:hAnsi="Arial"/>
          <w:sz w:val="22"/>
          <w:szCs w:val="22"/>
          <w:lang w:val="es-ES"/>
        </w:rPr>
        <w:t>subconsultores</w:t>
      </w:r>
      <w:proofErr w:type="spellEnd"/>
      <w:r w:rsidRPr="0044337E">
        <w:rPr>
          <w:rFonts w:ascii="Arial" w:hAnsi="Arial"/>
          <w:sz w:val="22"/>
          <w:szCs w:val="22"/>
          <w:lang w:val="es-ES"/>
        </w:rPr>
        <w:t>, proveedores de servicios,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proveedores, agentes (ya sean declarados o no), consultores y personal, reconocemos y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declaramos nuestro acuerdo con cumplir con la política del Banco Mundial sobre Fraude y</w:t>
      </w:r>
    </w:p>
    <w:p w14:paraId="7526882F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>Corrupción (prácticas corrupta, fraudulenta, colusoria, coercitiva y obstructiva), según lo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establecido y definido en las Normas de Anticorrupción del Banco Mundial</w:t>
      </w:r>
      <w:r>
        <w:rPr>
          <w:rStyle w:val="Refdenotaalpie"/>
          <w:rFonts w:ascii="Arial" w:hAnsi="Arial"/>
          <w:sz w:val="22"/>
          <w:szCs w:val="22"/>
          <w:lang w:val="es-ES"/>
        </w:rPr>
        <w:footnoteReference w:id="2"/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con relación a la adquisición y ejecución del contrato descrito en la referencia (“el Contrato”), incluyendo cualquier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enmienda al mismo.</w:t>
      </w:r>
    </w:p>
    <w:p w14:paraId="62435681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 </w:t>
      </w:r>
    </w:p>
    <w:p w14:paraId="4C5A6E33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Declaramos y garantizamos que nosotros, junto con nuestros subcontratistas, </w:t>
      </w:r>
      <w:proofErr w:type="spellStart"/>
      <w:r w:rsidRPr="0044337E">
        <w:rPr>
          <w:rFonts w:ascii="Arial" w:hAnsi="Arial"/>
          <w:sz w:val="22"/>
          <w:szCs w:val="22"/>
          <w:lang w:val="es-ES"/>
        </w:rPr>
        <w:t>subconsultores</w:t>
      </w:r>
      <w:proofErr w:type="spellEnd"/>
      <w:r w:rsidRPr="0044337E">
        <w:rPr>
          <w:rFonts w:ascii="Arial" w:hAnsi="Arial"/>
          <w:sz w:val="22"/>
          <w:szCs w:val="22"/>
          <w:lang w:val="es-ES"/>
        </w:rPr>
        <w:t>,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proveedores de servicios, proveedores, agentes (ya sean declarados o no), consultores y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personal, no dependemos ni estamos controlados por ninguna entidad o individuo que esté sujeto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a una suspensión temporal, suspensión temporal temprana o inhabilitación impuesta por una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institución del Grupo Banco Mundial, incluida, entre otras, una inhabilitación cruzada impuesta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por el Grupo  Banco Mundial según lo acordado con otras instituciones financieras internacionales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(incluidos los bancos multilaterales de desarrollo), o mediante la aplicación de una declaración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de irresponsabilidad del Grupo Banco Mundial sobre la base de Fraude y Corrupción en conexión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 xml:space="preserve">con los procedimientos de adquisiciones institucionales del Grupo Banco Mundial. </w:t>
      </w:r>
    </w:p>
    <w:p w14:paraId="4442847A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 </w:t>
      </w:r>
    </w:p>
    <w:p w14:paraId="46E11004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>Confirmamos nuestra comprensión de las consecuencias de no cumplir con las Normas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Anticorrupción del Banco Mundial, que pueden incluir sanciones siguiendo lo establecido en las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Normas de Anticorrupción del Banco y de conformidad con las políticas y procedimientos de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 xml:space="preserve">sanciones vigentes según lo establecido en el Régimen de Sanciones </w:t>
      </w:r>
      <w:r w:rsidRPr="0044337E">
        <w:rPr>
          <w:rFonts w:ascii="Arial" w:hAnsi="Arial"/>
          <w:sz w:val="22"/>
          <w:szCs w:val="22"/>
          <w:lang w:val="es-ES"/>
        </w:rPr>
        <w:lastRenderedPageBreak/>
        <w:t>del Banco. Esto puede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incluir una declaración pública de inelegibilidad, ya sea de manera indefinida o por un período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determinado de tiempo, (i) para ser adjudicatario o beneficiarse de algún otro modo de un contrato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financiado por el Banco, financieramente o de cualquier otra manera</w:t>
      </w:r>
      <w:r>
        <w:rPr>
          <w:rStyle w:val="Refdenotaalpie"/>
          <w:rFonts w:ascii="Arial" w:hAnsi="Arial"/>
          <w:sz w:val="22"/>
          <w:szCs w:val="22"/>
          <w:lang w:val="es-ES"/>
        </w:rPr>
        <w:footnoteReference w:id="3"/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; (</w:t>
      </w:r>
      <w:proofErr w:type="spellStart"/>
      <w:r w:rsidRPr="0044337E">
        <w:rPr>
          <w:rFonts w:ascii="Arial" w:hAnsi="Arial"/>
          <w:sz w:val="22"/>
          <w:szCs w:val="22"/>
          <w:lang w:val="es-ES"/>
        </w:rPr>
        <w:t>ii</w:t>
      </w:r>
      <w:proofErr w:type="spellEnd"/>
      <w:r w:rsidRPr="0044337E">
        <w:rPr>
          <w:rFonts w:ascii="Arial" w:hAnsi="Arial"/>
          <w:sz w:val="22"/>
          <w:szCs w:val="22"/>
          <w:lang w:val="es-ES"/>
        </w:rPr>
        <w:t>) para ser un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subcontratista nominado</w:t>
      </w:r>
      <w:r>
        <w:rPr>
          <w:rStyle w:val="Refdenotaalpie"/>
          <w:rFonts w:ascii="Arial" w:hAnsi="Arial"/>
          <w:sz w:val="22"/>
          <w:szCs w:val="22"/>
          <w:lang w:val="es-ES"/>
        </w:rPr>
        <w:footnoteReference w:id="4"/>
      </w:r>
      <w:r w:rsidRPr="0044337E">
        <w:rPr>
          <w:rFonts w:ascii="Arial" w:hAnsi="Arial"/>
          <w:sz w:val="22"/>
          <w:szCs w:val="22"/>
          <w:lang w:val="es-ES"/>
        </w:rPr>
        <w:t xml:space="preserve">, </w:t>
      </w:r>
      <w:proofErr w:type="spellStart"/>
      <w:r w:rsidRPr="0044337E">
        <w:rPr>
          <w:rFonts w:ascii="Arial" w:hAnsi="Arial"/>
          <w:sz w:val="22"/>
          <w:szCs w:val="22"/>
          <w:lang w:val="es-ES"/>
        </w:rPr>
        <w:t>subconsultor</w:t>
      </w:r>
      <w:proofErr w:type="spellEnd"/>
      <w:r w:rsidRPr="0044337E">
        <w:rPr>
          <w:rFonts w:ascii="Arial" w:hAnsi="Arial"/>
          <w:sz w:val="22"/>
          <w:szCs w:val="22"/>
          <w:lang w:val="es-ES"/>
        </w:rPr>
        <w:t>, consultor, fabricante o proveedor, o proveedor de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servicios de una empresa elegible que se adjudique un contrato financiado por el Banco; y (</w:t>
      </w:r>
      <w:proofErr w:type="spellStart"/>
      <w:r w:rsidRPr="0044337E">
        <w:rPr>
          <w:rFonts w:ascii="Arial" w:hAnsi="Arial"/>
          <w:sz w:val="22"/>
          <w:szCs w:val="22"/>
          <w:lang w:val="es-ES"/>
        </w:rPr>
        <w:t>iii</w:t>
      </w:r>
      <w:proofErr w:type="spellEnd"/>
      <w:r w:rsidRPr="0044337E">
        <w:rPr>
          <w:rFonts w:ascii="Arial" w:hAnsi="Arial"/>
          <w:sz w:val="22"/>
          <w:szCs w:val="22"/>
          <w:lang w:val="es-ES"/>
        </w:rPr>
        <w:t>)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para recibir los fondos de cualquier préstamo hecho por el Banco o para participar, de cualquiera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otra forma, en la preparación o ejecución de proyectos financiados por el Banco.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 xml:space="preserve"> </w:t>
      </w:r>
    </w:p>
    <w:p w14:paraId="43303F2C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2CF44D08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Entendemos que podemos ser declarados inelegibles según lo establecido </w:t>
      </w:r>
      <w:proofErr w:type="gramStart"/>
      <w:r w:rsidRPr="0044337E">
        <w:rPr>
          <w:rFonts w:ascii="Arial" w:hAnsi="Arial"/>
          <w:sz w:val="22"/>
          <w:szCs w:val="22"/>
          <w:lang w:val="es-ES"/>
        </w:rPr>
        <w:t>anteriormente a</w:t>
      </w:r>
      <w:proofErr w:type="gramEnd"/>
      <w:r w:rsidRPr="0044337E">
        <w:rPr>
          <w:rFonts w:ascii="Arial" w:hAnsi="Arial"/>
          <w:sz w:val="22"/>
          <w:szCs w:val="22"/>
          <w:lang w:val="es-ES"/>
        </w:rPr>
        <w:t xml:space="preserve"> partir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de:</w:t>
      </w:r>
    </w:p>
    <w:p w14:paraId="333C01C6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201CE8EA" w14:textId="77777777" w:rsidR="00821EFC" w:rsidRPr="002B0603" w:rsidRDefault="00821EFC" w:rsidP="00821EFC">
      <w:pPr>
        <w:pStyle w:val="Prrafodelista"/>
        <w:numPr>
          <w:ilvl w:val="0"/>
          <w:numId w:val="10"/>
        </w:numPr>
        <w:suppressAutoHyphens/>
        <w:autoSpaceDN w:val="0"/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2B0603">
        <w:rPr>
          <w:rFonts w:ascii="Arial" w:hAnsi="Arial"/>
          <w:sz w:val="22"/>
          <w:szCs w:val="22"/>
          <w:lang w:val="es-ES"/>
        </w:rPr>
        <w:t>la finalización de los procedimientos de sanciones del Grupo Banco Mundial de acuerdo con los procedimientos de sanciones vigentes;</w:t>
      </w:r>
    </w:p>
    <w:p w14:paraId="102026A3" w14:textId="77777777" w:rsidR="00821EFC" w:rsidRPr="002B0603" w:rsidRDefault="00821EFC" w:rsidP="00821EFC">
      <w:pPr>
        <w:pStyle w:val="Prrafodelista"/>
        <w:numPr>
          <w:ilvl w:val="0"/>
          <w:numId w:val="10"/>
        </w:numPr>
        <w:suppressAutoHyphens/>
        <w:autoSpaceDN w:val="0"/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2B0603">
        <w:rPr>
          <w:rFonts w:ascii="Arial" w:hAnsi="Arial"/>
          <w:sz w:val="22"/>
          <w:szCs w:val="22"/>
          <w:lang w:val="es-ES"/>
        </w:rPr>
        <w:t>la inhabilitación cruzada según lo acordado con otras instituciones financieras internacionales (incluidos los bancos multilaterales de desarrollo);</w:t>
      </w:r>
    </w:p>
    <w:p w14:paraId="3C76F596" w14:textId="77777777" w:rsidR="00821EFC" w:rsidRPr="002B0603" w:rsidRDefault="00821EFC" w:rsidP="00821EFC">
      <w:pPr>
        <w:pStyle w:val="Prrafodelista"/>
        <w:numPr>
          <w:ilvl w:val="0"/>
          <w:numId w:val="10"/>
        </w:numPr>
        <w:suppressAutoHyphens/>
        <w:autoSpaceDN w:val="0"/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2B0603">
        <w:rPr>
          <w:rFonts w:ascii="Arial" w:hAnsi="Arial"/>
          <w:sz w:val="22"/>
          <w:szCs w:val="22"/>
          <w:lang w:val="es-ES"/>
        </w:rPr>
        <w:t>la aplicación de una declaración de irresponsabilidad del Grupo Banco Mundial sobre la base del Fraude y la Corrupción en conexión con los procedimientos de adquisiciones institucionales del Grupo del Banco Mundial; o</w:t>
      </w:r>
    </w:p>
    <w:p w14:paraId="3AB84213" w14:textId="77777777" w:rsidR="00821EFC" w:rsidRPr="002B0603" w:rsidRDefault="00821EFC" w:rsidP="00821EFC">
      <w:pPr>
        <w:pStyle w:val="Prrafodelista"/>
        <w:numPr>
          <w:ilvl w:val="0"/>
          <w:numId w:val="10"/>
        </w:numPr>
        <w:suppressAutoHyphens/>
        <w:autoSpaceDN w:val="0"/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2B0603">
        <w:rPr>
          <w:rFonts w:ascii="Arial" w:hAnsi="Arial"/>
          <w:sz w:val="22"/>
          <w:szCs w:val="22"/>
          <w:lang w:val="es-ES"/>
        </w:rPr>
        <w:t>suspensión temporal o suspensión temporal temprana en conexión con un procedimiento de sanciones en curso del Grupo Banco Mundial.</w:t>
      </w:r>
    </w:p>
    <w:p w14:paraId="49CBB0CA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 </w:t>
      </w:r>
    </w:p>
    <w:p w14:paraId="2649FFB7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Permitiremos, y haremos que nuestros subcontratistas, </w:t>
      </w:r>
      <w:proofErr w:type="spellStart"/>
      <w:r w:rsidRPr="0044337E">
        <w:rPr>
          <w:rFonts w:ascii="Arial" w:hAnsi="Arial"/>
          <w:sz w:val="22"/>
          <w:szCs w:val="22"/>
          <w:lang w:val="es-ES"/>
        </w:rPr>
        <w:t>subconsultores</w:t>
      </w:r>
      <w:proofErr w:type="spellEnd"/>
      <w:r w:rsidRPr="0044337E">
        <w:rPr>
          <w:rFonts w:ascii="Arial" w:hAnsi="Arial"/>
          <w:sz w:val="22"/>
          <w:szCs w:val="22"/>
          <w:lang w:val="es-ES"/>
        </w:rPr>
        <w:t>, agentes (ya sean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declarados o no), personal, consultores, proveedores de servicios o proveedores, permitan que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el Banco inspeccione</w:t>
      </w:r>
      <w:r>
        <w:rPr>
          <w:rStyle w:val="Refdenotaalpie"/>
          <w:rFonts w:ascii="Arial" w:hAnsi="Arial"/>
          <w:sz w:val="22"/>
          <w:szCs w:val="22"/>
          <w:lang w:val="es-ES"/>
        </w:rPr>
        <w:footnoteReference w:id="5"/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todas las cuentas, registros y otros documentos relacionados con el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proceso de adquisición y/o ejecución del Contrato, y para que sean auditados por auditores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designados por el Banco.</w:t>
      </w:r>
    </w:p>
    <w:p w14:paraId="7FE3CA25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60CEF642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>Acordamos preservar todas las cuentas, registros y otros documentos (ya sea en forma impresa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o en formato electrónico) relacionados con la adquisición y la ejecución del Contrato.</w:t>
      </w:r>
    </w:p>
    <w:p w14:paraId="7ECA35E3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2E824598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 xml:space="preserve"> </w:t>
      </w:r>
    </w:p>
    <w:p w14:paraId="56B4A312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6AE0D4FC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>Nombre del Contratista:</w:t>
      </w:r>
      <w:r>
        <w:rPr>
          <w:rFonts w:ascii="Arial" w:hAnsi="Arial"/>
          <w:sz w:val="22"/>
          <w:szCs w:val="22"/>
          <w:lang w:val="es-ES"/>
        </w:rPr>
        <w:t xml:space="preserve"> </w:t>
      </w:r>
      <w:r w:rsidRPr="0044337E">
        <w:rPr>
          <w:rFonts w:ascii="Arial" w:hAnsi="Arial"/>
          <w:sz w:val="22"/>
          <w:szCs w:val="22"/>
          <w:lang w:val="es-ES"/>
        </w:rPr>
        <w:t>_________________________________________________</w:t>
      </w:r>
    </w:p>
    <w:p w14:paraId="4E57B385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158EC56B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21385405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>Nombre de la persona debidamente autorizada para firmar el Contrato: ________________</w:t>
      </w:r>
    </w:p>
    <w:p w14:paraId="08FBF57F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4505CD06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________________________________________________________________________</w:t>
      </w:r>
    </w:p>
    <w:p w14:paraId="0A972863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63F52332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4E542F12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 w:rsidRPr="0044337E">
        <w:rPr>
          <w:rFonts w:ascii="Arial" w:hAnsi="Arial"/>
          <w:sz w:val="22"/>
          <w:szCs w:val="22"/>
          <w:lang w:val="es-ES"/>
        </w:rPr>
        <w:t>Cargo de la persona firmante de la declaración:  __________________________________</w:t>
      </w:r>
    </w:p>
    <w:p w14:paraId="0E9EB3B0" w14:textId="77777777" w:rsidR="00821EFC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</w:p>
    <w:p w14:paraId="79601ADC" w14:textId="77777777" w:rsidR="00821EFC" w:rsidRPr="0044337E" w:rsidRDefault="00821EFC" w:rsidP="00821EFC">
      <w:pPr>
        <w:spacing w:after="0" w:line="276" w:lineRule="auto"/>
        <w:jc w:val="both"/>
        <w:rPr>
          <w:rFonts w:ascii="Arial" w:hAnsi="Arial"/>
          <w:sz w:val="22"/>
          <w:szCs w:val="22"/>
          <w:lang w:val="es-ES"/>
        </w:rPr>
      </w:pPr>
      <w:r>
        <w:rPr>
          <w:rFonts w:ascii="Arial" w:hAnsi="Arial"/>
          <w:sz w:val="22"/>
          <w:szCs w:val="22"/>
          <w:lang w:val="es-ES"/>
        </w:rPr>
        <w:t>________________________________________________________________________</w:t>
      </w:r>
    </w:p>
    <w:p w14:paraId="60C7D752" w14:textId="77777777" w:rsidR="00CF3922" w:rsidRPr="000F44FF" w:rsidRDefault="00CF3922" w:rsidP="00821EFC">
      <w:pPr>
        <w:spacing w:after="0" w:line="276" w:lineRule="auto"/>
        <w:rPr>
          <w:rFonts w:ascii="Century Gothic" w:hAnsi="Century Gothic"/>
          <w:sz w:val="22"/>
          <w:szCs w:val="22"/>
        </w:rPr>
      </w:pPr>
    </w:p>
    <w:sectPr w:rsidR="00CF3922" w:rsidRPr="000F44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AA39A" w14:textId="77777777" w:rsidR="00C52632" w:rsidRDefault="00C52632" w:rsidP="00821EFC">
      <w:pPr>
        <w:spacing w:after="0" w:line="240" w:lineRule="auto"/>
      </w:pPr>
      <w:r>
        <w:separator/>
      </w:r>
    </w:p>
  </w:endnote>
  <w:endnote w:type="continuationSeparator" w:id="0">
    <w:p w14:paraId="1F1DC97F" w14:textId="77777777" w:rsidR="00C52632" w:rsidRDefault="00C52632" w:rsidP="0082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897B1" w14:textId="77777777" w:rsidR="00C52632" w:rsidRDefault="00C52632" w:rsidP="00821EFC">
      <w:pPr>
        <w:spacing w:after="0" w:line="240" w:lineRule="auto"/>
      </w:pPr>
      <w:r>
        <w:separator/>
      </w:r>
    </w:p>
  </w:footnote>
  <w:footnote w:type="continuationSeparator" w:id="0">
    <w:p w14:paraId="53CCE2CA" w14:textId="77777777" w:rsidR="00C52632" w:rsidRDefault="00C52632" w:rsidP="00821EFC">
      <w:pPr>
        <w:spacing w:after="0" w:line="240" w:lineRule="auto"/>
      </w:pPr>
      <w:r>
        <w:continuationSeparator/>
      </w:r>
    </w:p>
  </w:footnote>
  <w:footnote w:id="1">
    <w:p w14:paraId="76F36567" w14:textId="77777777" w:rsidR="00821EFC" w:rsidRPr="0044337E" w:rsidRDefault="00821EFC" w:rsidP="00821EFC">
      <w:pPr>
        <w:pStyle w:val="Textonotapie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44337E">
        <w:rPr>
          <w:sz w:val="18"/>
          <w:szCs w:val="18"/>
        </w:rPr>
        <w:t xml:space="preserve">Nota: Este documento debe ser firmado por el contratista/consultor/proveedor y guardado por el Prestatario en los archivos del proyecto.  </w:t>
      </w:r>
    </w:p>
    <w:p w14:paraId="72860771" w14:textId="77777777" w:rsidR="00821EFC" w:rsidRPr="0044337E" w:rsidRDefault="00821EFC" w:rsidP="00821EFC">
      <w:pPr>
        <w:pStyle w:val="Textonotapie"/>
        <w:rPr>
          <w:sz w:val="18"/>
          <w:szCs w:val="18"/>
        </w:rPr>
      </w:pPr>
      <w:r w:rsidRPr="0044337E">
        <w:rPr>
          <w:sz w:val="18"/>
          <w:szCs w:val="18"/>
        </w:rPr>
        <w:t xml:space="preserve"> </w:t>
      </w:r>
    </w:p>
  </w:footnote>
  <w:footnote w:id="2">
    <w:p w14:paraId="1AD870F7" w14:textId="77777777" w:rsidR="00821EFC" w:rsidRPr="0044337E" w:rsidRDefault="00821EFC" w:rsidP="00821EFC">
      <w:pPr>
        <w:pStyle w:val="Textonotapie"/>
        <w:jc w:val="both"/>
        <w:rPr>
          <w:sz w:val="18"/>
          <w:szCs w:val="18"/>
        </w:rPr>
      </w:pPr>
      <w:r w:rsidRPr="0044337E">
        <w:rPr>
          <w:rStyle w:val="Refdenotaalpie"/>
          <w:sz w:val="18"/>
          <w:szCs w:val="18"/>
        </w:rPr>
        <w:footnoteRef/>
      </w:r>
      <w:r w:rsidRPr="0044337E">
        <w:rPr>
          <w:sz w:val="18"/>
          <w:szCs w:val="18"/>
        </w:rPr>
        <w:t xml:space="preserve"> </w:t>
      </w:r>
      <w:r w:rsidRPr="0044337E">
        <w:rPr>
          <w:sz w:val="18"/>
          <w:szCs w:val="18"/>
        </w:rPr>
        <w:t>Normas para la Prevención y Lucha Contra el Fraude y la Corrupción en Proyectos Financiados con Préstamos del BIRF y Créditos y Donaciones de la AIF. Texto del 15 de octubre de 2006, revisado en enero de 2011 y julio de 2016 y revisadas de tanto en tanto.</w:t>
      </w:r>
    </w:p>
  </w:footnote>
  <w:footnote w:id="3">
    <w:p w14:paraId="7C727165" w14:textId="77777777" w:rsidR="00821EFC" w:rsidRPr="0044337E" w:rsidRDefault="00821EFC" w:rsidP="00821EFC">
      <w:pPr>
        <w:pStyle w:val="Textonotapie"/>
        <w:jc w:val="both"/>
        <w:rPr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44337E">
        <w:rPr>
          <w:sz w:val="18"/>
          <w:szCs w:val="18"/>
        </w:rPr>
        <w:t>A fin de disipar toda duda al respecto, la inelegibilidad de una parte sancionada en relación con la  adjudicación de un</w:t>
      </w:r>
      <w:r>
        <w:rPr>
          <w:sz w:val="18"/>
          <w:szCs w:val="18"/>
        </w:rPr>
        <w:t xml:space="preserve"> </w:t>
      </w:r>
      <w:r w:rsidRPr="0044337E">
        <w:rPr>
          <w:sz w:val="18"/>
          <w:szCs w:val="18"/>
        </w:rPr>
        <w:t>contrato implica, entre otras cosas, que la empresa o persona no podrá: (i) presentar una solicitud de precalificación o</w:t>
      </w:r>
      <w:r>
        <w:rPr>
          <w:sz w:val="18"/>
          <w:szCs w:val="18"/>
        </w:rPr>
        <w:t xml:space="preserve"> </w:t>
      </w:r>
      <w:r w:rsidRPr="0044337E">
        <w:rPr>
          <w:sz w:val="18"/>
          <w:szCs w:val="18"/>
        </w:rPr>
        <w:t>de selección inicial, expresar interés en una consultoría, y participar en una licitación, ya sea directamente o en calidad</w:t>
      </w:r>
      <w:r>
        <w:rPr>
          <w:sz w:val="18"/>
          <w:szCs w:val="18"/>
        </w:rPr>
        <w:t xml:space="preserve"> </w:t>
      </w:r>
      <w:r w:rsidRPr="0044337E">
        <w:rPr>
          <w:sz w:val="18"/>
          <w:szCs w:val="18"/>
        </w:rPr>
        <w:t xml:space="preserve">de subcontratista nominado, consultor nominado, fabricante o proveedor nominado, o prestador de servicios </w:t>
      </w:r>
      <w:r>
        <w:rPr>
          <w:sz w:val="18"/>
          <w:szCs w:val="18"/>
        </w:rPr>
        <w:t xml:space="preserve"> n</w:t>
      </w:r>
      <w:r w:rsidRPr="0044337E">
        <w:rPr>
          <w:sz w:val="18"/>
          <w:szCs w:val="18"/>
        </w:rPr>
        <w:t>ominado,</w:t>
      </w:r>
      <w:r>
        <w:rPr>
          <w:sz w:val="18"/>
          <w:szCs w:val="18"/>
        </w:rPr>
        <w:t xml:space="preserve"> </w:t>
      </w:r>
      <w:r w:rsidRPr="0044337E">
        <w:rPr>
          <w:sz w:val="18"/>
          <w:szCs w:val="18"/>
        </w:rPr>
        <w:t>con respecto a dicho contrato, ni (</w:t>
      </w:r>
      <w:proofErr w:type="spellStart"/>
      <w:r w:rsidRPr="0044337E">
        <w:rPr>
          <w:sz w:val="18"/>
          <w:szCs w:val="18"/>
        </w:rPr>
        <w:t>ii</w:t>
      </w:r>
      <w:proofErr w:type="spellEnd"/>
      <w:r w:rsidRPr="0044337E">
        <w:rPr>
          <w:sz w:val="18"/>
          <w:szCs w:val="18"/>
        </w:rPr>
        <w:t>) firmar una enmienda mediante la cual se introduzca una modificación sustancial</w:t>
      </w:r>
      <w:r>
        <w:rPr>
          <w:sz w:val="18"/>
          <w:szCs w:val="18"/>
        </w:rPr>
        <w:t xml:space="preserve"> </w:t>
      </w:r>
      <w:r w:rsidRPr="0044337E">
        <w:rPr>
          <w:sz w:val="18"/>
          <w:szCs w:val="18"/>
        </w:rPr>
        <w:t>en cualquier contrato existente.</w:t>
      </w:r>
    </w:p>
    <w:p w14:paraId="4D751C56" w14:textId="77777777" w:rsidR="00821EFC" w:rsidRDefault="00821EFC" w:rsidP="00821EFC">
      <w:pPr>
        <w:pStyle w:val="Textonotapie"/>
        <w:jc w:val="both"/>
      </w:pPr>
    </w:p>
  </w:footnote>
  <w:footnote w:id="4">
    <w:p w14:paraId="20CCF7C5" w14:textId="77777777" w:rsidR="00821EFC" w:rsidRPr="002B0603" w:rsidRDefault="00821EFC" w:rsidP="00821EFC">
      <w:pPr>
        <w:pStyle w:val="Textonotapie"/>
        <w:jc w:val="both"/>
        <w:rPr>
          <w:sz w:val="18"/>
          <w:szCs w:val="18"/>
        </w:rPr>
      </w:pPr>
      <w:r w:rsidRPr="002B0603">
        <w:rPr>
          <w:rStyle w:val="Refdenotaalpie"/>
          <w:sz w:val="18"/>
          <w:szCs w:val="18"/>
        </w:rPr>
        <w:footnoteRef/>
      </w:r>
      <w:r w:rsidRPr="002B0603"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Un subcontratista nominado, consultor nominado, fabricante o proveedor nominado, o prestador de servicios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nominado (se utilizan diferentes nombres según el documento de licitación del que se trate) es aquel que: (i) ha sido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incluido por el licitante en su solicitud de precalificación o selección inicial u oferta por aportar experiencia y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conocimientos técnicos específicos y esenciales que permiten al licitante cumplir con los requisitos de calificación para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la oferta particular; o (</w:t>
      </w:r>
      <w:proofErr w:type="spellStart"/>
      <w:r w:rsidRPr="002B0603">
        <w:rPr>
          <w:sz w:val="18"/>
          <w:szCs w:val="18"/>
        </w:rPr>
        <w:t>ii</w:t>
      </w:r>
      <w:proofErr w:type="spellEnd"/>
      <w:r w:rsidRPr="002B0603">
        <w:rPr>
          <w:sz w:val="18"/>
          <w:szCs w:val="18"/>
        </w:rPr>
        <w:t>) ha sido designado por el Prestatario.</w:t>
      </w:r>
    </w:p>
    <w:p w14:paraId="724A02F3" w14:textId="77777777" w:rsidR="00821EFC" w:rsidRPr="002B0603" w:rsidRDefault="00821EFC" w:rsidP="00821EFC">
      <w:pPr>
        <w:pStyle w:val="Textonotapie"/>
        <w:rPr>
          <w:sz w:val="18"/>
          <w:szCs w:val="18"/>
        </w:rPr>
      </w:pPr>
    </w:p>
  </w:footnote>
  <w:footnote w:id="5">
    <w:p w14:paraId="1C6021EF" w14:textId="77777777" w:rsidR="00821EFC" w:rsidRPr="002B0603" w:rsidRDefault="00821EFC" w:rsidP="00821EFC">
      <w:pPr>
        <w:pStyle w:val="Textonotapie"/>
        <w:jc w:val="both"/>
        <w:rPr>
          <w:sz w:val="18"/>
          <w:szCs w:val="18"/>
        </w:rPr>
      </w:pPr>
      <w:r w:rsidRPr="002B0603">
        <w:rPr>
          <w:rStyle w:val="Refdenotaalpie"/>
          <w:sz w:val="18"/>
          <w:szCs w:val="18"/>
        </w:rPr>
        <w:footnoteRef/>
      </w:r>
      <w:r w:rsidRPr="002B0603"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Las inspecciones que se llevan a cabo en este contexto suelen ser de carácter investigativo (ej. forense). Consisten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en actividades de constatación realizadas por el Banco o por personas nombradas por éste para abordar asuntos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específicos relativos a las investigaciones/auditorías, como determinar la veracidad de una denuncia de fraude y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corrupción a través de los mecanismos adecuados. Dicha actividad incluye, entre otras cosas, acceder a la información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y los registros financieros de una empresa o persona, examinarlos y hacer las copias que corresponda; acceder a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cualquier otro tipo de documentos, datos o información (ya sea en formato impreso o electrónico) que se considere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pertinente para la investigación/auditoría, examinarlos y hacer las copias que corresponda; entrevistar al personal y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otras personas; realizar inspecciones físicas y visitas al emplazamiento, y someter la información a la verificación de</w:t>
      </w:r>
      <w:r>
        <w:rPr>
          <w:sz w:val="18"/>
          <w:szCs w:val="18"/>
        </w:rPr>
        <w:t xml:space="preserve"> </w:t>
      </w:r>
      <w:r w:rsidRPr="002B0603">
        <w:rPr>
          <w:sz w:val="18"/>
          <w:szCs w:val="18"/>
        </w:rPr>
        <w:t>terceros.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61BE1"/>
    <w:multiLevelType w:val="hybridMultilevel"/>
    <w:tmpl w:val="9B80F32C"/>
    <w:lvl w:ilvl="0" w:tplc="240A0019">
      <w:start w:val="1"/>
      <w:numFmt w:val="lowerLetter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B7D74"/>
    <w:multiLevelType w:val="hybridMultilevel"/>
    <w:tmpl w:val="23E2DC4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D6674"/>
    <w:multiLevelType w:val="hybridMultilevel"/>
    <w:tmpl w:val="3B3A737C"/>
    <w:lvl w:ilvl="0" w:tplc="D9EEFF7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26D58"/>
    <w:multiLevelType w:val="multilevel"/>
    <w:tmpl w:val="4C748836"/>
    <w:lvl w:ilvl="0">
      <w:start w:val="1"/>
      <w:numFmt w:val="decimal"/>
      <w:lvlText w:val="%1."/>
      <w:lvlJc w:val="left"/>
      <w:pPr>
        <w:ind w:left="223" w:hanging="360"/>
      </w:pPr>
      <w:rPr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1068" w:hanging="255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2016" w:hanging="255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2964" w:hanging="255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3912" w:hanging="255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4860" w:hanging="255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5808" w:hanging="255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6756" w:hanging="255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7704" w:hanging="255"/>
      </w:pPr>
      <w:rPr>
        <w:lang w:val="es-ES" w:eastAsia="en-US" w:bidi="ar-SA"/>
      </w:rPr>
    </w:lvl>
  </w:abstractNum>
  <w:abstractNum w:abstractNumId="4" w15:restartNumberingAfterBreak="0">
    <w:nsid w:val="483A29DB"/>
    <w:multiLevelType w:val="hybridMultilevel"/>
    <w:tmpl w:val="2AF45194"/>
    <w:lvl w:ilvl="0" w:tplc="17AA1980">
      <w:start w:val="1"/>
      <w:numFmt w:val="upp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829CA"/>
    <w:multiLevelType w:val="hybridMultilevel"/>
    <w:tmpl w:val="23E2DC46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425A8"/>
    <w:multiLevelType w:val="multilevel"/>
    <w:tmpl w:val="D084E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788112453">
    <w:abstractNumId w:val="5"/>
  </w:num>
  <w:num w:numId="2" w16cid:durableId="2082751008">
    <w:abstractNumId w:val="4"/>
  </w:num>
  <w:num w:numId="3" w16cid:durableId="467165393">
    <w:abstractNumId w:val="1"/>
  </w:num>
  <w:num w:numId="4" w16cid:durableId="407962548">
    <w:abstractNumId w:val="5"/>
  </w:num>
  <w:num w:numId="5" w16cid:durableId="1660185639">
    <w:abstractNumId w:val="5"/>
  </w:num>
  <w:num w:numId="6" w16cid:durableId="65537435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67093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91279563">
    <w:abstractNumId w:val="2"/>
  </w:num>
  <w:num w:numId="9" w16cid:durableId="1055393310">
    <w:abstractNumId w:val="5"/>
  </w:num>
  <w:num w:numId="10" w16cid:durableId="75813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922"/>
    <w:rsid w:val="000B2FB7"/>
    <w:rsid w:val="000B326C"/>
    <w:rsid w:val="000B5B5F"/>
    <w:rsid w:val="000C218A"/>
    <w:rsid w:val="000E063C"/>
    <w:rsid w:val="000F44FF"/>
    <w:rsid w:val="00142080"/>
    <w:rsid w:val="00194F7C"/>
    <w:rsid w:val="0020615E"/>
    <w:rsid w:val="00212CB2"/>
    <w:rsid w:val="00215277"/>
    <w:rsid w:val="0022656E"/>
    <w:rsid w:val="002407B2"/>
    <w:rsid w:val="002565AB"/>
    <w:rsid w:val="002C6181"/>
    <w:rsid w:val="002E179B"/>
    <w:rsid w:val="0030015A"/>
    <w:rsid w:val="0033507C"/>
    <w:rsid w:val="003709A1"/>
    <w:rsid w:val="00395022"/>
    <w:rsid w:val="003A1A02"/>
    <w:rsid w:val="003E3955"/>
    <w:rsid w:val="00447199"/>
    <w:rsid w:val="00457455"/>
    <w:rsid w:val="00461AE5"/>
    <w:rsid w:val="004B4275"/>
    <w:rsid w:val="004B7F4C"/>
    <w:rsid w:val="004D2DEC"/>
    <w:rsid w:val="004F2389"/>
    <w:rsid w:val="00515CFE"/>
    <w:rsid w:val="00531F1F"/>
    <w:rsid w:val="00541D88"/>
    <w:rsid w:val="005960BA"/>
    <w:rsid w:val="005B3835"/>
    <w:rsid w:val="005B393D"/>
    <w:rsid w:val="005B5482"/>
    <w:rsid w:val="005C097E"/>
    <w:rsid w:val="006566F7"/>
    <w:rsid w:val="00656DAE"/>
    <w:rsid w:val="00687D23"/>
    <w:rsid w:val="006A1142"/>
    <w:rsid w:val="006B1747"/>
    <w:rsid w:val="006D5C78"/>
    <w:rsid w:val="00710820"/>
    <w:rsid w:val="00746270"/>
    <w:rsid w:val="00754D30"/>
    <w:rsid w:val="007A6F23"/>
    <w:rsid w:val="007B2ED1"/>
    <w:rsid w:val="00802B8F"/>
    <w:rsid w:val="00815417"/>
    <w:rsid w:val="00821EFC"/>
    <w:rsid w:val="00834246"/>
    <w:rsid w:val="0087228D"/>
    <w:rsid w:val="00876298"/>
    <w:rsid w:val="008F57C9"/>
    <w:rsid w:val="00937B05"/>
    <w:rsid w:val="0095508D"/>
    <w:rsid w:val="009721D1"/>
    <w:rsid w:val="009738C0"/>
    <w:rsid w:val="00995AE9"/>
    <w:rsid w:val="00A048A3"/>
    <w:rsid w:val="00A109C9"/>
    <w:rsid w:val="00A23B5D"/>
    <w:rsid w:val="00A37835"/>
    <w:rsid w:val="00A430B6"/>
    <w:rsid w:val="00A6067D"/>
    <w:rsid w:val="00A70862"/>
    <w:rsid w:val="00A70B01"/>
    <w:rsid w:val="00AC6136"/>
    <w:rsid w:val="00AF5833"/>
    <w:rsid w:val="00B1550B"/>
    <w:rsid w:val="00B20F85"/>
    <w:rsid w:val="00B312C4"/>
    <w:rsid w:val="00B45141"/>
    <w:rsid w:val="00BB7BDA"/>
    <w:rsid w:val="00BD6636"/>
    <w:rsid w:val="00C3482A"/>
    <w:rsid w:val="00C52632"/>
    <w:rsid w:val="00C53DE3"/>
    <w:rsid w:val="00C91B87"/>
    <w:rsid w:val="00CA0989"/>
    <w:rsid w:val="00CC0A93"/>
    <w:rsid w:val="00CE6B69"/>
    <w:rsid w:val="00CF1366"/>
    <w:rsid w:val="00CF3922"/>
    <w:rsid w:val="00D0110C"/>
    <w:rsid w:val="00D50F2F"/>
    <w:rsid w:val="00D74553"/>
    <w:rsid w:val="00D9344C"/>
    <w:rsid w:val="00D939AC"/>
    <w:rsid w:val="00DE7904"/>
    <w:rsid w:val="00E05A4D"/>
    <w:rsid w:val="00E5611B"/>
    <w:rsid w:val="00E81EBE"/>
    <w:rsid w:val="00E92D01"/>
    <w:rsid w:val="00EC7820"/>
    <w:rsid w:val="00F159AF"/>
    <w:rsid w:val="00F25C4B"/>
    <w:rsid w:val="00F30D2C"/>
    <w:rsid w:val="00F83268"/>
    <w:rsid w:val="00FAC6AE"/>
    <w:rsid w:val="00FC6A73"/>
    <w:rsid w:val="00FD5E68"/>
    <w:rsid w:val="0E139048"/>
    <w:rsid w:val="0EBAEB9C"/>
    <w:rsid w:val="42F2DC52"/>
    <w:rsid w:val="599C8E5B"/>
    <w:rsid w:val="711A5939"/>
    <w:rsid w:val="77882E02"/>
    <w:rsid w:val="7EDC2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46C4"/>
  <w15:chartTrackingRefBased/>
  <w15:docId w15:val="{65FB150B-81E0-42C7-BFA4-1F254EAB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F3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F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F3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F3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3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F3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F3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F3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F3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F3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F3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F3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F392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F392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F39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F392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F39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F39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F3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F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F3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F3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F3922"/>
    <w:rPr>
      <w:i/>
      <w:iCs/>
      <w:color w:val="404040" w:themeColor="text1" w:themeTint="BF"/>
    </w:rPr>
  </w:style>
  <w:style w:type="paragraph" w:styleId="Prrafodelista">
    <w:name w:val="List Paragraph"/>
    <w:basedOn w:val="Normal"/>
    <w:qFormat/>
    <w:rsid w:val="00CF392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F392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F3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F392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F3922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D2C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70B01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001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001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001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001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0015A"/>
    <w:rPr>
      <w:b/>
      <w:bCs/>
      <w:sz w:val="20"/>
      <w:szCs w:val="20"/>
    </w:rPr>
  </w:style>
  <w:style w:type="character" w:styleId="Mencionar">
    <w:name w:val="Mention"/>
    <w:basedOn w:val="Fuentedeprrafopredeter"/>
    <w:uiPriority w:val="99"/>
    <w:unhideWhenUsed/>
    <w:rsid w:val="0030015A"/>
    <w:rPr>
      <w:color w:val="2B579A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21EFC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US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21EFC"/>
    <w:rPr>
      <w:rFonts w:ascii="Calibri" w:eastAsia="Calibri" w:hAnsi="Calibri" w:cs="Arial"/>
      <w:kern w:val="0"/>
      <w:sz w:val="20"/>
      <w:szCs w:val="20"/>
      <w:lang w:eastAsia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821EF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2C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C6181"/>
  </w:style>
  <w:style w:type="paragraph" w:styleId="Piedepgina">
    <w:name w:val="footer"/>
    <w:basedOn w:val="Normal"/>
    <w:link w:val="PiedepginaCar"/>
    <w:uiPriority w:val="99"/>
    <w:semiHidden/>
    <w:unhideWhenUsed/>
    <w:rsid w:val="002C61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C6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04C9D-B5E8-4CD6-B1BE-975DE3FA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Fernanda Saldaña Arias</dc:creator>
  <cp:keywords/>
  <dc:description/>
  <cp:lastModifiedBy>Diana Carolina Ayala Mora</cp:lastModifiedBy>
  <cp:revision>2</cp:revision>
  <dcterms:created xsi:type="dcterms:W3CDTF">2025-08-22T23:09:00Z</dcterms:created>
  <dcterms:modified xsi:type="dcterms:W3CDTF">2025-08-22T23:09:00Z</dcterms:modified>
</cp:coreProperties>
</file>