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F9A8" w14:textId="77777777" w:rsidR="004D0829" w:rsidRPr="00772028" w:rsidRDefault="004D0829" w:rsidP="00E657D3">
      <w:pPr>
        <w:rPr>
          <w:rFonts w:ascii="Verdana" w:hAnsi="Verdana"/>
        </w:rPr>
      </w:pPr>
    </w:p>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4347"/>
        <w:gridCol w:w="3649"/>
        <w:gridCol w:w="2937"/>
      </w:tblGrid>
      <w:tr w:rsidR="00856F73" w:rsidRPr="00772028" w14:paraId="6873AF8D" w14:textId="77777777" w:rsidTr="007A22DE">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5E03605F" w14:textId="77777777" w:rsidR="004D0829" w:rsidRPr="00772028" w:rsidRDefault="004D0829" w:rsidP="00E657D3">
            <w:pPr>
              <w:pStyle w:val="Ttulo2"/>
              <w:ind w:right="72"/>
              <w:jc w:val="left"/>
              <w:rPr>
                <w:rFonts w:ascii="Verdana" w:hAnsi="Verdana" w:cs="Arial"/>
                <w:bCs/>
              </w:rPr>
            </w:pPr>
            <w:r w:rsidRPr="00772028">
              <w:rPr>
                <w:rFonts w:ascii="Verdana" w:hAnsi="Verdana" w:cs="Arial"/>
                <w:lang w:val="es-CO"/>
              </w:rPr>
              <w:t>Entidad originadora:</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4294FB26" w14:textId="77777777" w:rsidR="004D0829" w:rsidRPr="00516CA6" w:rsidRDefault="004D0829" w:rsidP="00E657D3">
            <w:pPr>
              <w:pStyle w:val="Ttulo2"/>
              <w:ind w:left="72" w:right="72"/>
              <w:jc w:val="both"/>
              <w:rPr>
                <w:rFonts w:ascii="Verdana" w:hAnsi="Verdana" w:cs="Arial"/>
                <w:b w:val="0"/>
                <w:iCs/>
              </w:rPr>
            </w:pPr>
            <w:r w:rsidRPr="00516CA6">
              <w:rPr>
                <w:rFonts w:ascii="Verdana" w:hAnsi="Verdana" w:cs="Arial"/>
                <w:b w:val="0"/>
                <w:iCs/>
              </w:rPr>
              <w:t>Ministerio de Vivienda, Ciudad y Territorio</w:t>
            </w:r>
          </w:p>
        </w:tc>
      </w:tr>
      <w:tr w:rsidR="00856F73" w:rsidRPr="00772028" w14:paraId="74216ACF" w14:textId="77777777" w:rsidTr="007A22DE">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3922B0C1" w14:textId="77777777" w:rsidR="004D0829" w:rsidRPr="00772028" w:rsidRDefault="004D0829" w:rsidP="00E657D3">
            <w:pPr>
              <w:pStyle w:val="Ttulo2"/>
              <w:ind w:right="72"/>
              <w:jc w:val="left"/>
              <w:rPr>
                <w:rFonts w:ascii="Verdana" w:hAnsi="Verdana" w:cs="Arial"/>
                <w:bCs/>
              </w:rPr>
            </w:pPr>
            <w:r w:rsidRPr="00772028">
              <w:rPr>
                <w:rFonts w:ascii="Verdana" w:hAnsi="Verdana" w:cs="Arial"/>
                <w:bCs/>
              </w:rPr>
              <w:t>Fecha (</w:t>
            </w:r>
            <w:proofErr w:type="spellStart"/>
            <w:r w:rsidRPr="00772028">
              <w:rPr>
                <w:rFonts w:ascii="Verdana" w:hAnsi="Verdana" w:cs="Arial"/>
                <w:bCs/>
              </w:rPr>
              <w:t>dd</w:t>
            </w:r>
            <w:proofErr w:type="spellEnd"/>
            <w:r w:rsidRPr="00772028">
              <w:rPr>
                <w:rFonts w:ascii="Verdana" w:hAnsi="Verdana" w:cs="Arial"/>
                <w:bCs/>
              </w:rPr>
              <w:t>/mm/</w:t>
            </w:r>
            <w:proofErr w:type="spellStart"/>
            <w:r w:rsidRPr="00772028">
              <w:rPr>
                <w:rFonts w:ascii="Verdana" w:hAnsi="Verdana" w:cs="Arial"/>
                <w:bCs/>
              </w:rPr>
              <w:t>aa</w:t>
            </w:r>
            <w:proofErr w:type="spellEnd"/>
            <w:r w:rsidRPr="00772028">
              <w:rPr>
                <w:rFonts w:ascii="Verdana" w:hAnsi="Verdana" w:cs="Arial"/>
                <w:bCs/>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02E3B19C" w14:textId="31F5E8B2" w:rsidR="004D0829" w:rsidRPr="00516CA6" w:rsidRDefault="004D0829" w:rsidP="00E657D3">
            <w:pPr>
              <w:pStyle w:val="Ttulo2"/>
              <w:ind w:left="72" w:right="72"/>
              <w:jc w:val="both"/>
              <w:rPr>
                <w:rFonts w:ascii="Verdana" w:hAnsi="Verdana" w:cs="Arial"/>
                <w:b w:val="0"/>
                <w:iCs/>
              </w:rPr>
            </w:pPr>
          </w:p>
        </w:tc>
      </w:tr>
      <w:tr w:rsidR="00856F73" w:rsidRPr="00772028" w14:paraId="35F2B3CC" w14:textId="77777777" w:rsidTr="007A22DE">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410B8FCC" w14:textId="77777777" w:rsidR="004D0829" w:rsidRPr="00772028" w:rsidRDefault="004D0829" w:rsidP="00E657D3">
            <w:pPr>
              <w:pStyle w:val="Ttulo2"/>
              <w:ind w:right="72"/>
              <w:jc w:val="left"/>
              <w:rPr>
                <w:rFonts w:ascii="Verdana" w:hAnsi="Verdana" w:cs="Arial"/>
                <w:bCs/>
              </w:rPr>
            </w:pPr>
            <w:r w:rsidRPr="00772028">
              <w:rPr>
                <w:rFonts w:ascii="Verdana" w:hAnsi="Verdana" w:cs="Arial"/>
                <w:bCs/>
              </w:rPr>
              <w:t>Proyecto de Decreto/Resolución:</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398549B" w14:textId="5796A4AE" w:rsidR="004D0829" w:rsidRPr="00DA0105" w:rsidRDefault="00DA0105" w:rsidP="00DA0105">
            <w:pPr>
              <w:pStyle w:val="Ttulo2"/>
              <w:ind w:left="72" w:right="72"/>
              <w:jc w:val="both"/>
              <w:rPr>
                <w:rFonts w:ascii="Verdana" w:hAnsi="Verdana" w:cs="Arial"/>
                <w:b w:val="0"/>
                <w:i/>
                <w:iCs/>
              </w:rPr>
            </w:pPr>
            <w:r w:rsidRPr="00DA0105">
              <w:rPr>
                <w:rFonts w:ascii="Verdana" w:hAnsi="Verdana" w:cs="Arial"/>
                <w:b w:val="0"/>
                <w:i/>
                <w:iCs/>
              </w:rPr>
              <w:t>“Por el cual se modifica el Decreto 1077 de 2015 en relación con el precio máximo de la vivienda de interés social y se dictan otras disposiciones”</w:t>
            </w:r>
          </w:p>
        </w:tc>
      </w:tr>
      <w:tr w:rsidR="005A2F1E" w:rsidRPr="00772028" w14:paraId="0746904F" w14:textId="77777777" w:rsidTr="004C5C43">
        <w:trPr>
          <w:trHeight w:val="12432"/>
        </w:trPr>
        <w:tc>
          <w:tcPr>
            <w:tcW w:w="10774" w:type="dxa"/>
            <w:gridSpan w:val="3"/>
            <w:tcBorders>
              <w:top w:val="single" w:sz="4" w:space="0" w:color="auto"/>
            </w:tcBorders>
            <w:shd w:val="clear" w:color="auto" w:fill="FFFFFF"/>
            <w:vAlign w:val="center"/>
          </w:tcPr>
          <w:p w14:paraId="3AE86BC2" w14:textId="77777777" w:rsidR="004D0829" w:rsidRPr="00772028" w:rsidRDefault="004D0829" w:rsidP="00E657D3">
            <w:pPr>
              <w:autoSpaceDE w:val="0"/>
              <w:autoSpaceDN w:val="0"/>
              <w:adjustRightInd w:val="0"/>
              <w:jc w:val="both"/>
              <w:rPr>
                <w:rFonts w:ascii="Verdana" w:eastAsia="Calibri" w:hAnsi="Verdana" w:cs="Arial"/>
                <w:lang w:val="es-CO" w:eastAsia="en-US"/>
              </w:rPr>
            </w:pPr>
          </w:p>
          <w:p w14:paraId="017AB25E" w14:textId="77777777" w:rsidR="004D0829" w:rsidRPr="00772028" w:rsidRDefault="004D0829" w:rsidP="00E657D3">
            <w:pPr>
              <w:numPr>
                <w:ilvl w:val="0"/>
                <w:numId w:val="1"/>
              </w:numPr>
              <w:ind w:left="494"/>
              <w:jc w:val="both"/>
              <w:rPr>
                <w:rFonts w:ascii="Verdana" w:hAnsi="Verdana" w:cs="Arial"/>
                <w:b/>
                <w:color w:val="000000"/>
                <w:lang w:val="es-CO"/>
              </w:rPr>
            </w:pPr>
            <w:r w:rsidRPr="00772028">
              <w:rPr>
                <w:rFonts w:ascii="Verdana" w:hAnsi="Verdana" w:cs="Arial"/>
                <w:b/>
                <w:color w:val="000000"/>
                <w:lang w:val="es-CO"/>
              </w:rPr>
              <w:t>ANTECEDENTES Y RAZONES DE OPORTUNIDAD Y CONVENIENCIA QUE JUSTIFICAN SU EXPEDICIÓN.</w:t>
            </w:r>
          </w:p>
          <w:p w14:paraId="5B197F29" w14:textId="77777777" w:rsidR="004D0829" w:rsidRPr="00772028" w:rsidRDefault="004D0829" w:rsidP="00E657D3">
            <w:pPr>
              <w:ind w:left="134"/>
              <w:jc w:val="both"/>
              <w:rPr>
                <w:rFonts w:ascii="Verdana" w:hAnsi="Verdana" w:cs="Arial"/>
                <w:i/>
                <w:color w:val="808080"/>
              </w:rPr>
            </w:pPr>
            <w:r w:rsidRPr="00772028">
              <w:rPr>
                <w:rFonts w:ascii="Verdana" w:hAnsi="Verdana" w:cs="Arial"/>
                <w:i/>
                <w:color w:val="808080"/>
              </w:rPr>
              <w:t xml:space="preserve">(Por favor explique de manera amplia y detallada: la necesidad de regulación, alcance, fin que se pretende y sus implicaciones con otras disposiciones, por favor no transcriba con considerandos) </w:t>
            </w:r>
          </w:p>
          <w:p w14:paraId="7C303EE1" w14:textId="77777777" w:rsidR="004D0829" w:rsidRPr="004D0829" w:rsidRDefault="004D0829" w:rsidP="00E657D3">
            <w:pPr>
              <w:ind w:left="134"/>
              <w:jc w:val="both"/>
              <w:rPr>
                <w:rFonts w:ascii="Verdana" w:hAnsi="Verdana" w:cs="Arial"/>
                <w:i/>
                <w:color w:val="808080"/>
              </w:rPr>
            </w:pPr>
          </w:p>
          <w:p w14:paraId="574E2C94" w14:textId="03CD4EFD" w:rsidR="004D0829" w:rsidRPr="004D0829" w:rsidRDefault="004D0829" w:rsidP="00E657D3">
            <w:pPr>
              <w:ind w:left="142" w:right="162"/>
              <w:jc w:val="both"/>
              <w:rPr>
                <w:rFonts w:ascii="Verdana" w:hAnsi="Verdana" w:cs="Arial"/>
              </w:rPr>
            </w:pPr>
            <w:r w:rsidRPr="004D0829">
              <w:rPr>
                <w:rFonts w:ascii="Verdana" w:hAnsi="Verdana" w:cs="Arial"/>
                <w:lang w:val="es-ES_tradnl"/>
              </w:rPr>
              <w:t>El artículo 44 de la Ley 9 de 1989, modificado por el artículo 91 de la Ley 388 de 1997, defin</w:t>
            </w:r>
            <w:r>
              <w:rPr>
                <w:rFonts w:ascii="Verdana" w:hAnsi="Verdana" w:cs="Arial"/>
                <w:lang w:val="es-ES_tradnl"/>
              </w:rPr>
              <w:t>ió</w:t>
            </w:r>
            <w:r w:rsidRPr="004D0829">
              <w:rPr>
                <w:rFonts w:ascii="Verdana" w:hAnsi="Verdana" w:cs="Arial"/>
                <w:lang w:val="es-ES_tradnl"/>
              </w:rPr>
              <w:t xml:space="preserve"> a la vivienda de interés social como </w:t>
            </w:r>
            <w:r w:rsidRPr="004D0829">
              <w:rPr>
                <w:rFonts w:ascii="Verdana" w:hAnsi="Verdana" w:cs="Arial"/>
              </w:rPr>
              <w:t>aquella que se desarrolla para garantizar el derecho a la vivienda de los hogares de menores ingresos.</w:t>
            </w:r>
          </w:p>
          <w:p w14:paraId="6D111596" w14:textId="77777777" w:rsidR="004D0829" w:rsidRPr="004D0829" w:rsidRDefault="004D0829" w:rsidP="00E657D3">
            <w:pPr>
              <w:ind w:left="142" w:right="162"/>
              <w:jc w:val="both"/>
              <w:rPr>
                <w:rFonts w:ascii="Verdana" w:hAnsi="Verdana" w:cs="Arial"/>
              </w:rPr>
            </w:pPr>
          </w:p>
          <w:p w14:paraId="437603F1" w14:textId="4E29E7CC" w:rsidR="004D0829" w:rsidRPr="004D0829" w:rsidRDefault="004D0829" w:rsidP="00E657D3">
            <w:pPr>
              <w:ind w:left="142" w:right="162"/>
              <w:jc w:val="both"/>
              <w:rPr>
                <w:rFonts w:ascii="Verdana" w:hAnsi="Verdana" w:cs="Arial"/>
              </w:rPr>
            </w:pPr>
            <w:r>
              <w:rPr>
                <w:rFonts w:ascii="Verdana" w:hAnsi="Verdana" w:cs="Arial"/>
              </w:rPr>
              <w:t>El citado artículo</w:t>
            </w:r>
            <w:r w:rsidRPr="004D0829">
              <w:rPr>
                <w:rFonts w:ascii="Verdana" w:hAnsi="Verdana" w:cs="Arial"/>
              </w:rPr>
              <w:t xml:space="preserve"> establec</w:t>
            </w:r>
            <w:r>
              <w:rPr>
                <w:rFonts w:ascii="Verdana" w:hAnsi="Verdana" w:cs="Arial"/>
              </w:rPr>
              <w:t>ió</w:t>
            </w:r>
            <w:r w:rsidRPr="004D0829">
              <w:rPr>
                <w:rFonts w:ascii="Verdana" w:hAnsi="Verdana" w:cs="Arial"/>
              </w:rPr>
              <w:t xml:space="preserve"> que en cada Plan Nacional de Desarrollo el Gobierno Nacional establecerá el tipo y </w:t>
            </w:r>
            <w:r w:rsidR="00C37B27">
              <w:rPr>
                <w:rFonts w:ascii="Verdana" w:hAnsi="Verdana" w:cs="Arial"/>
              </w:rPr>
              <w:t>valor</w:t>
            </w:r>
            <w:r w:rsidRPr="004D0829">
              <w:rPr>
                <w:rFonts w:ascii="Verdana" w:hAnsi="Verdana" w:cs="Arial"/>
              </w:rPr>
              <w:t xml:space="preserve"> máximo de las soluciones destinadas a estos hogares teniendo en cuenta, entre otros aspectos, las características del déficit habitacional, las posibilidades de acceso al crédito de los hogares, las condiciones de la oferta de vivienda, el monto de recursos de crédito disponibles por parte del sector financiero y la suma de fondos del Estado destinados a los programas de vivienda.</w:t>
            </w:r>
          </w:p>
          <w:p w14:paraId="2182167C" w14:textId="77777777" w:rsidR="004D0829" w:rsidRPr="004D0829" w:rsidRDefault="004D0829" w:rsidP="00E657D3">
            <w:pPr>
              <w:ind w:left="142" w:right="162"/>
              <w:jc w:val="both"/>
              <w:rPr>
                <w:rFonts w:ascii="Verdana" w:hAnsi="Verdana" w:cs="Arial"/>
              </w:rPr>
            </w:pPr>
          </w:p>
          <w:p w14:paraId="09937975" w14:textId="56DCA0D9" w:rsidR="004D0829" w:rsidRPr="004D0829" w:rsidRDefault="004D0829" w:rsidP="00E657D3">
            <w:pPr>
              <w:ind w:left="142" w:right="162"/>
              <w:jc w:val="both"/>
              <w:rPr>
                <w:rFonts w:ascii="Verdana" w:hAnsi="Verdana"/>
              </w:rPr>
            </w:pPr>
            <w:r>
              <w:rPr>
                <w:rFonts w:ascii="Verdana" w:hAnsi="Verdana" w:cs="Arial"/>
              </w:rPr>
              <w:t xml:space="preserve">En ese sentido, </w:t>
            </w:r>
            <w:r w:rsidRPr="004D0829">
              <w:rPr>
                <w:rFonts w:ascii="Verdana" w:hAnsi="Verdana" w:cs="Arial"/>
              </w:rPr>
              <w:t xml:space="preserve">el artículo 293 de la Ley 2294 de 2023, </w:t>
            </w:r>
            <w:r w:rsidRPr="004D0829">
              <w:rPr>
                <w:rFonts w:ascii="Verdana" w:hAnsi="Verdana" w:cs="Arial"/>
                <w:i/>
                <w:iCs/>
              </w:rPr>
              <w:t>por la cual se expide el Plan Nacional de Desarrollo 2022-2026</w:t>
            </w:r>
            <w:r w:rsidRPr="004D0829">
              <w:rPr>
                <w:rFonts w:ascii="Verdana" w:hAnsi="Verdana" w:cs="Arial"/>
              </w:rPr>
              <w:t>, disp</w:t>
            </w:r>
            <w:r>
              <w:rPr>
                <w:rFonts w:ascii="Verdana" w:hAnsi="Verdana" w:cs="Arial"/>
              </w:rPr>
              <w:t>uso</w:t>
            </w:r>
            <w:r w:rsidRPr="004D0829">
              <w:rPr>
                <w:rFonts w:ascii="Verdana" w:hAnsi="Verdana" w:cs="Arial"/>
              </w:rPr>
              <w:t xml:space="preserve"> que la vivienda de interés social </w:t>
            </w:r>
            <w:r w:rsidRPr="004D0829">
              <w:rPr>
                <w:rFonts w:ascii="Verdana" w:hAnsi="Verdana"/>
              </w:rPr>
              <w:t>es aquella que se desarrolla para garantizar el derecho a la vivienda de los hogares de menores ingresos, que cumple con los estándares de calidad en diseño urbanístico, arquitectónico y de construcción sostenible, y cuyo valor no exceda los ciento treinta y cinco salarios mínimos mensuales legales vigentes (135 SMMLV).</w:t>
            </w:r>
          </w:p>
          <w:p w14:paraId="79A72630" w14:textId="77777777" w:rsidR="004D0829" w:rsidRPr="004D0829" w:rsidRDefault="004D0829" w:rsidP="00E657D3">
            <w:pPr>
              <w:ind w:left="142" w:right="162"/>
              <w:jc w:val="both"/>
              <w:rPr>
                <w:rFonts w:ascii="Verdana" w:hAnsi="Verdana"/>
              </w:rPr>
            </w:pPr>
          </w:p>
          <w:p w14:paraId="1C70F17B" w14:textId="7D9EB9FA" w:rsidR="004D0829" w:rsidRPr="004D0829" w:rsidRDefault="004D0829" w:rsidP="00E657D3">
            <w:pPr>
              <w:ind w:left="142" w:right="162"/>
              <w:jc w:val="both"/>
              <w:rPr>
                <w:rFonts w:ascii="Verdana" w:hAnsi="Verdana"/>
              </w:rPr>
            </w:pPr>
            <w:r>
              <w:rPr>
                <w:rFonts w:ascii="Verdana" w:hAnsi="Verdana"/>
              </w:rPr>
              <w:t>Est</w:t>
            </w:r>
            <w:r w:rsidRPr="004D0829">
              <w:rPr>
                <w:rFonts w:ascii="Verdana" w:hAnsi="Verdana"/>
              </w:rPr>
              <w:t xml:space="preserve">a misma norma dispuso que, excepcionalmente, el Gobierno Nacional podrá establecer como </w:t>
            </w:r>
            <w:r w:rsidR="00C37B27">
              <w:rPr>
                <w:rFonts w:ascii="Verdana" w:hAnsi="Verdana"/>
              </w:rPr>
              <w:t>valor</w:t>
            </w:r>
            <w:r w:rsidRPr="004D0829">
              <w:rPr>
                <w:rFonts w:ascii="Verdana" w:hAnsi="Verdana"/>
              </w:rPr>
              <w:t xml:space="preserve"> máximo de la vivienda de interés social el </w:t>
            </w:r>
            <w:r w:rsidR="00C37B27">
              <w:rPr>
                <w:rFonts w:ascii="Verdana" w:hAnsi="Verdana"/>
              </w:rPr>
              <w:t>monto</w:t>
            </w:r>
            <w:r w:rsidRPr="004D0829">
              <w:rPr>
                <w:rFonts w:ascii="Verdana" w:hAnsi="Verdana"/>
              </w:rPr>
              <w:t xml:space="preserve"> de ciento cincuenta salarios mínimos mensuales legales vigentes (150 SMMLV) cuando se presente alguna o varias de las siguientes condiciones: </w:t>
            </w:r>
          </w:p>
          <w:p w14:paraId="33ECC0D8" w14:textId="77777777" w:rsidR="004D0829" w:rsidRPr="004D0829" w:rsidRDefault="004D0829" w:rsidP="00E657D3">
            <w:pPr>
              <w:ind w:left="142" w:right="162"/>
              <w:jc w:val="both"/>
              <w:rPr>
                <w:rFonts w:ascii="Verdana" w:hAnsi="Verdana"/>
              </w:rPr>
            </w:pPr>
          </w:p>
          <w:p w14:paraId="1CAEEB0C" w14:textId="77777777" w:rsidR="004D0829" w:rsidRPr="004D0829" w:rsidRDefault="004D0829" w:rsidP="00E657D3">
            <w:pPr>
              <w:ind w:left="708" w:right="162"/>
              <w:jc w:val="both"/>
              <w:rPr>
                <w:rFonts w:ascii="Verdana" w:hAnsi="Verdana"/>
                <w:i/>
                <w:iCs/>
              </w:rPr>
            </w:pPr>
            <w:r w:rsidRPr="004D0829">
              <w:rPr>
                <w:rFonts w:ascii="Verdana" w:hAnsi="Verdana"/>
                <w:i/>
                <w:iCs/>
              </w:rPr>
              <w:t xml:space="preserve">“A) Cuando las viviendas incorporen criterios de sostenibilidad adicionales a los mínimos que defina el Gobierno nacional. </w:t>
            </w:r>
          </w:p>
          <w:p w14:paraId="7D7BF742" w14:textId="77777777" w:rsidR="004D0829" w:rsidRPr="004D0829" w:rsidRDefault="004D0829" w:rsidP="00E657D3">
            <w:pPr>
              <w:ind w:left="708" w:right="162"/>
              <w:jc w:val="both"/>
              <w:rPr>
                <w:rFonts w:ascii="Verdana" w:hAnsi="Verdana"/>
                <w:i/>
                <w:iCs/>
              </w:rPr>
            </w:pPr>
            <w:r w:rsidRPr="004D0829">
              <w:rPr>
                <w:rFonts w:ascii="Verdana" w:hAnsi="Verdana"/>
                <w:i/>
                <w:iCs/>
              </w:rPr>
              <w:t xml:space="preserve">B) Cuando las viviendas </w:t>
            </w:r>
            <w:proofErr w:type="gramStart"/>
            <w:r w:rsidRPr="004D0829">
              <w:rPr>
                <w:rFonts w:ascii="Verdana" w:hAnsi="Verdana"/>
                <w:i/>
                <w:iCs/>
              </w:rPr>
              <w:t>de acuerdo a</w:t>
            </w:r>
            <w:proofErr w:type="gramEnd"/>
            <w:r w:rsidRPr="004D0829">
              <w:rPr>
                <w:rFonts w:ascii="Verdana" w:hAnsi="Verdana"/>
                <w:i/>
                <w:iCs/>
              </w:rPr>
              <w:t xml:space="preserve"> lo definido por el CONPES 3819 de 2014 o el que lo modifique, se encuentren ubicadas en ciudades </w:t>
            </w:r>
            <w:proofErr w:type="spellStart"/>
            <w:r w:rsidRPr="004D0829">
              <w:rPr>
                <w:rFonts w:ascii="Verdana" w:hAnsi="Verdana"/>
                <w:i/>
                <w:iCs/>
              </w:rPr>
              <w:t>uninodales</w:t>
            </w:r>
            <w:proofErr w:type="spellEnd"/>
            <w:r w:rsidRPr="004D0829">
              <w:rPr>
                <w:rFonts w:ascii="Verdana" w:hAnsi="Verdana"/>
                <w:i/>
                <w:iCs/>
              </w:rPr>
              <w:t xml:space="preserve"> cuya población supere los trescientos mil (300.000) habitantes, o en aglomeraciones urbanas cuya población supere quinientos mil (500.000) habitantes. </w:t>
            </w:r>
          </w:p>
          <w:p w14:paraId="17C99F42" w14:textId="77777777" w:rsidR="004D0829" w:rsidRPr="004D0829" w:rsidRDefault="004D0829" w:rsidP="00E657D3">
            <w:pPr>
              <w:ind w:left="708" w:right="162"/>
              <w:jc w:val="both"/>
              <w:rPr>
                <w:rFonts w:ascii="Verdana" w:hAnsi="Verdana"/>
              </w:rPr>
            </w:pPr>
            <w:r w:rsidRPr="004D0829">
              <w:rPr>
                <w:rFonts w:ascii="Verdana" w:hAnsi="Verdana"/>
                <w:i/>
                <w:iCs/>
              </w:rPr>
              <w:t>C) Cuando las viviendas se encuentren en territorios de difícil acceso, o respondan a características culturales, geográficas, económicas o climáticas específicas, en las condiciones que defina el Gobierno nacional.”</w:t>
            </w:r>
          </w:p>
          <w:p w14:paraId="4B23D484" w14:textId="77777777" w:rsidR="004D0829" w:rsidRDefault="004D0829" w:rsidP="00E657D3">
            <w:pPr>
              <w:ind w:left="142" w:right="162"/>
              <w:jc w:val="both"/>
              <w:rPr>
                <w:rStyle w:val="normaltextrun"/>
                <w:rFonts w:ascii="Verdana" w:hAnsi="Verdana" w:cs="Arial"/>
                <w:bdr w:val="none" w:sz="0" w:space="0" w:color="auto" w:frame="1"/>
              </w:rPr>
            </w:pPr>
          </w:p>
          <w:p w14:paraId="2019E3A5" w14:textId="29A1EA12" w:rsidR="00E03956" w:rsidRDefault="00E03956" w:rsidP="00E657D3">
            <w:pPr>
              <w:ind w:left="142" w:right="162"/>
              <w:jc w:val="both"/>
              <w:rPr>
                <w:rStyle w:val="normaltextrun"/>
                <w:rFonts w:ascii="Verdana" w:hAnsi="Verdana" w:cs="Arial"/>
                <w:bdr w:val="none" w:sz="0" w:space="0" w:color="auto" w:frame="1"/>
              </w:rPr>
            </w:pPr>
            <w:r>
              <w:rPr>
                <w:rStyle w:val="normaltextrun"/>
                <w:rFonts w:ascii="Verdana" w:hAnsi="Verdana" w:cs="Arial"/>
                <w:bdr w:val="none" w:sz="0" w:space="0" w:color="auto" w:frame="1"/>
              </w:rPr>
              <w:t xml:space="preserve">El parágrafo primero </w:t>
            </w:r>
            <w:r w:rsidR="00A41BB7">
              <w:rPr>
                <w:rStyle w:val="normaltextrun"/>
                <w:rFonts w:ascii="Verdana" w:hAnsi="Verdana" w:cs="Arial"/>
                <w:bdr w:val="none" w:sz="0" w:space="0" w:color="auto" w:frame="1"/>
              </w:rPr>
              <w:t>d</w:t>
            </w:r>
            <w:r w:rsidR="00A41BB7" w:rsidRPr="00A41BB7">
              <w:rPr>
                <w:rStyle w:val="normaltextrun"/>
                <w:rFonts w:ascii="Verdana" w:hAnsi="Verdana" w:cs="Arial"/>
                <w:bdr w:val="none" w:sz="0" w:space="0" w:color="auto" w:frame="1"/>
              </w:rPr>
              <w:t xml:space="preserve">el mismo artículo, </w:t>
            </w:r>
            <w:r>
              <w:rPr>
                <w:rStyle w:val="normaltextrun"/>
                <w:rFonts w:ascii="Verdana" w:hAnsi="Verdana" w:cs="Arial"/>
                <w:bdr w:val="none" w:sz="0" w:space="0" w:color="auto" w:frame="1"/>
              </w:rPr>
              <w:t>por su parte</w:t>
            </w:r>
            <w:r w:rsidR="00A41BB7">
              <w:rPr>
                <w:rStyle w:val="normaltextrun"/>
                <w:rFonts w:ascii="Verdana" w:hAnsi="Verdana" w:cs="Arial"/>
                <w:bdr w:val="none" w:sz="0" w:space="0" w:color="auto" w:frame="1"/>
              </w:rPr>
              <w:t>,</w:t>
            </w:r>
            <w:r>
              <w:rPr>
                <w:rStyle w:val="normaltextrun"/>
                <w:rFonts w:ascii="Verdana" w:hAnsi="Verdana" w:cs="Arial"/>
                <w:bdr w:val="none" w:sz="0" w:space="0" w:color="auto" w:frame="1"/>
              </w:rPr>
              <w:t xml:space="preserve"> estableció que el </w:t>
            </w:r>
            <w:r w:rsidR="00C37B27">
              <w:rPr>
                <w:rStyle w:val="normaltextrun"/>
                <w:rFonts w:ascii="Verdana" w:hAnsi="Verdana" w:cs="Arial"/>
                <w:bdr w:val="none" w:sz="0" w:space="0" w:color="auto" w:frame="1"/>
              </w:rPr>
              <w:t>valor</w:t>
            </w:r>
            <w:r w:rsidRPr="00E03956">
              <w:rPr>
                <w:rStyle w:val="normaltextrun"/>
                <w:rFonts w:ascii="Verdana" w:hAnsi="Verdana" w:cs="Arial"/>
                <w:bdr w:val="none" w:sz="0" w:space="0" w:color="auto" w:frame="1"/>
              </w:rPr>
              <w:t xml:space="preserve"> máximo de la vivienda de interés social (VIS) será de ciento cincuenta</w:t>
            </w:r>
            <w:r w:rsidR="00C37B27">
              <w:rPr>
                <w:rStyle w:val="normaltextrun"/>
                <w:rFonts w:ascii="Verdana" w:hAnsi="Verdana" w:cs="Arial"/>
                <w:bdr w:val="none" w:sz="0" w:space="0" w:color="auto" w:frame="1"/>
              </w:rPr>
              <w:t xml:space="preserve"> </w:t>
            </w:r>
            <w:r w:rsidR="00C37B27" w:rsidRPr="004D0829">
              <w:rPr>
                <w:rFonts w:ascii="Verdana" w:hAnsi="Verdana"/>
              </w:rPr>
              <w:t>salarios mínimos mensuales legales vigentes</w:t>
            </w:r>
            <w:r w:rsidRPr="00E03956">
              <w:rPr>
                <w:rStyle w:val="normaltextrun"/>
                <w:rFonts w:ascii="Verdana" w:hAnsi="Verdana" w:cs="Arial"/>
                <w:bdr w:val="none" w:sz="0" w:space="0" w:color="auto" w:frame="1"/>
              </w:rPr>
              <w:t xml:space="preserve"> (150</w:t>
            </w:r>
            <w:r w:rsidR="00C37B27">
              <w:rPr>
                <w:rStyle w:val="normaltextrun"/>
                <w:rFonts w:ascii="Verdana" w:hAnsi="Verdana" w:cs="Arial"/>
                <w:bdr w:val="none" w:sz="0" w:space="0" w:color="auto" w:frame="1"/>
              </w:rPr>
              <w:t xml:space="preserve"> </w:t>
            </w:r>
            <w:r w:rsidRPr="00E03956">
              <w:rPr>
                <w:rStyle w:val="normaltextrun"/>
                <w:rFonts w:ascii="Verdana" w:hAnsi="Verdana" w:cs="Arial"/>
                <w:bdr w:val="none" w:sz="0" w:space="0" w:color="auto" w:frame="1"/>
              </w:rPr>
              <w:t>SMMLV</w:t>
            </w:r>
            <w:r w:rsidR="00C37B27">
              <w:rPr>
                <w:rStyle w:val="normaltextrun"/>
                <w:rFonts w:ascii="Verdana" w:hAnsi="Verdana" w:cs="Arial"/>
                <w:bdr w:val="none" w:sz="0" w:space="0" w:color="auto" w:frame="1"/>
              </w:rPr>
              <w:t xml:space="preserve">) </w:t>
            </w:r>
            <w:r w:rsidRPr="00E03956">
              <w:rPr>
                <w:rStyle w:val="normaltextrun"/>
                <w:rFonts w:ascii="Verdana" w:hAnsi="Verdana" w:cs="Arial"/>
                <w:bdr w:val="none" w:sz="0" w:space="0" w:color="auto" w:frame="1"/>
              </w:rPr>
              <w:t xml:space="preserve">en los distritos y municipios para los cuales el Gobierno </w:t>
            </w:r>
            <w:r w:rsidR="00C37B27">
              <w:rPr>
                <w:rStyle w:val="normaltextrun"/>
                <w:rFonts w:ascii="Verdana" w:hAnsi="Verdana" w:cs="Arial"/>
                <w:bdr w:val="none" w:sz="0" w:space="0" w:color="auto" w:frame="1"/>
              </w:rPr>
              <w:t>N</w:t>
            </w:r>
            <w:r w:rsidRPr="00E03956">
              <w:rPr>
                <w:rStyle w:val="normaltextrun"/>
                <w:rFonts w:ascii="Verdana" w:hAnsi="Verdana" w:cs="Arial"/>
                <w:bdr w:val="none" w:sz="0" w:space="0" w:color="auto" w:frame="1"/>
              </w:rPr>
              <w:t xml:space="preserve">acional, en vigencia del artículo 85 de la Ley 1955 de 2019, haya definido ese precio máximo. Lo anterior, sin perjuicio del </w:t>
            </w:r>
            <w:r w:rsidR="00C37B27">
              <w:rPr>
                <w:rStyle w:val="normaltextrun"/>
                <w:rFonts w:ascii="Verdana" w:hAnsi="Verdana" w:cs="Arial"/>
                <w:bdr w:val="none" w:sz="0" w:space="0" w:color="auto" w:frame="1"/>
              </w:rPr>
              <w:t>valor</w:t>
            </w:r>
            <w:r w:rsidRPr="00E03956">
              <w:rPr>
                <w:rStyle w:val="normaltextrun"/>
                <w:rFonts w:ascii="Verdana" w:hAnsi="Verdana" w:cs="Arial"/>
                <w:bdr w:val="none" w:sz="0" w:space="0" w:color="auto" w:frame="1"/>
              </w:rPr>
              <w:t xml:space="preserve"> máximo dispuesto en este artículo para la VIS que se ejecute en el marco de programas y/o proyectos de renovación urbana.</w:t>
            </w:r>
          </w:p>
          <w:p w14:paraId="16F231C8" w14:textId="77777777" w:rsidR="00E03956" w:rsidRDefault="00E03956" w:rsidP="00E657D3">
            <w:pPr>
              <w:ind w:left="142" w:right="162"/>
              <w:jc w:val="both"/>
              <w:rPr>
                <w:rStyle w:val="normaltextrun"/>
                <w:rFonts w:ascii="Verdana" w:hAnsi="Verdana" w:cs="Arial"/>
                <w:bdr w:val="none" w:sz="0" w:space="0" w:color="auto" w:frame="1"/>
              </w:rPr>
            </w:pPr>
          </w:p>
          <w:p w14:paraId="46FBB111" w14:textId="3562B726" w:rsidR="004D0829" w:rsidRDefault="004D0829" w:rsidP="00E657D3">
            <w:pPr>
              <w:ind w:left="142" w:right="162"/>
              <w:jc w:val="both"/>
              <w:rPr>
                <w:rFonts w:ascii="Verdana" w:eastAsia="Calibri" w:hAnsi="Verdana" w:cs="Arial"/>
                <w:lang w:eastAsia="en-US"/>
              </w:rPr>
            </w:pPr>
            <w:r w:rsidRPr="004D0829">
              <w:rPr>
                <w:rFonts w:ascii="Verdana" w:eastAsia="Calibri" w:hAnsi="Verdana" w:cs="Arial"/>
                <w:lang w:eastAsia="en-US"/>
              </w:rPr>
              <w:t>Teniendo en cuenta estos antecedentes normativos, se hace necesario</w:t>
            </w:r>
            <w:r>
              <w:rPr>
                <w:rFonts w:ascii="Verdana" w:eastAsia="Calibri" w:hAnsi="Verdana" w:cs="Arial"/>
                <w:lang w:eastAsia="en-US"/>
              </w:rPr>
              <w:t xml:space="preserve"> reglamentar la aplicación de los literales </w:t>
            </w:r>
            <w:r w:rsidR="002A117A">
              <w:rPr>
                <w:rFonts w:ascii="Verdana" w:eastAsia="Calibri" w:hAnsi="Verdana" w:cs="Arial"/>
                <w:lang w:eastAsia="en-US"/>
              </w:rPr>
              <w:t>A</w:t>
            </w:r>
            <w:r>
              <w:rPr>
                <w:rFonts w:ascii="Verdana" w:eastAsia="Calibri" w:hAnsi="Verdana" w:cs="Arial"/>
                <w:lang w:eastAsia="en-US"/>
              </w:rPr>
              <w:t xml:space="preserve">), </w:t>
            </w:r>
            <w:r w:rsidR="002A117A">
              <w:rPr>
                <w:rFonts w:ascii="Verdana" w:eastAsia="Calibri" w:hAnsi="Verdana" w:cs="Arial"/>
                <w:lang w:eastAsia="en-US"/>
              </w:rPr>
              <w:t>B</w:t>
            </w:r>
            <w:r>
              <w:rPr>
                <w:rFonts w:ascii="Verdana" w:eastAsia="Calibri" w:hAnsi="Verdana" w:cs="Arial"/>
                <w:lang w:eastAsia="en-US"/>
              </w:rPr>
              <w:t xml:space="preserve">) y </w:t>
            </w:r>
            <w:r w:rsidR="002A117A">
              <w:rPr>
                <w:rFonts w:ascii="Verdana" w:eastAsia="Calibri" w:hAnsi="Verdana" w:cs="Arial"/>
                <w:lang w:eastAsia="en-US"/>
              </w:rPr>
              <w:t>C</w:t>
            </w:r>
            <w:r>
              <w:rPr>
                <w:rFonts w:ascii="Verdana" w:eastAsia="Calibri" w:hAnsi="Verdana" w:cs="Arial"/>
                <w:lang w:eastAsia="en-US"/>
              </w:rPr>
              <w:t xml:space="preserve">) para </w:t>
            </w:r>
            <w:r w:rsidR="00E03956">
              <w:rPr>
                <w:rFonts w:ascii="Verdana" w:eastAsia="Calibri" w:hAnsi="Verdana" w:cs="Arial"/>
                <w:lang w:eastAsia="en-US"/>
              </w:rPr>
              <w:t>fijar el</w:t>
            </w:r>
            <w:r>
              <w:rPr>
                <w:rFonts w:ascii="Verdana" w:eastAsia="Calibri" w:hAnsi="Verdana" w:cs="Arial"/>
                <w:lang w:eastAsia="en-US"/>
              </w:rPr>
              <w:t xml:space="preserve"> valor excepcional de </w:t>
            </w:r>
            <w:r w:rsidR="002A117A">
              <w:rPr>
                <w:rFonts w:ascii="Verdana" w:eastAsia="Calibri" w:hAnsi="Verdana" w:cs="Arial"/>
                <w:lang w:eastAsia="en-US"/>
              </w:rPr>
              <w:t>ciento cincuenta</w:t>
            </w:r>
            <w:r>
              <w:rPr>
                <w:rFonts w:ascii="Verdana" w:eastAsia="Calibri" w:hAnsi="Verdana" w:cs="Arial"/>
                <w:lang w:eastAsia="en-US"/>
              </w:rPr>
              <w:t xml:space="preserve"> </w:t>
            </w:r>
            <w:r w:rsidR="002A117A" w:rsidRPr="004D0829">
              <w:rPr>
                <w:rFonts w:ascii="Verdana" w:hAnsi="Verdana"/>
              </w:rPr>
              <w:t>salarios mínimos mensuales legales vigentes</w:t>
            </w:r>
            <w:r w:rsidR="002A117A">
              <w:rPr>
                <w:rFonts w:ascii="Verdana" w:hAnsi="Verdana"/>
              </w:rPr>
              <w:t xml:space="preserve"> (150 SMMLV)</w:t>
            </w:r>
            <w:r>
              <w:rPr>
                <w:rFonts w:ascii="Verdana" w:eastAsia="Calibri" w:hAnsi="Verdana" w:cs="Arial"/>
                <w:lang w:eastAsia="en-US"/>
              </w:rPr>
              <w:t xml:space="preserve"> en algunas ciudades y municipios</w:t>
            </w:r>
            <w:r w:rsidR="00E03956">
              <w:rPr>
                <w:rFonts w:ascii="Verdana" w:eastAsia="Calibri" w:hAnsi="Verdana" w:cs="Arial"/>
                <w:lang w:eastAsia="en-US"/>
              </w:rPr>
              <w:t xml:space="preserve"> del país.</w:t>
            </w:r>
            <w:r w:rsidRPr="004D0829">
              <w:rPr>
                <w:rFonts w:ascii="Verdana" w:eastAsia="Calibri" w:hAnsi="Verdana" w:cs="Arial"/>
                <w:lang w:eastAsia="en-US"/>
              </w:rPr>
              <w:t xml:space="preserve"> </w:t>
            </w:r>
          </w:p>
          <w:p w14:paraId="6E59D333" w14:textId="77777777" w:rsidR="00A41BB7" w:rsidRDefault="00A41BB7" w:rsidP="00E657D3">
            <w:pPr>
              <w:ind w:left="142" w:right="162"/>
              <w:jc w:val="both"/>
              <w:rPr>
                <w:rFonts w:ascii="Verdana" w:eastAsia="Calibri" w:hAnsi="Verdana" w:cs="Arial"/>
                <w:lang w:eastAsia="en-US"/>
              </w:rPr>
            </w:pPr>
          </w:p>
          <w:p w14:paraId="1B86A345" w14:textId="39ACC4D0" w:rsidR="00692086" w:rsidRDefault="002A117A" w:rsidP="00692086">
            <w:pPr>
              <w:ind w:left="142" w:right="162"/>
              <w:jc w:val="both"/>
              <w:rPr>
                <w:rFonts w:ascii="Verdana" w:eastAsia="Calibri" w:hAnsi="Verdana" w:cs="Arial"/>
                <w:lang w:eastAsia="en-US"/>
              </w:rPr>
            </w:pPr>
            <w:r>
              <w:rPr>
                <w:rFonts w:ascii="Verdana" w:eastAsia="Calibri" w:hAnsi="Verdana" w:cs="Arial"/>
                <w:lang w:eastAsia="en-US"/>
              </w:rPr>
              <w:t>E</w:t>
            </w:r>
            <w:r w:rsidR="00692086">
              <w:rPr>
                <w:rFonts w:ascii="Verdana" w:eastAsia="Calibri" w:hAnsi="Verdana" w:cs="Arial"/>
                <w:lang w:eastAsia="en-US"/>
              </w:rPr>
              <w:t>n primer lugar, se establece la facultad para que el M</w:t>
            </w:r>
            <w:r>
              <w:rPr>
                <w:rFonts w:ascii="Verdana" w:eastAsia="Calibri" w:hAnsi="Verdana" w:cs="Arial"/>
                <w:lang w:eastAsia="en-US"/>
              </w:rPr>
              <w:t xml:space="preserve">inisterio de </w:t>
            </w:r>
            <w:r w:rsidR="00692086">
              <w:rPr>
                <w:rFonts w:ascii="Verdana" w:eastAsia="Calibri" w:hAnsi="Verdana" w:cs="Arial"/>
                <w:lang w:eastAsia="en-US"/>
              </w:rPr>
              <w:t>V</w:t>
            </w:r>
            <w:r>
              <w:rPr>
                <w:rFonts w:ascii="Verdana" w:eastAsia="Calibri" w:hAnsi="Verdana" w:cs="Arial"/>
                <w:lang w:eastAsia="en-US"/>
              </w:rPr>
              <w:t xml:space="preserve">ivienda, </w:t>
            </w:r>
            <w:r w:rsidR="00692086">
              <w:rPr>
                <w:rFonts w:ascii="Verdana" w:eastAsia="Calibri" w:hAnsi="Verdana" w:cs="Arial"/>
                <w:lang w:eastAsia="en-US"/>
              </w:rPr>
              <w:t>C</w:t>
            </w:r>
            <w:r>
              <w:rPr>
                <w:rFonts w:ascii="Verdana" w:eastAsia="Calibri" w:hAnsi="Verdana" w:cs="Arial"/>
                <w:lang w:eastAsia="en-US"/>
              </w:rPr>
              <w:t xml:space="preserve">iudad y </w:t>
            </w:r>
            <w:r w:rsidR="00692086">
              <w:rPr>
                <w:rFonts w:ascii="Verdana" w:eastAsia="Calibri" w:hAnsi="Verdana" w:cs="Arial"/>
                <w:lang w:eastAsia="en-US"/>
              </w:rPr>
              <w:t>T</w:t>
            </w:r>
            <w:r>
              <w:rPr>
                <w:rFonts w:ascii="Verdana" w:eastAsia="Calibri" w:hAnsi="Verdana" w:cs="Arial"/>
                <w:lang w:eastAsia="en-US"/>
              </w:rPr>
              <w:t>erritorio (MVCT)</w:t>
            </w:r>
            <w:r w:rsidR="00692086">
              <w:rPr>
                <w:rFonts w:ascii="Verdana" w:eastAsia="Calibri" w:hAnsi="Verdana" w:cs="Arial"/>
                <w:lang w:eastAsia="en-US"/>
              </w:rPr>
              <w:t xml:space="preserve"> determine los criterios de construcción sostenible adicionales a los mínimos</w:t>
            </w:r>
            <w:r>
              <w:rPr>
                <w:rFonts w:ascii="Verdana" w:eastAsia="Calibri" w:hAnsi="Verdana" w:cs="Arial"/>
                <w:lang w:eastAsia="en-US"/>
              </w:rPr>
              <w:t xml:space="preserve">, </w:t>
            </w:r>
            <w:r w:rsidR="00692086">
              <w:rPr>
                <w:rFonts w:ascii="Verdana" w:eastAsia="Calibri" w:hAnsi="Verdana" w:cs="Arial"/>
                <w:lang w:eastAsia="en-US"/>
              </w:rPr>
              <w:t>con el fin de lograr el valor de la VIS de</w:t>
            </w:r>
            <w:r>
              <w:rPr>
                <w:rFonts w:ascii="Verdana" w:eastAsia="Calibri" w:hAnsi="Verdana" w:cs="Arial"/>
                <w:lang w:eastAsia="en-US"/>
              </w:rPr>
              <w:t xml:space="preserve"> </w:t>
            </w:r>
            <w:r w:rsidRPr="00FE1794">
              <w:rPr>
                <w:rFonts w:ascii="Verdana" w:eastAsia="Calibri" w:hAnsi="Verdana" w:cs="Arial"/>
                <w:lang w:eastAsia="en-US"/>
              </w:rPr>
              <w:t>ciento cincuenta salarios mínimos legales mensuales vigentes</w:t>
            </w:r>
            <w:r w:rsidR="00692086">
              <w:rPr>
                <w:rFonts w:ascii="Verdana" w:eastAsia="Calibri" w:hAnsi="Verdana" w:cs="Arial"/>
                <w:lang w:eastAsia="en-US"/>
              </w:rPr>
              <w:t xml:space="preserve"> </w:t>
            </w:r>
            <w:r>
              <w:rPr>
                <w:rFonts w:ascii="Verdana" w:eastAsia="Calibri" w:hAnsi="Verdana" w:cs="Arial"/>
                <w:lang w:eastAsia="en-US"/>
              </w:rPr>
              <w:t>(</w:t>
            </w:r>
            <w:r w:rsidR="00692086">
              <w:rPr>
                <w:rFonts w:ascii="Verdana" w:eastAsia="Calibri" w:hAnsi="Verdana" w:cs="Arial"/>
                <w:lang w:eastAsia="en-US"/>
              </w:rPr>
              <w:t xml:space="preserve">150 </w:t>
            </w:r>
            <w:r>
              <w:rPr>
                <w:rFonts w:ascii="Verdana" w:eastAsia="Calibri" w:hAnsi="Verdana" w:cs="Arial"/>
                <w:lang w:eastAsia="en-US"/>
              </w:rPr>
              <w:t>SMMLV)</w:t>
            </w:r>
            <w:r w:rsidR="00692086">
              <w:rPr>
                <w:rFonts w:ascii="Verdana" w:eastAsia="Calibri" w:hAnsi="Verdana" w:cs="Arial"/>
                <w:lang w:eastAsia="en-US"/>
              </w:rPr>
              <w:t>, así como los mecanismos de verificación y certificación de cumplimiento de dichos requisitos.</w:t>
            </w:r>
          </w:p>
          <w:p w14:paraId="173246A4" w14:textId="77777777" w:rsidR="00692086" w:rsidRDefault="00692086" w:rsidP="00692086">
            <w:pPr>
              <w:ind w:left="142" w:right="162"/>
              <w:jc w:val="both"/>
              <w:rPr>
                <w:rFonts w:ascii="Verdana" w:eastAsia="Calibri" w:hAnsi="Verdana" w:cs="Arial"/>
                <w:lang w:eastAsia="en-US"/>
              </w:rPr>
            </w:pPr>
          </w:p>
          <w:p w14:paraId="7ECCBA5F" w14:textId="7D33A1A5" w:rsidR="00692086" w:rsidRDefault="00692086" w:rsidP="00692086">
            <w:pPr>
              <w:ind w:left="142" w:right="162"/>
              <w:jc w:val="both"/>
              <w:rPr>
                <w:rFonts w:ascii="Verdana" w:eastAsia="Calibri" w:hAnsi="Verdana" w:cs="Arial"/>
                <w:lang w:eastAsia="en-US"/>
              </w:rPr>
            </w:pPr>
            <w:r>
              <w:rPr>
                <w:rFonts w:ascii="Verdana" w:eastAsia="Calibri" w:hAnsi="Verdana" w:cs="Arial"/>
                <w:lang w:eastAsia="en-US"/>
              </w:rPr>
              <w:t xml:space="preserve">En segundo lugar, se establece la facultad para que el MVCT defina </w:t>
            </w:r>
            <w:r w:rsidR="00E80C3A" w:rsidRPr="00D42927">
              <w:rPr>
                <w:rFonts w:ascii="Verdana" w:hAnsi="Verdana"/>
                <w:color w:val="000000" w:themeColor="text1"/>
                <w:shd w:val="clear" w:color="auto" w:fill="FFFFFF"/>
              </w:rPr>
              <w:t xml:space="preserve">a partir de un </w:t>
            </w:r>
            <w:r w:rsidR="00F73CDA" w:rsidRPr="00D42927">
              <w:rPr>
                <w:rFonts w:ascii="Verdana" w:hAnsi="Verdana"/>
                <w:color w:val="000000" w:themeColor="text1"/>
                <w:shd w:val="clear" w:color="auto" w:fill="FFFFFF"/>
              </w:rPr>
              <w:t>estudio</w:t>
            </w:r>
            <w:r w:rsidR="00E80C3A" w:rsidRPr="00D42927">
              <w:rPr>
                <w:rFonts w:ascii="Verdana" w:hAnsi="Verdana"/>
                <w:color w:val="000000" w:themeColor="text1"/>
                <w:shd w:val="clear" w:color="auto" w:fill="FFFFFF"/>
              </w:rPr>
              <w:t xml:space="preserve"> técnico,</w:t>
            </w:r>
            <w:r w:rsidR="00E80C3A" w:rsidRPr="00D42927">
              <w:rPr>
                <w:rFonts w:ascii="Work Sans" w:hAnsi="Work Sans"/>
                <w:color w:val="000000" w:themeColor="text1"/>
                <w:sz w:val="25"/>
                <w:szCs w:val="25"/>
                <w:shd w:val="clear" w:color="auto" w:fill="FFFFFF"/>
              </w:rPr>
              <w:t xml:space="preserve"> </w:t>
            </w:r>
            <w:r w:rsidR="00E80C3A">
              <w:rPr>
                <w:rFonts w:ascii="Verdana" w:eastAsia="Calibri" w:hAnsi="Verdana" w:cs="Arial"/>
                <w:lang w:eastAsia="en-US"/>
              </w:rPr>
              <w:t xml:space="preserve">el </w:t>
            </w:r>
            <w:r>
              <w:rPr>
                <w:rFonts w:ascii="Verdana" w:eastAsia="Calibri" w:hAnsi="Verdana" w:cs="Arial"/>
                <w:lang w:eastAsia="en-US"/>
              </w:rPr>
              <w:t xml:space="preserve">valor </w:t>
            </w:r>
            <w:r w:rsidRPr="00FE1794">
              <w:rPr>
                <w:rFonts w:ascii="Verdana" w:eastAsia="Calibri" w:hAnsi="Verdana" w:cs="Arial"/>
                <w:lang w:eastAsia="en-US"/>
              </w:rPr>
              <w:t>excepcional de la vivienda de interés social en zonas rurales, el cual no podrá ser mayor de ciento cincuenta salarios mínimos legales mensuales vigentes (150 SMLMV</w:t>
            </w:r>
            <w:r w:rsidRPr="00A56436">
              <w:rPr>
                <w:rFonts w:ascii="Verdana" w:eastAsia="Calibri" w:hAnsi="Verdana" w:cs="Arial"/>
                <w:lang w:eastAsia="en-US"/>
              </w:rPr>
              <w:t xml:space="preserve">). </w:t>
            </w:r>
            <w:r w:rsidR="00B438F5" w:rsidRPr="00A56436">
              <w:rPr>
                <w:rFonts w:ascii="Verdana" w:hAnsi="Verdana"/>
              </w:rPr>
              <w:t xml:space="preserve">Este estudio </w:t>
            </w:r>
            <w:r w:rsidRPr="00FE1794">
              <w:rPr>
                <w:rFonts w:ascii="Verdana" w:eastAsia="Calibri" w:hAnsi="Verdana" w:cs="Arial"/>
                <w:lang w:eastAsia="en-US"/>
              </w:rPr>
              <w:t xml:space="preserve">tendrá en cuenta las </w:t>
            </w:r>
            <w:r w:rsidRPr="00FE1794">
              <w:rPr>
                <w:rFonts w:ascii="Verdana" w:eastAsia="Calibri" w:hAnsi="Verdana" w:cs="Arial"/>
                <w:lang w:eastAsia="en-US"/>
              </w:rPr>
              <w:lastRenderedPageBreak/>
              <w:t>siguientes variables: dificultad en el acceso</w:t>
            </w:r>
            <w:r w:rsidR="002A117A">
              <w:rPr>
                <w:rFonts w:ascii="Verdana" w:eastAsia="Calibri" w:hAnsi="Verdana" w:cs="Arial"/>
                <w:lang w:eastAsia="en-US"/>
              </w:rPr>
              <w:t xml:space="preserve"> a los territorios</w:t>
            </w:r>
            <w:r w:rsidRPr="00FE1794">
              <w:rPr>
                <w:rFonts w:ascii="Verdana" w:eastAsia="Calibri" w:hAnsi="Verdana" w:cs="Arial"/>
                <w:lang w:eastAsia="en-US"/>
              </w:rPr>
              <w:t>,</w:t>
            </w:r>
            <w:r w:rsidR="002A117A">
              <w:rPr>
                <w:rFonts w:ascii="Verdana" w:eastAsia="Calibri" w:hAnsi="Verdana" w:cs="Arial"/>
                <w:lang w:eastAsia="en-US"/>
              </w:rPr>
              <w:t xml:space="preserve"> así como</w:t>
            </w:r>
            <w:r w:rsidRPr="00FE1794">
              <w:rPr>
                <w:rFonts w:ascii="Verdana" w:eastAsia="Calibri" w:hAnsi="Verdana" w:cs="Arial"/>
                <w:lang w:eastAsia="en-US"/>
              </w:rPr>
              <w:t xml:space="preserve"> características culturales, condiciones geográficas o climáticas</w:t>
            </w:r>
            <w:r w:rsidR="002A117A">
              <w:rPr>
                <w:rFonts w:ascii="Verdana" w:eastAsia="Calibri" w:hAnsi="Verdana" w:cs="Arial"/>
                <w:lang w:eastAsia="en-US"/>
              </w:rPr>
              <w:t xml:space="preserve"> de los mismos</w:t>
            </w:r>
            <w:r w:rsidRPr="00FE1794">
              <w:rPr>
                <w:rFonts w:ascii="Verdana" w:eastAsia="Calibri" w:hAnsi="Verdana" w:cs="Arial"/>
                <w:lang w:eastAsia="en-US"/>
              </w:rPr>
              <w:t>.</w:t>
            </w:r>
          </w:p>
          <w:p w14:paraId="49A0C93C" w14:textId="77777777" w:rsidR="00B438F5" w:rsidRDefault="00B438F5" w:rsidP="00692086">
            <w:pPr>
              <w:ind w:left="142" w:right="162"/>
              <w:jc w:val="both"/>
              <w:rPr>
                <w:rFonts w:ascii="Verdana" w:eastAsia="Calibri" w:hAnsi="Verdana" w:cs="Arial"/>
                <w:lang w:eastAsia="en-US"/>
              </w:rPr>
            </w:pPr>
          </w:p>
          <w:p w14:paraId="23D1FD29" w14:textId="178214EF" w:rsidR="00B438F5" w:rsidRPr="00EE35B2" w:rsidRDefault="00B438F5" w:rsidP="00B438F5">
            <w:pPr>
              <w:ind w:left="142" w:right="162"/>
              <w:jc w:val="both"/>
              <w:rPr>
                <w:rFonts w:ascii="Verdana" w:hAnsi="Verdana"/>
                <w:shd w:val="clear" w:color="auto" w:fill="FFFFFF"/>
              </w:rPr>
            </w:pPr>
            <w:r w:rsidRPr="00EE35B2">
              <w:rPr>
                <w:rFonts w:ascii="Verdana" w:eastAsia="Calibri" w:hAnsi="Verdana" w:cs="Arial"/>
                <w:lang w:eastAsia="en-US"/>
              </w:rPr>
              <w:t xml:space="preserve">En tercer lugar, se establece la facultad para que el MVCT defina </w:t>
            </w:r>
            <w:r w:rsidRPr="00EE35B2">
              <w:rPr>
                <w:rFonts w:ascii="Verdana" w:hAnsi="Verdana"/>
                <w:shd w:val="clear" w:color="auto" w:fill="FFFFFF"/>
              </w:rPr>
              <w:t xml:space="preserve">a partir de un estudio técnico, un </w:t>
            </w:r>
            <w:r w:rsidRPr="00EE35B2">
              <w:rPr>
                <w:rStyle w:val="normaltextrun"/>
                <w:rFonts w:ascii="Verdana" w:hAnsi="Verdana"/>
                <w:bdr w:val="none" w:sz="0" w:space="0" w:color="auto" w:frame="1"/>
              </w:rPr>
              <w:t xml:space="preserve">valor </w:t>
            </w:r>
            <w:r w:rsidRPr="00EE35B2">
              <w:rPr>
                <w:rFonts w:ascii="Verdana" w:eastAsia="Calibri" w:hAnsi="Verdana" w:cs="Arial"/>
                <w:lang w:eastAsia="en-US"/>
              </w:rPr>
              <w:t xml:space="preserve">excepcional </w:t>
            </w:r>
            <w:r w:rsidR="00B45246" w:rsidRPr="00EE35B2">
              <w:rPr>
                <w:rFonts w:ascii="Verdana" w:eastAsia="Calibri" w:hAnsi="Verdana" w:cs="Arial"/>
                <w:lang w:eastAsia="en-US"/>
              </w:rPr>
              <w:t xml:space="preserve">de la vivienda de interés social en zonas rurales, </w:t>
            </w:r>
            <w:r w:rsidRPr="00EE35B2">
              <w:rPr>
                <w:rFonts w:ascii="Verdana" w:eastAsia="Calibri" w:hAnsi="Verdana" w:cs="Arial"/>
                <w:lang w:eastAsia="en-US"/>
              </w:rPr>
              <w:t>s</w:t>
            </w:r>
            <w:r w:rsidRPr="00EE35B2">
              <w:rPr>
                <w:rFonts w:ascii="Verdana" w:eastAsia="Calibri" w:hAnsi="Verdana"/>
                <w:lang w:eastAsia="en-US"/>
              </w:rPr>
              <w:t xml:space="preserve">uperior a los </w:t>
            </w:r>
            <w:r w:rsidRPr="00EE35B2">
              <w:rPr>
                <w:rStyle w:val="normaltextrun"/>
                <w:rFonts w:ascii="Verdana" w:hAnsi="Verdana" w:cs="Arial"/>
                <w:bdr w:val="none" w:sz="0" w:space="0" w:color="auto" w:frame="1"/>
              </w:rPr>
              <w:t xml:space="preserve">cinco </w:t>
            </w:r>
            <w:r w:rsidRPr="00EE35B2">
              <w:rPr>
                <w:rFonts w:ascii="Verdana" w:hAnsi="Verdana"/>
              </w:rPr>
              <w:t xml:space="preserve">salarios mínimos legales mensuales vigentes (135 SMLMV) en los departamentos de Amazonas, Guaviare, Guainía, San Andrés, Providencia y Santa Catalina, Putumayo, Chocó, Vaupés y Vichada. Este estudio </w:t>
            </w:r>
            <w:r w:rsidRPr="00EE35B2">
              <w:rPr>
                <w:rFonts w:ascii="Verdana" w:eastAsia="Calibri" w:hAnsi="Verdana" w:cs="Arial"/>
                <w:lang w:eastAsia="en-US"/>
              </w:rPr>
              <w:t>tendrá en cuenta las siguientes variables:</w:t>
            </w:r>
            <w:r w:rsidRPr="00EE35B2">
              <w:rPr>
                <w:rFonts w:ascii="Verdana" w:hAnsi="Verdana"/>
                <w:shd w:val="clear" w:color="auto" w:fill="FFFFFF"/>
              </w:rPr>
              <w:t xml:space="preserve"> costo de materiales de construcción y su transporte, mano de obra y su enfoque diferencial. </w:t>
            </w:r>
          </w:p>
          <w:p w14:paraId="34889191" w14:textId="6B9EE6D0" w:rsidR="00CF4A65" w:rsidRPr="00EE35B2" w:rsidRDefault="00CF4A65" w:rsidP="00CF4A65">
            <w:pPr>
              <w:ind w:right="162"/>
              <w:jc w:val="both"/>
              <w:rPr>
                <w:rFonts w:ascii="Verdana" w:eastAsia="Calibri" w:hAnsi="Verdana"/>
                <w:lang w:eastAsia="en-US"/>
              </w:rPr>
            </w:pPr>
          </w:p>
          <w:p w14:paraId="5F326149" w14:textId="4A09BBDD" w:rsidR="00CF4A65" w:rsidRPr="00EE35B2" w:rsidRDefault="00CF4A65" w:rsidP="00CF4A65">
            <w:pPr>
              <w:ind w:left="142" w:right="162"/>
              <w:jc w:val="both"/>
              <w:rPr>
                <w:rFonts w:ascii="Verdana" w:eastAsia="Calibri" w:hAnsi="Verdana" w:cs="Arial"/>
                <w:lang w:eastAsia="en-US"/>
              </w:rPr>
            </w:pPr>
            <w:r w:rsidRPr="00EE35B2">
              <w:rPr>
                <w:rFonts w:ascii="Verdana" w:eastAsia="Calibri" w:hAnsi="Verdana" w:cs="Arial"/>
                <w:lang w:eastAsia="en-US"/>
              </w:rPr>
              <w:t xml:space="preserve">En cuarto lugar, se establece la facultad para que el MVCT reglamente el uso de los mecanismos de pago de obras por impuestos y pago de obras por regalías para financiar la vivienda de interés social; con el fin de incentivar </w:t>
            </w:r>
            <w:r w:rsidRPr="00EE35B2">
              <w:rPr>
                <w:rFonts w:ascii="Verdana" w:eastAsia="Calibri" w:hAnsi="Verdana"/>
                <w:lang w:eastAsia="en-US"/>
              </w:rPr>
              <w:t xml:space="preserve">la inversión privada en ese tipo de viviendas. </w:t>
            </w:r>
          </w:p>
          <w:p w14:paraId="5EB0FF42" w14:textId="77777777" w:rsidR="00692086" w:rsidRPr="00EE35B2" w:rsidRDefault="00692086" w:rsidP="00CF4A65">
            <w:pPr>
              <w:ind w:right="162"/>
              <w:jc w:val="both"/>
              <w:rPr>
                <w:rFonts w:ascii="Verdana" w:eastAsia="Calibri" w:hAnsi="Verdana" w:cs="Arial"/>
                <w:lang w:eastAsia="en-US"/>
              </w:rPr>
            </w:pPr>
          </w:p>
          <w:p w14:paraId="5BEE78CD" w14:textId="1D01AF1B" w:rsidR="00692086" w:rsidRDefault="00692086" w:rsidP="00692086">
            <w:pPr>
              <w:ind w:left="142" w:right="162"/>
              <w:jc w:val="both"/>
              <w:rPr>
                <w:rFonts w:ascii="Verdana" w:eastAsia="Calibri" w:hAnsi="Verdana" w:cs="Arial"/>
                <w:lang w:eastAsia="en-US"/>
              </w:rPr>
            </w:pPr>
            <w:r w:rsidRPr="00EE35B2">
              <w:rPr>
                <w:rFonts w:ascii="Verdana" w:eastAsia="Calibri" w:hAnsi="Verdana" w:cs="Arial"/>
                <w:lang w:eastAsia="en-US"/>
              </w:rPr>
              <w:t xml:space="preserve">En </w:t>
            </w:r>
            <w:r w:rsidR="00B438F5" w:rsidRPr="00EE35B2">
              <w:rPr>
                <w:rFonts w:ascii="Verdana" w:eastAsia="Calibri" w:hAnsi="Verdana" w:cs="Arial"/>
                <w:lang w:eastAsia="en-US"/>
              </w:rPr>
              <w:t>quinto</w:t>
            </w:r>
            <w:r w:rsidRPr="00EE35B2">
              <w:rPr>
                <w:rFonts w:ascii="Verdana" w:eastAsia="Calibri" w:hAnsi="Verdana" w:cs="Arial"/>
                <w:lang w:eastAsia="en-US"/>
              </w:rPr>
              <w:t xml:space="preserve"> </w:t>
            </w:r>
            <w:r>
              <w:rPr>
                <w:rFonts w:ascii="Verdana" w:eastAsia="Calibri" w:hAnsi="Verdana" w:cs="Arial"/>
                <w:lang w:eastAsia="en-US"/>
              </w:rPr>
              <w:t xml:space="preserve">lugar, en relación con las </w:t>
            </w:r>
            <w:r w:rsidRPr="00692086">
              <w:rPr>
                <w:rFonts w:ascii="Verdana" w:eastAsia="Calibri" w:hAnsi="Verdana" w:cs="Arial"/>
                <w:lang w:eastAsia="en-US"/>
              </w:rPr>
              <w:t xml:space="preserve">ciudades </w:t>
            </w:r>
            <w:proofErr w:type="spellStart"/>
            <w:r w:rsidRPr="00692086">
              <w:rPr>
                <w:rFonts w:ascii="Verdana" w:eastAsia="Calibri" w:hAnsi="Verdana" w:cs="Arial"/>
                <w:lang w:eastAsia="en-US"/>
              </w:rPr>
              <w:t>uninodales</w:t>
            </w:r>
            <w:proofErr w:type="spellEnd"/>
            <w:r w:rsidRPr="00692086">
              <w:rPr>
                <w:rFonts w:ascii="Verdana" w:eastAsia="Calibri" w:hAnsi="Verdana" w:cs="Arial"/>
                <w:lang w:eastAsia="en-US"/>
              </w:rPr>
              <w:t xml:space="preserve"> cuya población supere los trescientos mil (300.000) habitantes</w:t>
            </w:r>
            <w:r>
              <w:rPr>
                <w:rFonts w:ascii="Verdana" w:eastAsia="Calibri" w:hAnsi="Verdana" w:cs="Arial"/>
                <w:lang w:eastAsia="en-US"/>
              </w:rPr>
              <w:t xml:space="preserve"> y las </w:t>
            </w:r>
            <w:r w:rsidRPr="00692086">
              <w:rPr>
                <w:rFonts w:ascii="Verdana" w:eastAsia="Calibri" w:hAnsi="Verdana" w:cs="Arial"/>
                <w:lang w:eastAsia="en-US"/>
              </w:rPr>
              <w:t xml:space="preserve">aglomeraciones urbanas cuya población supere </w:t>
            </w:r>
            <w:r w:rsidR="002A117A">
              <w:rPr>
                <w:rFonts w:ascii="Verdana" w:eastAsia="Calibri" w:hAnsi="Verdana" w:cs="Arial"/>
                <w:lang w:eastAsia="en-US"/>
              </w:rPr>
              <w:t xml:space="preserve">los </w:t>
            </w:r>
            <w:r w:rsidRPr="00692086">
              <w:rPr>
                <w:rFonts w:ascii="Verdana" w:eastAsia="Calibri" w:hAnsi="Verdana" w:cs="Arial"/>
                <w:lang w:eastAsia="en-US"/>
              </w:rPr>
              <w:t>quinientos mil (500.000) habitantes</w:t>
            </w:r>
            <w:r>
              <w:rPr>
                <w:rFonts w:ascii="Verdana" w:eastAsia="Calibri" w:hAnsi="Verdana" w:cs="Arial"/>
                <w:lang w:eastAsia="en-US"/>
              </w:rPr>
              <w:t xml:space="preserve">, debe tenerse en cuenta que </w:t>
            </w:r>
            <w:r w:rsidR="00A41BB7">
              <w:rPr>
                <w:rFonts w:ascii="Verdana" w:eastAsia="Calibri" w:hAnsi="Verdana" w:cs="Arial"/>
                <w:lang w:eastAsia="en-US"/>
              </w:rPr>
              <w:t>e</w:t>
            </w:r>
            <w:r w:rsidR="009E3CB2" w:rsidRPr="009E3CB2">
              <w:rPr>
                <w:rFonts w:ascii="Verdana" w:eastAsia="Calibri" w:hAnsi="Verdana" w:cs="Arial"/>
                <w:lang w:eastAsia="en-US"/>
              </w:rPr>
              <w:t>l incentivo a la vivienda de interés social ha sido un</w:t>
            </w:r>
            <w:r w:rsidR="002A117A">
              <w:rPr>
                <w:rFonts w:ascii="Verdana" w:eastAsia="Calibri" w:hAnsi="Verdana" w:cs="Arial"/>
                <w:lang w:eastAsia="en-US"/>
              </w:rPr>
              <w:t xml:space="preserve"> elemento</w:t>
            </w:r>
            <w:r w:rsidR="009E3CB2" w:rsidRPr="009E3CB2">
              <w:rPr>
                <w:rFonts w:ascii="Verdana" w:eastAsia="Calibri" w:hAnsi="Verdana" w:cs="Arial"/>
                <w:lang w:eastAsia="en-US"/>
              </w:rPr>
              <w:t xml:space="preserve"> central de la estrategia de política de vivienda impulsada por el Gobierno </w:t>
            </w:r>
            <w:r w:rsidR="004F66E7">
              <w:rPr>
                <w:rFonts w:ascii="Verdana" w:eastAsia="Calibri" w:hAnsi="Verdana" w:cs="Arial"/>
                <w:lang w:eastAsia="en-US"/>
              </w:rPr>
              <w:t>N</w:t>
            </w:r>
            <w:r w:rsidR="009E3CB2" w:rsidRPr="009E3CB2">
              <w:rPr>
                <w:rFonts w:ascii="Verdana" w:eastAsia="Calibri" w:hAnsi="Verdana" w:cs="Arial"/>
                <w:lang w:eastAsia="en-US"/>
              </w:rPr>
              <w:t>acional. Reconociendo la importante labor que tiene este segmento de vivienda en la mejora de las condiciones de vida de un amplio segmento de la población que se encuentra en déficit habitacional, desde agosto de 20</w:t>
            </w:r>
            <w:r w:rsidR="009E3CB2">
              <w:rPr>
                <w:rFonts w:ascii="Verdana" w:eastAsia="Calibri" w:hAnsi="Verdana" w:cs="Arial"/>
                <w:lang w:eastAsia="en-US"/>
              </w:rPr>
              <w:t>22</w:t>
            </w:r>
            <w:r w:rsidR="009E3CB2" w:rsidRPr="009E3CB2">
              <w:rPr>
                <w:rFonts w:ascii="Verdana" w:eastAsia="Calibri" w:hAnsi="Verdana" w:cs="Arial"/>
                <w:lang w:eastAsia="en-US"/>
              </w:rPr>
              <w:t xml:space="preserve"> se han implementado una serie de medidas que facilitan el acceso a la vivienda de interés social (VIS) y generan un</w:t>
            </w:r>
            <w:r w:rsidR="009E3CB2">
              <w:rPr>
                <w:rFonts w:ascii="Verdana" w:eastAsia="Calibri" w:hAnsi="Verdana" w:cs="Arial"/>
                <w:lang w:eastAsia="en-US"/>
              </w:rPr>
              <w:t>as</w:t>
            </w:r>
            <w:r w:rsidR="009E3CB2" w:rsidRPr="009E3CB2">
              <w:rPr>
                <w:rFonts w:ascii="Verdana" w:eastAsia="Calibri" w:hAnsi="Verdana" w:cs="Arial"/>
                <w:lang w:eastAsia="en-US"/>
              </w:rPr>
              <w:t xml:space="preserve"> con</w:t>
            </w:r>
            <w:r w:rsidR="009E3CB2">
              <w:rPr>
                <w:rFonts w:ascii="Verdana" w:eastAsia="Calibri" w:hAnsi="Verdana" w:cs="Arial"/>
                <w:lang w:eastAsia="en-US"/>
              </w:rPr>
              <w:t xml:space="preserve">diciones </w:t>
            </w:r>
            <w:r w:rsidR="009E3CB2" w:rsidRPr="009E3CB2">
              <w:rPr>
                <w:rFonts w:ascii="Verdana" w:eastAsia="Calibri" w:hAnsi="Verdana" w:cs="Arial"/>
                <w:lang w:eastAsia="en-US"/>
              </w:rPr>
              <w:t>propici</w:t>
            </w:r>
            <w:r w:rsidR="009E3CB2">
              <w:rPr>
                <w:rFonts w:ascii="Verdana" w:eastAsia="Calibri" w:hAnsi="Verdana" w:cs="Arial"/>
                <w:lang w:eastAsia="en-US"/>
              </w:rPr>
              <w:t>as para que más familias accedan a</w:t>
            </w:r>
            <w:r w:rsidR="009E3CB2" w:rsidRPr="009E3CB2">
              <w:rPr>
                <w:rFonts w:ascii="Verdana" w:eastAsia="Calibri" w:hAnsi="Verdana" w:cs="Arial"/>
                <w:lang w:eastAsia="en-US"/>
              </w:rPr>
              <w:t>l mercado de vivienda</w:t>
            </w:r>
            <w:r w:rsidR="009E3CB2">
              <w:rPr>
                <w:rFonts w:ascii="Verdana" w:eastAsia="Calibri" w:hAnsi="Verdana" w:cs="Arial"/>
                <w:lang w:eastAsia="en-US"/>
              </w:rPr>
              <w:t>.</w:t>
            </w:r>
            <w:r w:rsidR="009E3CB2" w:rsidRPr="009E3CB2">
              <w:rPr>
                <w:rFonts w:ascii="Verdana" w:eastAsia="Calibri" w:hAnsi="Verdana" w:cs="Arial"/>
                <w:lang w:eastAsia="en-US"/>
              </w:rPr>
              <w:t xml:space="preserve"> </w:t>
            </w:r>
          </w:p>
          <w:p w14:paraId="69351D2D" w14:textId="77777777" w:rsidR="00EA1DD8" w:rsidRDefault="00EA1DD8" w:rsidP="00E657D3">
            <w:pPr>
              <w:ind w:left="142" w:right="162"/>
              <w:jc w:val="both"/>
              <w:rPr>
                <w:rFonts w:ascii="Verdana" w:eastAsia="Calibri" w:hAnsi="Verdana" w:cs="Arial"/>
                <w:lang w:eastAsia="en-US"/>
              </w:rPr>
            </w:pPr>
          </w:p>
          <w:p w14:paraId="0EF7A807" w14:textId="5A13FD72" w:rsidR="0067436F" w:rsidRPr="0067436F" w:rsidRDefault="0067436F" w:rsidP="00E657D3">
            <w:pPr>
              <w:ind w:left="142" w:right="162"/>
              <w:jc w:val="both"/>
              <w:rPr>
                <w:rFonts w:ascii="Verdana" w:eastAsia="Calibri" w:hAnsi="Verdana" w:cs="Arial"/>
                <w:lang w:eastAsia="en-US"/>
              </w:rPr>
            </w:pPr>
            <w:r w:rsidRPr="0067436F">
              <w:rPr>
                <w:rFonts w:ascii="Verdana" w:eastAsia="Calibri" w:hAnsi="Verdana" w:cs="Arial"/>
                <w:lang w:eastAsia="en-US"/>
              </w:rPr>
              <w:t xml:space="preserve">Una importante medida que ha fomentado sustancialmente la vivienda de interés social en Colombia fue la modificación del </w:t>
            </w:r>
            <w:r w:rsidR="004F66E7">
              <w:rPr>
                <w:rFonts w:ascii="Verdana" w:eastAsia="Calibri" w:hAnsi="Verdana" w:cs="Arial"/>
                <w:lang w:eastAsia="en-US"/>
              </w:rPr>
              <w:t>valor</w:t>
            </w:r>
            <w:r w:rsidRPr="0067436F">
              <w:rPr>
                <w:rFonts w:ascii="Verdana" w:eastAsia="Calibri" w:hAnsi="Verdana" w:cs="Arial"/>
                <w:lang w:eastAsia="en-US"/>
              </w:rPr>
              <w:t xml:space="preserve"> límite de la VIS a través de</w:t>
            </w:r>
            <w:r>
              <w:rPr>
                <w:rFonts w:ascii="Verdana" w:eastAsia="Calibri" w:hAnsi="Verdana" w:cs="Arial"/>
                <w:lang w:eastAsia="en-US"/>
              </w:rPr>
              <w:t xml:space="preserve"> </w:t>
            </w:r>
            <w:r w:rsidRPr="0067436F">
              <w:rPr>
                <w:rFonts w:ascii="Verdana" w:eastAsia="Calibri" w:hAnsi="Verdana" w:cs="Arial"/>
                <w:lang w:eastAsia="en-US"/>
              </w:rPr>
              <w:t>l</w:t>
            </w:r>
            <w:r>
              <w:rPr>
                <w:rFonts w:ascii="Verdana" w:eastAsia="Calibri" w:hAnsi="Verdana" w:cs="Arial"/>
                <w:lang w:eastAsia="en-US"/>
              </w:rPr>
              <w:t>os</w:t>
            </w:r>
            <w:r w:rsidRPr="0067436F">
              <w:rPr>
                <w:rFonts w:ascii="Verdana" w:eastAsia="Calibri" w:hAnsi="Verdana" w:cs="Arial"/>
                <w:lang w:eastAsia="en-US"/>
              </w:rPr>
              <w:t xml:space="preserve"> Decreto</w:t>
            </w:r>
            <w:r>
              <w:rPr>
                <w:rFonts w:ascii="Verdana" w:eastAsia="Calibri" w:hAnsi="Verdana" w:cs="Arial"/>
                <w:lang w:eastAsia="en-US"/>
              </w:rPr>
              <w:t>s</w:t>
            </w:r>
            <w:r w:rsidRPr="0067436F">
              <w:rPr>
                <w:rFonts w:ascii="Verdana" w:eastAsia="Calibri" w:hAnsi="Verdana" w:cs="Arial"/>
                <w:lang w:eastAsia="en-US"/>
              </w:rPr>
              <w:t xml:space="preserve"> 1467 de 2019</w:t>
            </w:r>
            <w:r>
              <w:rPr>
                <w:rFonts w:ascii="Verdana" w:eastAsia="Calibri" w:hAnsi="Verdana" w:cs="Arial"/>
                <w:lang w:eastAsia="en-US"/>
              </w:rPr>
              <w:t xml:space="preserve"> y 1607 de 2022</w:t>
            </w:r>
            <w:r w:rsidRPr="0067436F">
              <w:rPr>
                <w:rFonts w:ascii="Verdana" w:eastAsia="Calibri" w:hAnsi="Verdana" w:cs="Arial"/>
                <w:lang w:eastAsia="en-US"/>
              </w:rPr>
              <w:t>. En observancia de lo dispuesto en el artículo 85 de la Ley 1955 de 2019, esta norma estableció que el monto de 150 SMM</w:t>
            </w:r>
            <w:r w:rsidR="00D7219F">
              <w:rPr>
                <w:rFonts w:ascii="Verdana" w:eastAsia="Calibri" w:hAnsi="Verdana" w:cs="Arial"/>
                <w:lang w:eastAsia="en-US"/>
              </w:rPr>
              <w:t>L</w:t>
            </w:r>
            <w:r w:rsidRPr="0067436F">
              <w:rPr>
                <w:rFonts w:ascii="Verdana" w:eastAsia="Calibri" w:hAnsi="Verdana" w:cs="Arial"/>
                <w:lang w:eastAsia="en-US"/>
              </w:rPr>
              <w:t xml:space="preserve">V como </w:t>
            </w:r>
            <w:r w:rsidR="004F66E7">
              <w:rPr>
                <w:rFonts w:ascii="Verdana" w:eastAsia="Calibri" w:hAnsi="Verdana" w:cs="Arial"/>
                <w:lang w:eastAsia="en-US"/>
              </w:rPr>
              <w:t>valor</w:t>
            </w:r>
            <w:r w:rsidRPr="0067436F">
              <w:rPr>
                <w:rFonts w:ascii="Verdana" w:eastAsia="Calibri" w:hAnsi="Verdana" w:cs="Arial"/>
                <w:lang w:eastAsia="en-US"/>
              </w:rPr>
              <w:t xml:space="preserve"> máximo de la VIS para algunos municipios y distritos pertenecientes a las aglomeraciones urbanas establecidas por el CONPES</w:t>
            </w:r>
            <w:r w:rsidR="004F66E7">
              <w:rPr>
                <w:rFonts w:ascii="Verdana" w:eastAsia="Calibri" w:hAnsi="Verdana" w:cs="Arial"/>
                <w:lang w:eastAsia="en-US"/>
              </w:rPr>
              <w:t xml:space="preserve"> 3819 de 2014</w:t>
            </w:r>
            <w:r w:rsidRPr="0067436F">
              <w:rPr>
                <w:rFonts w:ascii="Verdana" w:eastAsia="Calibri" w:hAnsi="Verdana" w:cs="Arial"/>
                <w:lang w:eastAsia="en-US"/>
              </w:rPr>
              <w:t xml:space="preserve"> con más de un millón de habitantes.</w:t>
            </w:r>
          </w:p>
          <w:p w14:paraId="4DF5D1AF" w14:textId="77777777" w:rsidR="0067436F" w:rsidRPr="0067436F" w:rsidRDefault="0067436F" w:rsidP="00E657D3">
            <w:pPr>
              <w:ind w:left="142" w:right="162"/>
              <w:jc w:val="both"/>
              <w:rPr>
                <w:rFonts w:ascii="Verdana" w:eastAsia="Calibri" w:hAnsi="Verdana" w:cs="Arial"/>
                <w:lang w:eastAsia="en-US"/>
              </w:rPr>
            </w:pPr>
          </w:p>
          <w:p w14:paraId="6A7A08CE" w14:textId="2B1CBEB1" w:rsidR="0067436F" w:rsidRPr="0067436F" w:rsidRDefault="0067436F" w:rsidP="00E657D3">
            <w:pPr>
              <w:ind w:left="142" w:right="162"/>
              <w:jc w:val="both"/>
              <w:rPr>
                <w:rFonts w:ascii="Verdana" w:eastAsia="Calibri" w:hAnsi="Verdana" w:cs="Arial"/>
                <w:lang w:eastAsia="en-US"/>
              </w:rPr>
            </w:pPr>
            <w:r w:rsidRPr="0067436F">
              <w:rPr>
                <w:rFonts w:ascii="Verdana" w:eastAsia="Calibri" w:hAnsi="Verdana" w:cs="Arial"/>
                <w:lang w:eastAsia="en-US"/>
              </w:rPr>
              <w:t xml:space="preserve">Las disposiciones de </w:t>
            </w:r>
            <w:r w:rsidR="004F66E7">
              <w:rPr>
                <w:rFonts w:ascii="Verdana" w:eastAsia="Calibri" w:hAnsi="Verdana" w:cs="Arial"/>
                <w:lang w:eastAsia="en-US"/>
              </w:rPr>
              <w:t>estos</w:t>
            </w:r>
            <w:r w:rsidRPr="0067436F">
              <w:rPr>
                <w:rFonts w:ascii="Verdana" w:eastAsia="Calibri" w:hAnsi="Verdana" w:cs="Arial"/>
                <w:lang w:eastAsia="en-US"/>
              </w:rPr>
              <w:t xml:space="preserve"> decreto</w:t>
            </w:r>
            <w:r w:rsidR="004F66E7">
              <w:rPr>
                <w:rFonts w:ascii="Verdana" w:eastAsia="Calibri" w:hAnsi="Verdana" w:cs="Arial"/>
                <w:lang w:eastAsia="en-US"/>
              </w:rPr>
              <w:t>s</w:t>
            </w:r>
            <w:r w:rsidRPr="0067436F">
              <w:rPr>
                <w:rFonts w:ascii="Verdana" w:eastAsia="Calibri" w:hAnsi="Verdana" w:cs="Arial"/>
                <w:lang w:eastAsia="en-US"/>
              </w:rPr>
              <w:t xml:space="preserve"> se sustentaron en una evaluación técnica realizada por el Ministerio de Vivienda, Ciudad y Territorio</w:t>
            </w:r>
            <w:r w:rsidR="00AC1868">
              <w:rPr>
                <w:rFonts w:ascii="Verdana" w:eastAsia="Calibri" w:hAnsi="Verdana" w:cs="Arial"/>
                <w:lang w:eastAsia="en-US"/>
              </w:rPr>
              <w:t xml:space="preserve"> en el </w:t>
            </w:r>
            <w:r w:rsidR="00AC1868" w:rsidRPr="00AC1868">
              <w:rPr>
                <w:rFonts w:ascii="Verdana" w:eastAsia="Calibri" w:hAnsi="Verdana" w:cs="Arial"/>
                <w:lang w:eastAsia="en-US"/>
              </w:rPr>
              <w:t>2019</w:t>
            </w:r>
            <w:r w:rsidR="00AC1868">
              <w:rPr>
                <w:rFonts w:ascii="Verdana" w:eastAsia="Calibri" w:hAnsi="Verdana" w:cs="Arial"/>
                <w:lang w:eastAsia="en-US"/>
              </w:rPr>
              <w:t xml:space="preserve"> (</w:t>
            </w:r>
            <w:r w:rsidR="00AC1868" w:rsidRPr="00AC1868">
              <w:rPr>
                <w:rFonts w:ascii="Verdana" w:eastAsia="Calibri" w:hAnsi="Verdana" w:cs="Arial"/>
                <w:lang w:eastAsia="en-US"/>
              </w:rPr>
              <w:t>Estudio sobre los precios tope de la vivienda de interés social en Colombia</w:t>
            </w:r>
            <w:r w:rsidR="004F66E7">
              <w:rPr>
                <w:rFonts w:ascii="Verdana" w:eastAsia="Calibri" w:hAnsi="Verdana" w:cs="Arial"/>
                <w:lang w:eastAsia="en-US"/>
              </w:rPr>
              <w:t>, d</w:t>
            </w:r>
            <w:r w:rsidR="00AC1868" w:rsidRPr="00AC1868">
              <w:rPr>
                <w:rFonts w:ascii="Verdana" w:eastAsia="Calibri" w:hAnsi="Verdana" w:cs="Arial"/>
                <w:lang w:eastAsia="en-US"/>
              </w:rPr>
              <w:t xml:space="preserve">isponible en: </w:t>
            </w:r>
            <w:hyperlink r:id="rId8" w:history="1">
              <w:r w:rsidR="00932992" w:rsidRPr="002254E8">
                <w:rPr>
                  <w:rStyle w:val="Hipervnculo"/>
                  <w:rFonts w:ascii="Verdana" w:eastAsia="Calibri" w:hAnsi="Verdana" w:cs="Arial"/>
                  <w:lang w:eastAsia="en-US"/>
                </w:rPr>
                <w:t>https://www.minvivienda.gov.co/publicacion/estudio-sobre-los-precios-tope-de-la-vivienda-de-interes-social-en-colombia</w:t>
              </w:r>
            </w:hyperlink>
            <w:r w:rsidRPr="0067436F">
              <w:rPr>
                <w:rFonts w:ascii="Verdana" w:eastAsia="Calibri" w:hAnsi="Verdana" w:cs="Arial"/>
                <w:lang w:eastAsia="en-US"/>
              </w:rPr>
              <w:t>, donde se evidenciaron presiones en el valor del suelo en las aglomeraciones urbanas con más de un millón de habitantes, lo que históricamente ha generado dificultades en la provisión de vivienda de interés social</w:t>
            </w:r>
            <w:r w:rsidR="004F66E7">
              <w:rPr>
                <w:rFonts w:ascii="Verdana" w:eastAsia="Calibri" w:hAnsi="Verdana" w:cs="Arial"/>
                <w:lang w:eastAsia="en-US"/>
              </w:rPr>
              <w:t xml:space="preserve"> en dichos territorios</w:t>
            </w:r>
            <w:r w:rsidRPr="0067436F">
              <w:rPr>
                <w:rFonts w:ascii="Verdana" w:eastAsia="Calibri" w:hAnsi="Verdana" w:cs="Arial"/>
                <w:lang w:eastAsia="en-US"/>
              </w:rPr>
              <w:t xml:space="preserve">. </w:t>
            </w:r>
          </w:p>
          <w:p w14:paraId="66B0A5B1" w14:textId="77777777" w:rsidR="0067436F" w:rsidRPr="0067436F" w:rsidRDefault="0067436F" w:rsidP="00E657D3">
            <w:pPr>
              <w:ind w:left="142" w:right="162"/>
              <w:jc w:val="both"/>
              <w:rPr>
                <w:rFonts w:ascii="Verdana" w:eastAsia="Calibri" w:hAnsi="Verdana" w:cs="Arial"/>
                <w:lang w:eastAsia="en-US"/>
              </w:rPr>
            </w:pPr>
          </w:p>
          <w:p w14:paraId="21D175DB" w14:textId="785F77AC" w:rsidR="0067436F" w:rsidRPr="0067436F" w:rsidRDefault="0067436F" w:rsidP="00E657D3">
            <w:pPr>
              <w:ind w:left="142" w:right="162"/>
              <w:jc w:val="both"/>
              <w:rPr>
                <w:rFonts w:ascii="Verdana" w:eastAsia="Calibri" w:hAnsi="Verdana" w:cs="Arial"/>
                <w:lang w:eastAsia="en-US"/>
              </w:rPr>
            </w:pPr>
            <w:r w:rsidRPr="0067436F">
              <w:rPr>
                <w:rFonts w:ascii="Verdana" w:eastAsia="Calibri" w:hAnsi="Verdana" w:cs="Arial"/>
                <w:lang w:eastAsia="en-US"/>
              </w:rPr>
              <w:t xml:space="preserve">En términos generales, dicho estudio identificó que: i) el </w:t>
            </w:r>
            <w:r w:rsidR="004F66E7">
              <w:rPr>
                <w:rFonts w:ascii="Verdana" w:eastAsia="Calibri" w:hAnsi="Verdana" w:cs="Arial"/>
                <w:lang w:eastAsia="en-US"/>
              </w:rPr>
              <w:t xml:space="preserve">valor del </w:t>
            </w:r>
            <w:r w:rsidRPr="0067436F">
              <w:rPr>
                <w:rFonts w:ascii="Verdana" w:eastAsia="Calibri" w:hAnsi="Verdana" w:cs="Arial"/>
                <w:lang w:eastAsia="en-US"/>
              </w:rPr>
              <w:t xml:space="preserve">suelo es uno de los </w:t>
            </w:r>
            <w:r w:rsidR="004F66E7">
              <w:rPr>
                <w:rFonts w:ascii="Verdana" w:eastAsia="Calibri" w:hAnsi="Verdana" w:cs="Arial"/>
                <w:lang w:eastAsia="en-US"/>
              </w:rPr>
              <w:t>factores</w:t>
            </w:r>
            <w:r w:rsidRPr="0067436F">
              <w:rPr>
                <w:rFonts w:ascii="Verdana" w:eastAsia="Calibri" w:hAnsi="Verdana" w:cs="Arial"/>
                <w:lang w:eastAsia="en-US"/>
              </w:rPr>
              <w:t xml:space="preserve"> que más pesa individualmente en la estructura de costos de la vivienda VIS, </w:t>
            </w:r>
            <w:proofErr w:type="spellStart"/>
            <w:r w:rsidRPr="0067436F">
              <w:rPr>
                <w:rFonts w:ascii="Verdana" w:eastAsia="Calibri" w:hAnsi="Verdana" w:cs="Arial"/>
                <w:lang w:eastAsia="en-US"/>
              </w:rPr>
              <w:t>ii</w:t>
            </w:r>
            <w:proofErr w:type="spellEnd"/>
            <w:r w:rsidRPr="0067436F">
              <w:rPr>
                <w:rFonts w:ascii="Verdana" w:eastAsia="Calibri" w:hAnsi="Verdana" w:cs="Arial"/>
                <w:lang w:eastAsia="en-US"/>
              </w:rPr>
              <w:t>) el precio de la vivienda nueva había crecido más rápido que los costos de la construcción, brecha que puede estar explicada</w:t>
            </w:r>
            <w:r w:rsidR="004F66E7">
              <w:rPr>
                <w:rFonts w:ascii="Verdana" w:eastAsia="Calibri" w:hAnsi="Verdana" w:cs="Arial"/>
                <w:lang w:eastAsia="en-US"/>
              </w:rPr>
              <w:t>, en cierta medida,</w:t>
            </w:r>
            <w:r w:rsidRPr="0067436F">
              <w:rPr>
                <w:rFonts w:ascii="Verdana" w:eastAsia="Calibri" w:hAnsi="Verdana" w:cs="Arial"/>
                <w:lang w:eastAsia="en-US"/>
              </w:rPr>
              <w:t xml:space="preserve"> por el aumento en el precio del suelo, y </w:t>
            </w:r>
            <w:proofErr w:type="spellStart"/>
            <w:r w:rsidRPr="0067436F">
              <w:rPr>
                <w:rFonts w:ascii="Verdana" w:eastAsia="Calibri" w:hAnsi="Verdana" w:cs="Arial"/>
                <w:lang w:eastAsia="en-US"/>
              </w:rPr>
              <w:t>iii</w:t>
            </w:r>
            <w:proofErr w:type="spellEnd"/>
            <w:r w:rsidRPr="0067436F">
              <w:rPr>
                <w:rFonts w:ascii="Verdana" w:eastAsia="Calibri" w:hAnsi="Verdana" w:cs="Arial"/>
                <w:lang w:eastAsia="en-US"/>
              </w:rPr>
              <w:t>) existía una desaceleración en la oferta de vivienda VIS, especialmente en las seis aglomeraciones objeto de este estudio.</w:t>
            </w:r>
          </w:p>
          <w:p w14:paraId="7BA32461" w14:textId="77777777" w:rsidR="0067436F" w:rsidRPr="0067436F" w:rsidRDefault="0067436F" w:rsidP="00E657D3">
            <w:pPr>
              <w:ind w:left="142" w:right="162"/>
              <w:jc w:val="both"/>
              <w:rPr>
                <w:rFonts w:ascii="Verdana" w:eastAsia="Calibri" w:hAnsi="Verdana" w:cs="Arial"/>
                <w:lang w:eastAsia="en-US"/>
              </w:rPr>
            </w:pPr>
          </w:p>
          <w:p w14:paraId="3CB78491" w14:textId="3CBB56EF" w:rsidR="0067436F" w:rsidRPr="0067436F" w:rsidRDefault="0067436F" w:rsidP="00E657D3">
            <w:pPr>
              <w:ind w:left="142" w:right="162"/>
              <w:jc w:val="both"/>
              <w:rPr>
                <w:rFonts w:ascii="Verdana" w:eastAsia="Calibri" w:hAnsi="Verdana" w:cs="Arial"/>
                <w:lang w:eastAsia="en-US"/>
              </w:rPr>
            </w:pPr>
            <w:r w:rsidRPr="0067436F">
              <w:rPr>
                <w:rFonts w:ascii="Verdana" w:eastAsia="Calibri" w:hAnsi="Verdana" w:cs="Arial"/>
                <w:lang w:eastAsia="en-US"/>
              </w:rPr>
              <w:t xml:space="preserve">En efecto, se identificó que entre 2006 y 2018 el Índice de Precios de la Vivienda Nueva -IPVN creció más rápido que el Índice de Costos de la Construcción de Vivienda- ICCV (que no incluye el </w:t>
            </w:r>
            <w:r w:rsidR="00EE2BB5">
              <w:rPr>
                <w:rFonts w:ascii="Verdana" w:eastAsia="Calibri" w:hAnsi="Verdana" w:cs="Arial"/>
                <w:lang w:eastAsia="en-US"/>
              </w:rPr>
              <w:t xml:space="preserve">valor </w:t>
            </w:r>
            <w:r w:rsidRPr="0067436F">
              <w:rPr>
                <w:rFonts w:ascii="Verdana" w:eastAsia="Calibri" w:hAnsi="Verdana" w:cs="Arial"/>
                <w:lang w:eastAsia="en-US"/>
              </w:rPr>
              <w:t xml:space="preserve">del suelo). Durante este periodo, los costos de la construcción crecieron en promedio al </w:t>
            </w:r>
            <w:r w:rsidR="00C7363A">
              <w:rPr>
                <w:rFonts w:ascii="Verdana" w:eastAsia="Calibri" w:hAnsi="Verdana" w:cs="Arial"/>
                <w:lang w:eastAsia="en-US"/>
              </w:rPr>
              <w:t>3,6</w:t>
            </w:r>
            <w:r w:rsidRPr="0067436F">
              <w:rPr>
                <w:rFonts w:ascii="Verdana" w:eastAsia="Calibri" w:hAnsi="Verdana" w:cs="Arial"/>
                <w:lang w:eastAsia="en-US"/>
              </w:rPr>
              <w:t xml:space="preserve">% anual, mientras que los precios de la vivienda nueva aumentaron en promedio al 9,7% cada año. Este descalce, dado que el suelo no está incluido en el ICCV, es atribuible al aumento del </w:t>
            </w:r>
            <w:r w:rsidR="00EE2BB5">
              <w:rPr>
                <w:rFonts w:ascii="Verdana" w:eastAsia="Calibri" w:hAnsi="Verdana" w:cs="Arial"/>
                <w:lang w:eastAsia="en-US"/>
              </w:rPr>
              <w:t>valor</w:t>
            </w:r>
            <w:r w:rsidRPr="0067436F">
              <w:rPr>
                <w:rFonts w:ascii="Verdana" w:eastAsia="Calibri" w:hAnsi="Verdana" w:cs="Arial"/>
                <w:lang w:eastAsia="en-US"/>
              </w:rPr>
              <w:t xml:space="preserve"> del suelo.</w:t>
            </w:r>
          </w:p>
          <w:p w14:paraId="676574BB" w14:textId="77777777" w:rsidR="0067436F" w:rsidRPr="0067436F" w:rsidRDefault="0067436F" w:rsidP="00E657D3">
            <w:pPr>
              <w:ind w:left="142" w:right="162"/>
              <w:jc w:val="both"/>
              <w:rPr>
                <w:rFonts w:ascii="Verdana" w:eastAsia="Calibri" w:hAnsi="Verdana" w:cs="Arial"/>
                <w:lang w:eastAsia="en-US"/>
              </w:rPr>
            </w:pPr>
          </w:p>
          <w:p w14:paraId="73C5FC36" w14:textId="7681E142" w:rsidR="0067436F" w:rsidRDefault="00AC1868" w:rsidP="00E657D3">
            <w:pPr>
              <w:ind w:left="142" w:right="162"/>
              <w:jc w:val="both"/>
              <w:rPr>
                <w:rFonts w:ascii="Verdana" w:eastAsia="Calibri" w:hAnsi="Verdana" w:cs="Arial"/>
                <w:lang w:eastAsia="en-US"/>
              </w:rPr>
            </w:pPr>
            <w:r>
              <w:rPr>
                <w:rFonts w:ascii="Verdana" w:eastAsia="Calibri" w:hAnsi="Verdana" w:cs="Arial"/>
                <w:lang w:eastAsia="en-US"/>
              </w:rPr>
              <w:t>Cuatro</w:t>
            </w:r>
            <w:r w:rsidR="0067436F" w:rsidRPr="0067436F">
              <w:rPr>
                <w:rFonts w:ascii="Verdana" w:eastAsia="Calibri" w:hAnsi="Verdana" w:cs="Arial"/>
                <w:lang w:eastAsia="en-US"/>
              </w:rPr>
              <w:t xml:space="preserve"> años después de realizado este estudio, extendiendo las series analizadas en ese entonces, se confirma la persistencia de dichas presiones. Al contrastar la dinámica de largo plazo que han tenido los precios y los costos de construcción de la vivienda nueva a nivel nacional y por ciudades, se evidencia una brecha que año tras año se continúa ampliando. </w:t>
            </w:r>
            <w:r w:rsidR="0067436F" w:rsidRPr="00F7589E">
              <w:rPr>
                <w:rFonts w:ascii="Verdana" w:eastAsia="Calibri" w:hAnsi="Verdana" w:cs="Arial"/>
                <w:lang w:eastAsia="en-US"/>
              </w:rPr>
              <w:t xml:space="preserve">De acuerdo con el DANE, entre 2006 y </w:t>
            </w:r>
            <w:r w:rsidR="00C7363A">
              <w:rPr>
                <w:rFonts w:ascii="Verdana" w:eastAsia="Calibri" w:hAnsi="Verdana" w:cs="Arial"/>
                <w:lang w:eastAsia="en-US"/>
              </w:rPr>
              <w:t>2023</w:t>
            </w:r>
            <w:r w:rsidR="0067436F" w:rsidRPr="00F7589E">
              <w:rPr>
                <w:rFonts w:ascii="Verdana" w:eastAsia="Calibri" w:hAnsi="Verdana" w:cs="Arial"/>
                <w:lang w:eastAsia="en-US"/>
              </w:rPr>
              <w:t xml:space="preserve">, el IPVN total registró un crecimiento del </w:t>
            </w:r>
            <w:r w:rsidR="00C539F8">
              <w:rPr>
                <w:rFonts w:ascii="Verdana" w:eastAsia="Calibri" w:hAnsi="Verdana" w:cs="Arial"/>
                <w:lang w:eastAsia="en-US"/>
              </w:rPr>
              <w:t>334</w:t>
            </w:r>
            <w:r w:rsidR="0067436F" w:rsidRPr="00F7589E">
              <w:rPr>
                <w:rFonts w:ascii="Verdana" w:eastAsia="Calibri" w:hAnsi="Verdana" w:cs="Arial"/>
                <w:lang w:eastAsia="en-US"/>
              </w:rPr>
              <w:t>%, mientras que el ICCV</w:t>
            </w:r>
            <w:r w:rsidR="00F7589E">
              <w:rPr>
                <w:rFonts w:ascii="Verdana" w:eastAsia="Calibri" w:hAnsi="Verdana" w:cs="Arial"/>
                <w:lang w:eastAsia="en-US"/>
              </w:rPr>
              <w:t>-ICOCED</w:t>
            </w:r>
            <w:r w:rsidR="00560A23">
              <w:rPr>
                <w:rFonts w:ascii="Verdana" w:eastAsia="Calibri" w:hAnsi="Verdana" w:cs="Arial"/>
                <w:lang w:eastAsia="en-US"/>
              </w:rPr>
              <w:t xml:space="preserve"> residencial</w:t>
            </w:r>
            <w:r w:rsidR="0067436F" w:rsidRPr="00F7589E">
              <w:rPr>
                <w:rFonts w:ascii="Verdana" w:eastAsia="Calibri" w:hAnsi="Verdana" w:cs="Arial"/>
                <w:lang w:eastAsia="en-US"/>
              </w:rPr>
              <w:t xml:space="preserve"> tan solo creció </w:t>
            </w:r>
            <w:r w:rsidR="00C539F8">
              <w:rPr>
                <w:rFonts w:ascii="Verdana" w:eastAsia="Calibri" w:hAnsi="Verdana" w:cs="Arial"/>
                <w:lang w:eastAsia="en-US"/>
              </w:rPr>
              <w:t>99</w:t>
            </w:r>
            <w:r w:rsidR="0067436F" w:rsidRPr="00F7589E">
              <w:rPr>
                <w:rFonts w:ascii="Verdana" w:eastAsia="Calibri" w:hAnsi="Verdana" w:cs="Arial"/>
                <w:lang w:eastAsia="en-US"/>
              </w:rPr>
              <w:t>%</w:t>
            </w:r>
            <w:r w:rsidRPr="00F7589E">
              <w:rPr>
                <w:rFonts w:ascii="Verdana" w:eastAsia="Calibri" w:hAnsi="Verdana" w:cs="Arial"/>
                <w:lang w:eastAsia="en-US"/>
              </w:rPr>
              <w:t>.</w:t>
            </w:r>
          </w:p>
          <w:p w14:paraId="1013C993" w14:textId="6228D4A2" w:rsidR="00EE2BB5" w:rsidRDefault="00EE2BB5" w:rsidP="00E657D3">
            <w:pPr>
              <w:ind w:left="142" w:right="162"/>
              <w:jc w:val="both"/>
              <w:rPr>
                <w:rFonts w:ascii="Verdana" w:eastAsia="Calibri" w:hAnsi="Verdana" w:cs="Arial"/>
                <w:lang w:eastAsia="en-US"/>
              </w:rPr>
            </w:pPr>
          </w:p>
          <w:p w14:paraId="527AE87F" w14:textId="77777777" w:rsidR="000550EB" w:rsidRDefault="000550EB" w:rsidP="000550EB">
            <w:pPr>
              <w:ind w:right="162"/>
              <w:jc w:val="both"/>
              <w:rPr>
                <w:rFonts w:ascii="Verdana" w:eastAsia="Calibri" w:hAnsi="Verdana" w:cs="Arial"/>
                <w:lang w:eastAsia="en-US"/>
              </w:rPr>
            </w:pPr>
          </w:p>
          <w:p w14:paraId="0AD425E6" w14:textId="47584C4C" w:rsidR="0067436F" w:rsidRPr="00AC1868" w:rsidRDefault="00AC1868" w:rsidP="00E657D3">
            <w:pPr>
              <w:ind w:left="142" w:right="162"/>
              <w:jc w:val="center"/>
              <w:rPr>
                <w:rFonts w:ascii="Verdana" w:eastAsia="Calibri" w:hAnsi="Verdana" w:cs="Arial"/>
                <w:b/>
                <w:bCs/>
                <w:lang w:eastAsia="en-US"/>
              </w:rPr>
            </w:pPr>
            <w:r w:rsidRPr="00AC1868">
              <w:rPr>
                <w:rFonts w:ascii="Verdana" w:eastAsia="Calibri" w:hAnsi="Verdana" w:cs="Arial"/>
                <w:b/>
                <w:bCs/>
                <w:lang w:eastAsia="en-US"/>
              </w:rPr>
              <w:t xml:space="preserve">Gráfico </w:t>
            </w:r>
            <w:r w:rsidR="00EE2BB5">
              <w:rPr>
                <w:rFonts w:ascii="Verdana" w:eastAsia="Calibri" w:hAnsi="Verdana" w:cs="Arial"/>
                <w:b/>
                <w:bCs/>
                <w:lang w:eastAsia="en-US"/>
              </w:rPr>
              <w:t>1</w:t>
            </w:r>
            <w:r w:rsidRPr="00AC1868">
              <w:rPr>
                <w:rFonts w:ascii="Verdana" w:eastAsia="Calibri" w:hAnsi="Verdana" w:cs="Arial"/>
                <w:b/>
                <w:bCs/>
                <w:lang w:eastAsia="en-US"/>
              </w:rPr>
              <w:t>: ICCV</w:t>
            </w:r>
            <w:r>
              <w:rPr>
                <w:rFonts w:ascii="Verdana" w:eastAsia="Calibri" w:hAnsi="Verdana" w:cs="Arial"/>
                <w:b/>
                <w:bCs/>
                <w:lang w:eastAsia="en-US"/>
              </w:rPr>
              <w:t>-ICOCED</w:t>
            </w:r>
            <w:r w:rsidRPr="00AC1868">
              <w:rPr>
                <w:rFonts w:ascii="Verdana" w:eastAsia="Calibri" w:hAnsi="Verdana" w:cs="Arial"/>
                <w:b/>
                <w:bCs/>
                <w:lang w:eastAsia="en-US"/>
              </w:rPr>
              <w:t xml:space="preserve"> e IPVN para Colombia (Base 100=2006)</w:t>
            </w:r>
          </w:p>
          <w:p w14:paraId="34248B38" w14:textId="3BC537B0" w:rsidR="0067436F" w:rsidRDefault="00F7589E" w:rsidP="00E657D3">
            <w:pPr>
              <w:ind w:left="142" w:right="162"/>
              <w:jc w:val="center"/>
              <w:rPr>
                <w:rFonts w:ascii="Verdana" w:eastAsia="Calibri" w:hAnsi="Verdana" w:cs="Arial"/>
                <w:lang w:eastAsia="en-US"/>
              </w:rPr>
            </w:pPr>
            <w:r>
              <w:rPr>
                <w:rFonts w:ascii="Verdana" w:eastAsia="Calibri" w:hAnsi="Verdana" w:cs="Arial"/>
                <w:noProof/>
                <w:lang w:val="en-US" w:eastAsia="en-US"/>
                <w14:ligatures w14:val="standardContextual"/>
              </w:rPr>
              <w:lastRenderedPageBreak/>
              <w:drawing>
                <wp:inline distT="0" distB="0" distL="0" distR="0" wp14:anchorId="17F62B7D" wp14:editId="65EDF1C1">
                  <wp:extent cx="4634865" cy="2147777"/>
                  <wp:effectExtent l="0" t="0" r="635" b="0"/>
                  <wp:docPr id="6441428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8E75E6" w14:textId="77777777" w:rsidR="00AC1868" w:rsidRDefault="00AC1868" w:rsidP="00E657D3">
            <w:pPr>
              <w:ind w:left="142" w:right="162"/>
              <w:jc w:val="center"/>
              <w:rPr>
                <w:rFonts w:ascii="Verdana" w:eastAsia="Calibri" w:hAnsi="Verdana" w:cs="Arial"/>
                <w:sz w:val="16"/>
                <w:szCs w:val="16"/>
                <w:lang w:eastAsia="en-US"/>
              </w:rPr>
            </w:pPr>
            <w:r w:rsidRPr="0067436F">
              <w:rPr>
                <w:rFonts w:ascii="Verdana" w:eastAsia="Calibri" w:hAnsi="Verdana" w:cs="Arial"/>
                <w:sz w:val="16"/>
                <w:szCs w:val="16"/>
                <w:lang w:eastAsia="en-US"/>
              </w:rPr>
              <w:t>Fuente: DANE, elaboración Ministerio de Vivienda, Ciudad y Territorio.</w:t>
            </w:r>
          </w:p>
          <w:p w14:paraId="478713E6" w14:textId="51735379" w:rsidR="00F7589E" w:rsidRPr="0067436F" w:rsidRDefault="00F7589E" w:rsidP="00E657D3">
            <w:pPr>
              <w:ind w:left="142" w:right="162"/>
              <w:jc w:val="center"/>
              <w:rPr>
                <w:rFonts w:ascii="Verdana" w:eastAsia="Calibri" w:hAnsi="Verdana" w:cs="Arial"/>
                <w:sz w:val="16"/>
                <w:szCs w:val="16"/>
                <w:lang w:eastAsia="en-US"/>
              </w:rPr>
            </w:pPr>
            <w:r w:rsidRPr="00F7589E">
              <w:rPr>
                <w:rFonts w:ascii="Verdana" w:eastAsia="Calibri" w:hAnsi="Verdana" w:cs="Arial"/>
                <w:sz w:val="16"/>
                <w:szCs w:val="16"/>
                <w:lang w:eastAsia="en-US"/>
              </w:rPr>
              <w:t>Nota metodológica</w:t>
            </w:r>
            <w:r>
              <w:rPr>
                <w:rFonts w:ascii="Verdana" w:eastAsia="Calibri" w:hAnsi="Verdana" w:cs="Arial"/>
                <w:sz w:val="16"/>
                <w:szCs w:val="16"/>
                <w:lang w:eastAsia="en-US"/>
              </w:rPr>
              <w:t>*</w:t>
            </w:r>
            <w:r w:rsidRPr="00F7589E">
              <w:rPr>
                <w:rFonts w:ascii="Verdana" w:eastAsia="Calibri" w:hAnsi="Verdana" w:cs="Arial"/>
                <w:sz w:val="16"/>
                <w:szCs w:val="16"/>
                <w:lang w:eastAsia="en-US"/>
              </w:rPr>
              <w:t xml:space="preserve">: </w:t>
            </w:r>
            <w:r w:rsidR="0098606F">
              <w:rPr>
                <w:rFonts w:ascii="Verdana" w:eastAsia="Calibri" w:hAnsi="Verdana" w:cs="Arial"/>
                <w:sz w:val="16"/>
                <w:szCs w:val="16"/>
                <w:lang w:eastAsia="en-US"/>
              </w:rPr>
              <w:t>e</w:t>
            </w:r>
            <w:r w:rsidRPr="00F7589E">
              <w:rPr>
                <w:rFonts w:ascii="Verdana" w:eastAsia="Calibri" w:hAnsi="Verdana" w:cs="Arial"/>
                <w:sz w:val="16"/>
                <w:szCs w:val="16"/>
                <w:lang w:eastAsia="en-US"/>
              </w:rPr>
              <w:t>n la publicación de febrero de 2022, el DANE realizó una actualización metodológica del Índice de Costos de la Construcción de Vivienda (ICCV) migrando al Índice de Costos de la Construcción de Edificaciones (ICOCED). Por lo anterior, no se cuenta con información de la variación anual según grupos de costos e insumos del ICOCED</w:t>
            </w:r>
            <w:r w:rsidR="00311EB5">
              <w:rPr>
                <w:rFonts w:ascii="Verdana" w:eastAsia="Calibri" w:hAnsi="Verdana" w:cs="Arial"/>
                <w:sz w:val="16"/>
                <w:szCs w:val="16"/>
                <w:lang w:eastAsia="en-US"/>
              </w:rPr>
              <w:t xml:space="preserve"> residencial</w:t>
            </w:r>
            <w:r w:rsidR="00FC4915">
              <w:rPr>
                <w:rFonts w:ascii="Verdana" w:eastAsia="Calibri" w:hAnsi="Verdana" w:cs="Arial"/>
                <w:sz w:val="16"/>
                <w:szCs w:val="16"/>
                <w:lang w:eastAsia="en-US"/>
              </w:rPr>
              <w:t xml:space="preserve"> para el periodo anterior a 2022.</w:t>
            </w:r>
            <w:r w:rsidR="00FC4915">
              <w:t xml:space="preserve"> </w:t>
            </w:r>
            <w:r w:rsidR="00FC4915">
              <w:rPr>
                <w:rFonts w:ascii="Verdana" w:eastAsia="Calibri" w:hAnsi="Verdana" w:cs="Arial"/>
                <w:sz w:val="16"/>
                <w:szCs w:val="16"/>
                <w:lang w:eastAsia="en-US"/>
              </w:rPr>
              <w:t>Por lo tanto, se empalman las series utilizando los crecimientos anuales</w:t>
            </w:r>
            <w:r w:rsidR="00FC4915" w:rsidRPr="00FC4915">
              <w:rPr>
                <w:rFonts w:ascii="Verdana" w:eastAsia="Calibri" w:hAnsi="Verdana" w:cs="Arial"/>
                <w:sz w:val="16"/>
                <w:szCs w:val="16"/>
                <w:lang w:eastAsia="en-US"/>
              </w:rPr>
              <w:t>,</w:t>
            </w:r>
            <w:r w:rsidR="00FC4915">
              <w:rPr>
                <w:rFonts w:ascii="Verdana" w:eastAsia="Calibri" w:hAnsi="Verdana" w:cs="Arial"/>
                <w:sz w:val="16"/>
                <w:szCs w:val="16"/>
                <w:lang w:eastAsia="en-US"/>
              </w:rPr>
              <w:t xml:space="preserve"> pues</w:t>
            </w:r>
            <w:r w:rsidR="00FC4915" w:rsidRPr="00FC4915">
              <w:rPr>
                <w:rFonts w:ascii="Verdana" w:eastAsia="Calibri" w:hAnsi="Verdana" w:cs="Arial"/>
                <w:sz w:val="16"/>
                <w:szCs w:val="16"/>
                <w:lang w:eastAsia="en-US"/>
              </w:rPr>
              <w:t xml:space="preserve"> se considera </w:t>
            </w:r>
            <w:r w:rsidR="00EE2BB5">
              <w:rPr>
                <w:rFonts w:ascii="Verdana" w:eastAsia="Calibri" w:hAnsi="Verdana" w:cs="Arial"/>
                <w:sz w:val="16"/>
                <w:szCs w:val="16"/>
                <w:lang w:eastAsia="en-US"/>
              </w:rPr>
              <w:t xml:space="preserve">y asume </w:t>
            </w:r>
            <w:r w:rsidR="00FC4915" w:rsidRPr="00FC4915">
              <w:rPr>
                <w:rFonts w:ascii="Verdana" w:eastAsia="Calibri" w:hAnsi="Verdana" w:cs="Arial"/>
                <w:sz w:val="16"/>
                <w:szCs w:val="16"/>
                <w:lang w:eastAsia="en-US"/>
              </w:rPr>
              <w:t>que el</w:t>
            </w:r>
            <w:r w:rsidR="00FC4915">
              <w:rPr>
                <w:rFonts w:ascii="Verdana" w:eastAsia="Calibri" w:hAnsi="Verdana" w:cs="Arial"/>
                <w:sz w:val="16"/>
                <w:szCs w:val="16"/>
                <w:lang w:eastAsia="en-US"/>
              </w:rPr>
              <w:t xml:space="preserve"> ICOCED </w:t>
            </w:r>
            <w:r w:rsidR="00311EB5">
              <w:rPr>
                <w:rFonts w:ascii="Verdana" w:eastAsia="Calibri" w:hAnsi="Verdana" w:cs="Arial"/>
                <w:sz w:val="16"/>
                <w:szCs w:val="16"/>
                <w:lang w:eastAsia="en-US"/>
              </w:rPr>
              <w:t xml:space="preserve">residencial </w:t>
            </w:r>
            <w:r w:rsidR="00FC4915">
              <w:rPr>
                <w:rFonts w:ascii="Verdana" w:eastAsia="Calibri" w:hAnsi="Verdana" w:cs="Arial"/>
                <w:sz w:val="16"/>
                <w:szCs w:val="16"/>
                <w:lang w:eastAsia="en-US"/>
              </w:rPr>
              <w:t>y el ICCV</w:t>
            </w:r>
            <w:r w:rsidR="00FC4915" w:rsidRPr="00FC4915">
              <w:rPr>
                <w:rFonts w:ascii="Verdana" w:eastAsia="Calibri" w:hAnsi="Verdana" w:cs="Arial"/>
                <w:sz w:val="16"/>
                <w:szCs w:val="16"/>
                <w:lang w:eastAsia="en-US"/>
              </w:rPr>
              <w:t xml:space="preserve"> </w:t>
            </w:r>
            <w:r w:rsidR="00FC4915">
              <w:rPr>
                <w:rFonts w:ascii="Verdana" w:eastAsia="Calibri" w:hAnsi="Verdana" w:cs="Arial"/>
                <w:sz w:val="16"/>
                <w:szCs w:val="16"/>
                <w:lang w:eastAsia="en-US"/>
              </w:rPr>
              <w:t xml:space="preserve">mantienen </w:t>
            </w:r>
            <w:r w:rsidR="00FC4915" w:rsidRPr="00FC4915">
              <w:rPr>
                <w:rFonts w:ascii="Verdana" w:eastAsia="Calibri" w:hAnsi="Verdana" w:cs="Arial"/>
                <w:sz w:val="16"/>
                <w:szCs w:val="16"/>
                <w:lang w:eastAsia="en-US"/>
              </w:rPr>
              <w:t xml:space="preserve">la </w:t>
            </w:r>
            <w:r w:rsidR="00FC4915">
              <w:rPr>
                <w:rFonts w:ascii="Verdana" w:eastAsia="Calibri" w:hAnsi="Verdana" w:cs="Arial"/>
                <w:sz w:val="16"/>
                <w:szCs w:val="16"/>
                <w:lang w:eastAsia="en-US"/>
              </w:rPr>
              <w:t xml:space="preserve">misma </w:t>
            </w:r>
            <w:r w:rsidR="00FC4915" w:rsidRPr="00FC4915">
              <w:rPr>
                <w:rFonts w:ascii="Verdana" w:eastAsia="Calibri" w:hAnsi="Verdana" w:cs="Arial"/>
                <w:sz w:val="16"/>
                <w:szCs w:val="16"/>
                <w:lang w:eastAsia="en-US"/>
              </w:rPr>
              <w:t xml:space="preserve">dinámica que han presentado los costos de los grupos e insumos de la construcción.  </w:t>
            </w:r>
          </w:p>
          <w:p w14:paraId="73125D34" w14:textId="77777777" w:rsidR="00AC1868" w:rsidRDefault="00AC1868" w:rsidP="00E657D3">
            <w:pPr>
              <w:ind w:left="142" w:right="162"/>
              <w:jc w:val="both"/>
              <w:rPr>
                <w:rFonts w:ascii="Verdana" w:eastAsia="Calibri" w:hAnsi="Verdana" w:cs="Arial"/>
                <w:lang w:eastAsia="en-US"/>
              </w:rPr>
            </w:pPr>
          </w:p>
          <w:p w14:paraId="61778842" w14:textId="0BF1EADC" w:rsidR="00C87171" w:rsidRPr="00EE2BB5" w:rsidRDefault="00C87171" w:rsidP="00E657D3">
            <w:pPr>
              <w:ind w:left="142" w:right="162"/>
              <w:jc w:val="both"/>
              <w:rPr>
                <w:rFonts w:ascii="Verdana" w:eastAsia="Calibri" w:hAnsi="Verdana" w:cs="Arial"/>
                <w:i/>
                <w:iCs/>
                <w:lang w:eastAsia="en-US"/>
              </w:rPr>
            </w:pPr>
            <w:r>
              <w:rPr>
                <w:rFonts w:ascii="Verdana" w:eastAsia="Calibri" w:hAnsi="Verdana" w:cs="Arial"/>
                <w:lang w:eastAsia="en-US"/>
              </w:rPr>
              <w:t>E</w:t>
            </w:r>
            <w:r w:rsidRPr="00C87171">
              <w:rPr>
                <w:rFonts w:ascii="Verdana" w:eastAsia="Calibri" w:hAnsi="Verdana" w:cs="Arial"/>
                <w:lang w:eastAsia="en-US"/>
              </w:rPr>
              <w:t>sta dinámica dispar también se registra en el caso específico de las ciudades nodo de las aglomeraciones urbanas de más de un millón de habitantes</w:t>
            </w:r>
            <w:r w:rsidR="00EE2BB5">
              <w:rPr>
                <w:rFonts w:ascii="Verdana" w:eastAsia="Calibri" w:hAnsi="Verdana" w:cs="Arial"/>
                <w:lang w:eastAsia="en-US"/>
              </w:rPr>
              <w:t>,</w:t>
            </w:r>
            <w:r w:rsidRPr="00C87171">
              <w:rPr>
                <w:rFonts w:ascii="Verdana" w:eastAsia="Calibri" w:hAnsi="Verdana" w:cs="Arial"/>
                <w:lang w:eastAsia="en-US"/>
              </w:rPr>
              <w:t xml:space="preserve"> contenidas en el considerando del </w:t>
            </w:r>
            <w:r>
              <w:rPr>
                <w:rFonts w:ascii="Verdana" w:eastAsia="Calibri" w:hAnsi="Verdana" w:cs="Arial"/>
                <w:lang w:eastAsia="en-US"/>
              </w:rPr>
              <w:t>D</w:t>
            </w:r>
            <w:r w:rsidRPr="00C87171">
              <w:rPr>
                <w:rFonts w:ascii="Verdana" w:eastAsia="Calibri" w:hAnsi="Verdana" w:cs="Arial"/>
                <w:lang w:eastAsia="en-US"/>
              </w:rPr>
              <w:t>ecreto 1467 de 2019</w:t>
            </w:r>
            <w:r>
              <w:rPr>
                <w:rFonts w:ascii="Verdana" w:eastAsia="Calibri" w:hAnsi="Verdana" w:cs="Arial"/>
                <w:lang w:eastAsia="en-US"/>
              </w:rPr>
              <w:t xml:space="preserve"> y del Decreto </w:t>
            </w:r>
            <w:r w:rsidRPr="00C87171">
              <w:rPr>
                <w:rFonts w:ascii="Verdana" w:eastAsia="Calibri" w:hAnsi="Verdana" w:cs="Arial"/>
                <w:lang w:eastAsia="en-US"/>
              </w:rPr>
              <w:t xml:space="preserve">1607 de 2022. Tal como se aclara ampliamente en el estudio de 2019, y se justifica en el anexo 4 del mismo, </w:t>
            </w:r>
            <w:r w:rsidRPr="00EE2BB5">
              <w:rPr>
                <w:rFonts w:ascii="Verdana" w:eastAsia="Calibri" w:hAnsi="Verdana" w:cs="Arial"/>
                <w:i/>
                <w:iCs/>
                <w:lang w:eastAsia="en-US"/>
              </w:rPr>
              <w:t xml:space="preserve">“la comparación del IPVN y el ICCV se realiza para los núcleos de la aglomeración únicamente, ya que la información publicada por el DANE no se encuentra disponible para los demás municipios. No obstante, es importante señalar que, dada la definición de aglomeración y las relaciones funcionales entre centros urbanos medidas a través de la conmutación laboral, la integración de los mercados y los efectos </w:t>
            </w:r>
            <w:proofErr w:type="gramStart"/>
            <w:r w:rsidRPr="00EE2BB5">
              <w:rPr>
                <w:rFonts w:ascii="Verdana" w:eastAsia="Calibri" w:hAnsi="Verdana" w:cs="Arial"/>
                <w:i/>
                <w:iCs/>
                <w:lang w:eastAsia="en-US"/>
              </w:rPr>
              <w:t>migratorios,</w:t>
            </w:r>
            <w:proofErr w:type="gramEnd"/>
            <w:r w:rsidRPr="00EE2BB5">
              <w:rPr>
                <w:rFonts w:ascii="Verdana" w:eastAsia="Calibri" w:hAnsi="Verdana" w:cs="Arial"/>
                <w:i/>
                <w:iCs/>
                <w:lang w:eastAsia="en-US"/>
              </w:rPr>
              <w:t xml:space="preserve"> es posible extrapolar el ejercicio para aquellas ciudades para las cuales no se tienen datos.”</w:t>
            </w:r>
          </w:p>
          <w:p w14:paraId="41B32CC9" w14:textId="77777777" w:rsidR="00C87171" w:rsidRPr="00C87171" w:rsidRDefault="00C87171" w:rsidP="00E657D3">
            <w:pPr>
              <w:ind w:left="142" w:right="162"/>
              <w:jc w:val="both"/>
              <w:rPr>
                <w:rFonts w:ascii="Verdana" w:eastAsia="Calibri" w:hAnsi="Verdana" w:cs="Arial"/>
                <w:lang w:eastAsia="en-US"/>
              </w:rPr>
            </w:pPr>
          </w:p>
          <w:p w14:paraId="11C9E893" w14:textId="292D45FC" w:rsidR="00C87171" w:rsidRPr="00C87171" w:rsidRDefault="00C87171" w:rsidP="00E657D3">
            <w:pPr>
              <w:ind w:left="142" w:right="162"/>
              <w:jc w:val="both"/>
              <w:rPr>
                <w:rFonts w:ascii="Verdana" w:eastAsia="Calibri" w:hAnsi="Verdana" w:cs="Arial"/>
                <w:lang w:eastAsia="en-US"/>
              </w:rPr>
            </w:pPr>
            <w:r w:rsidRPr="00C87171">
              <w:rPr>
                <w:rFonts w:ascii="Verdana" w:eastAsia="Calibri" w:hAnsi="Verdana" w:cs="Arial"/>
                <w:lang w:eastAsia="en-US"/>
              </w:rPr>
              <w:t xml:space="preserve">Así, tal y como se documentó en el estudio ya referenciado, en las </w:t>
            </w:r>
            <w:r>
              <w:rPr>
                <w:rFonts w:ascii="Verdana" w:eastAsia="Calibri" w:hAnsi="Verdana" w:cs="Arial"/>
                <w:lang w:eastAsia="en-US"/>
              </w:rPr>
              <w:t>siete</w:t>
            </w:r>
            <w:r w:rsidRPr="00C87171">
              <w:rPr>
                <w:rFonts w:ascii="Verdana" w:eastAsia="Calibri" w:hAnsi="Verdana" w:cs="Arial"/>
                <w:lang w:eastAsia="en-US"/>
              </w:rPr>
              <w:t xml:space="preserve"> aglomeraciones los precios de la vivienda nueva han crecido en menor proporción que los costos de la construcción de vivienda. Manteniendo la misma metodología, se confirma que dicho fenómeno se ha mantenido desde entonces.</w:t>
            </w:r>
          </w:p>
          <w:p w14:paraId="09EC02CF" w14:textId="77777777" w:rsidR="00C87171" w:rsidRPr="00C87171" w:rsidRDefault="00C87171" w:rsidP="00E657D3">
            <w:pPr>
              <w:ind w:left="142" w:right="162"/>
              <w:jc w:val="both"/>
              <w:rPr>
                <w:rFonts w:ascii="Verdana" w:eastAsia="Calibri" w:hAnsi="Verdana" w:cs="Arial"/>
                <w:lang w:eastAsia="en-US"/>
              </w:rPr>
            </w:pPr>
          </w:p>
          <w:p w14:paraId="087AAC6A" w14:textId="216793EA" w:rsidR="00EE2BB5" w:rsidRDefault="00C87171" w:rsidP="00E657D3">
            <w:pPr>
              <w:ind w:left="142" w:right="162"/>
              <w:jc w:val="both"/>
              <w:rPr>
                <w:rFonts w:ascii="Verdana" w:eastAsia="Calibri" w:hAnsi="Verdana" w:cs="Arial"/>
                <w:lang w:eastAsia="en-US"/>
              </w:rPr>
            </w:pPr>
            <w:r w:rsidRPr="008F68BC">
              <w:rPr>
                <w:rFonts w:ascii="Verdana" w:eastAsia="Calibri" w:hAnsi="Verdana" w:cs="Arial"/>
                <w:lang w:eastAsia="en-US"/>
              </w:rPr>
              <w:t xml:space="preserve">En Bogotá, entre 2006 y </w:t>
            </w:r>
            <w:r w:rsidR="00336C93">
              <w:rPr>
                <w:rFonts w:ascii="Verdana" w:eastAsia="Calibri" w:hAnsi="Verdana" w:cs="Arial"/>
                <w:lang w:eastAsia="en-US"/>
              </w:rPr>
              <w:t>2023</w:t>
            </w:r>
            <w:r w:rsidRPr="008F68BC">
              <w:rPr>
                <w:rFonts w:ascii="Verdana" w:eastAsia="Calibri" w:hAnsi="Verdana" w:cs="Arial"/>
                <w:lang w:eastAsia="en-US"/>
              </w:rPr>
              <w:t xml:space="preserve">, el IPVN creció </w:t>
            </w:r>
            <w:r w:rsidR="008F68BC" w:rsidRPr="008F68BC">
              <w:rPr>
                <w:rFonts w:ascii="Verdana" w:eastAsia="Calibri" w:hAnsi="Verdana" w:cs="Arial"/>
                <w:lang w:eastAsia="en-US"/>
              </w:rPr>
              <w:t>80</w:t>
            </w:r>
            <w:r w:rsidRPr="008F68BC">
              <w:rPr>
                <w:rFonts w:ascii="Verdana" w:eastAsia="Calibri" w:hAnsi="Verdana" w:cs="Arial"/>
                <w:lang w:eastAsia="en-US"/>
              </w:rPr>
              <w:t xml:space="preserve">%, en tanto el ICCV-ICOCED </w:t>
            </w:r>
            <w:r w:rsidR="00053C65">
              <w:rPr>
                <w:rFonts w:ascii="Verdana" w:eastAsia="Calibri" w:hAnsi="Verdana" w:cs="Arial"/>
                <w:lang w:eastAsia="en-US"/>
              </w:rPr>
              <w:t>residencial</w:t>
            </w:r>
            <w:r w:rsidRPr="008F68BC">
              <w:rPr>
                <w:rFonts w:ascii="Verdana" w:eastAsia="Calibri" w:hAnsi="Verdana" w:cs="Arial"/>
                <w:lang w:eastAsia="en-US"/>
              </w:rPr>
              <w:t xml:space="preserve"> creció </w:t>
            </w:r>
            <w:r w:rsidR="00336C93">
              <w:rPr>
                <w:rFonts w:ascii="Verdana" w:eastAsia="Calibri" w:hAnsi="Verdana" w:cs="Arial"/>
                <w:lang w:eastAsia="en-US"/>
              </w:rPr>
              <w:t>345</w:t>
            </w:r>
            <w:r w:rsidRPr="008F68BC">
              <w:rPr>
                <w:rFonts w:ascii="Verdana" w:eastAsia="Calibri" w:hAnsi="Verdana" w:cs="Arial"/>
                <w:lang w:eastAsia="en-US"/>
              </w:rPr>
              <w:t xml:space="preserve">%. Esto es equivalente a una variación </w:t>
            </w:r>
            <w:r w:rsidR="00C02715">
              <w:rPr>
                <w:rFonts w:ascii="Verdana" w:eastAsia="Calibri" w:hAnsi="Verdana" w:cs="Arial"/>
                <w:lang w:eastAsia="en-US"/>
              </w:rPr>
              <w:t>254</w:t>
            </w:r>
            <w:r w:rsidRPr="008F68BC">
              <w:rPr>
                <w:rFonts w:ascii="Verdana" w:eastAsia="Calibri" w:hAnsi="Verdana" w:cs="Arial"/>
                <w:lang w:eastAsia="en-US"/>
              </w:rPr>
              <w:t xml:space="preserve"> puntos porcentuales (</w:t>
            </w:r>
            <w:proofErr w:type="spellStart"/>
            <w:r w:rsidRPr="008F68BC">
              <w:rPr>
                <w:rFonts w:ascii="Verdana" w:eastAsia="Calibri" w:hAnsi="Verdana" w:cs="Arial"/>
                <w:lang w:eastAsia="en-US"/>
              </w:rPr>
              <w:t>pps</w:t>
            </w:r>
            <w:proofErr w:type="spellEnd"/>
            <w:r w:rsidRPr="008F68BC">
              <w:rPr>
                <w:rFonts w:ascii="Verdana" w:eastAsia="Calibri" w:hAnsi="Verdana" w:cs="Arial"/>
                <w:lang w:eastAsia="en-US"/>
              </w:rPr>
              <w:t xml:space="preserve">) superior en el caso de los precios. Para Medellín, el IPVN creció </w:t>
            </w:r>
            <w:r w:rsidR="007009ED">
              <w:rPr>
                <w:rFonts w:ascii="Verdana" w:eastAsia="Calibri" w:hAnsi="Verdana" w:cs="Arial"/>
                <w:lang w:eastAsia="en-US"/>
              </w:rPr>
              <w:t>340</w:t>
            </w:r>
            <w:r w:rsidRPr="008F68BC">
              <w:rPr>
                <w:rFonts w:ascii="Verdana" w:eastAsia="Calibri" w:hAnsi="Verdana" w:cs="Arial"/>
                <w:lang w:eastAsia="en-US"/>
              </w:rPr>
              <w:t xml:space="preserve">% y el ICCV-ICOCED </w:t>
            </w:r>
            <w:r w:rsidR="00053C65">
              <w:rPr>
                <w:rFonts w:ascii="Verdana" w:eastAsia="Calibri" w:hAnsi="Verdana" w:cs="Arial"/>
                <w:lang w:eastAsia="en-US"/>
              </w:rPr>
              <w:t>residencial</w:t>
            </w:r>
            <w:r w:rsidRPr="008F68BC">
              <w:rPr>
                <w:rFonts w:ascii="Verdana" w:eastAsia="Calibri" w:hAnsi="Verdana" w:cs="Arial"/>
                <w:lang w:eastAsia="en-US"/>
              </w:rPr>
              <w:t xml:space="preserve"> </w:t>
            </w:r>
            <w:r w:rsidR="007B616F">
              <w:rPr>
                <w:rFonts w:ascii="Verdana" w:eastAsia="Calibri" w:hAnsi="Verdana" w:cs="Arial"/>
                <w:lang w:eastAsia="en-US"/>
              </w:rPr>
              <w:t>108</w:t>
            </w:r>
            <w:r w:rsidRPr="008F68BC">
              <w:rPr>
                <w:rFonts w:ascii="Verdana" w:eastAsia="Calibri" w:hAnsi="Verdana" w:cs="Arial"/>
                <w:lang w:eastAsia="en-US"/>
              </w:rPr>
              <w:t xml:space="preserve">%, con una tasa de variación </w:t>
            </w:r>
            <w:r w:rsidR="00053C65">
              <w:rPr>
                <w:rFonts w:ascii="Verdana" w:eastAsia="Calibri" w:hAnsi="Verdana" w:cs="Arial"/>
                <w:lang w:eastAsia="en-US"/>
              </w:rPr>
              <w:t>231</w:t>
            </w:r>
            <w:r w:rsidR="00053C65" w:rsidRPr="008F68BC">
              <w:rPr>
                <w:rFonts w:ascii="Verdana" w:eastAsia="Calibri" w:hAnsi="Verdana" w:cs="Arial"/>
                <w:lang w:eastAsia="en-US"/>
              </w:rPr>
              <w:t xml:space="preserve"> </w:t>
            </w:r>
            <w:proofErr w:type="spellStart"/>
            <w:r w:rsidRPr="008F68BC">
              <w:rPr>
                <w:rFonts w:ascii="Verdana" w:eastAsia="Calibri" w:hAnsi="Verdana" w:cs="Arial"/>
                <w:lang w:eastAsia="en-US"/>
              </w:rPr>
              <w:t>pps</w:t>
            </w:r>
            <w:proofErr w:type="spellEnd"/>
            <w:r w:rsidRPr="008F68BC">
              <w:rPr>
                <w:rFonts w:ascii="Verdana" w:eastAsia="Calibri" w:hAnsi="Verdana" w:cs="Arial"/>
                <w:lang w:eastAsia="en-US"/>
              </w:rPr>
              <w:t xml:space="preserve"> menor en el caso de los costos. Para el mismo periodo, en Cali, el ICCV-ICOCED </w:t>
            </w:r>
            <w:r w:rsidR="00053C65">
              <w:rPr>
                <w:rFonts w:ascii="Verdana" w:eastAsia="Calibri" w:hAnsi="Verdana" w:cs="Arial"/>
                <w:lang w:eastAsia="en-US"/>
              </w:rPr>
              <w:t>residencial</w:t>
            </w:r>
            <w:r w:rsidRPr="008F68BC">
              <w:rPr>
                <w:rFonts w:ascii="Verdana" w:eastAsia="Calibri" w:hAnsi="Verdana" w:cs="Arial"/>
                <w:lang w:eastAsia="en-US"/>
              </w:rPr>
              <w:t xml:space="preserve"> creció </w:t>
            </w:r>
            <w:r w:rsidR="00134CD7">
              <w:rPr>
                <w:rFonts w:ascii="Verdana" w:eastAsia="Calibri" w:hAnsi="Verdana" w:cs="Arial"/>
                <w:lang w:eastAsia="en-US"/>
              </w:rPr>
              <w:t>107</w:t>
            </w:r>
            <w:r w:rsidRPr="008F68BC">
              <w:rPr>
                <w:rFonts w:ascii="Verdana" w:eastAsia="Calibri" w:hAnsi="Verdana" w:cs="Arial"/>
                <w:lang w:eastAsia="en-US"/>
              </w:rPr>
              <w:t xml:space="preserve">%, cifra significativamente menor comparada con el </w:t>
            </w:r>
            <w:r w:rsidR="00134CD7">
              <w:rPr>
                <w:rFonts w:ascii="Verdana" w:eastAsia="Calibri" w:hAnsi="Verdana" w:cs="Arial"/>
                <w:lang w:eastAsia="en-US"/>
              </w:rPr>
              <w:t>304</w:t>
            </w:r>
            <w:r w:rsidRPr="008F68BC">
              <w:rPr>
                <w:rFonts w:ascii="Verdana" w:eastAsia="Calibri" w:hAnsi="Verdana" w:cs="Arial"/>
                <w:lang w:eastAsia="en-US"/>
              </w:rPr>
              <w:t xml:space="preserve">% que creció el IPVN. </w:t>
            </w:r>
            <w:r w:rsidR="008F68BC" w:rsidRPr="008F68BC">
              <w:rPr>
                <w:rFonts w:ascii="Verdana" w:eastAsia="Calibri" w:hAnsi="Verdana" w:cs="Arial"/>
                <w:lang w:eastAsia="en-US"/>
              </w:rPr>
              <w:t xml:space="preserve">En Barranquilla, entre 2006 y </w:t>
            </w:r>
            <w:r w:rsidR="0003112B">
              <w:rPr>
                <w:rFonts w:ascii="Verdana" w:eastAsia="Calibri" w:hAnsi="Verdana" w:cs="Arial"/>
                <w:lang w:eastAsia="en-US"/>
              </w:rPr>
              <w:t>2023</w:t>
            </w:r>
            <w:r w:rsidR="008F68BC" w:rsidRPr="008F68BC">
              <w:rPr>
                <w:rFonts w:ascii="Verdana" w:eastAsia="Calibri" w:hAnsi="Verdana" w:cs="Arial"/>
                <w:lang w:eastAsia="en-US"/>
              </w:rPr>
              <w:t xml:space="preserve">, el ICVV-ICOCED </w:t>
            </w:r>
            <w:r w:rsidR="0003112B">
              <w:rPr>
                <w:rFonts w:ascii="Verdana" w:eastAsia="Calibri" w:hAnsi="Verdana" w:cs="Arial"/>
                <w:lang w:eastAsia="en-US"/>
              </w:rPr>
              <w:t>residencial</w:t>
            </w:r>
            <w:r w:rsidR="008F68BC" w:rsidRPr="008F68BC">
              <w:rPr>
                <w:rFonts w:ascii="Verdana" w:eastAsia="Calibri" w:hAnsi="Verdana" w:cs="Arial"/>
                <w:lang w:eastAsia="en-US"/>
              </w:rPr>
              <w:t xml:space="preserve"> creció </w:t>
            </w:r>
            <w:r w:rsidR="00670EDF">
              <w:rPr>
                <w:rFonts w:ascii="Verdana" w:eastAsia="Calibri" w:hAnsi="Verdana" w:cs="Arial"/>
                <w:lang w:eastAsia="en-US"/>
              </w:rPr>
              <w:t>89</w:t>
            </w:r>
            <w:r w:rsidR="008F68BC" w:rsidRPr="008F68BC">
              <w:rPr>
                <w:rFonts w:ascii="Verdana" w:eastAsia="Calibri" w:hAnsi="Verdana" w:cs="Arial"/>
                <w:lang w:eastAsia="en-US"/>
              </w:rPr>
              <w:t xml:space="preserve">% mientras el IPVN se expandió un </w:t>
            </w:r>
            <w:r w:rsidR="00CD59DC">
              <w:rPr>
                <w:rFonts w:ascii="Verdana" w:eastAsia="Calibri" w:hAnsi="Verdana" w:cs="Arial"/>
                <w:lang w:eastAsia="en-US"/>
              </w:rPr>
              <w:t>318</w:t>
            </w:r>
            <w:r w:rsidR="008F68BC" w:rsidRPr="008F68BC">
              <w:rPr>
                <w:rFonts w:ascii="Verdana" w:eastAsia="Calibri" w:hAnsi="Verdana" w:cs="Arial"/>
                <w:lang w:eastAsia="en-US"/>
              </w:rPr>
              <w:t xml:space="preserve">%. </w:t>
            </w:r>
          </w:p>
          <w:p w14:paraId="3E56555C" w14:textId="77777777" w:rsidR="00EE2BB5" w:rsidRDefault="00EE2BB5" w:rsidP="00E657D3">
            <w:pPr>
              <w:ind w:left="142" w:right="162"/>
              <w:jc w:val="both"/>
              <w:rPr>
                <w:rFonts w:ascii="Verdana" w:eastAsia="Calibri" w:hAnsi="Verdana" w:cs="Arial"/>
                <w:lang w:eastAsia="en-US"/>
              </w:rPr>
            </w:pPr>
          </w:p>
          <w:p w14:paraId="0EE7FB6F" w14:textId="4136C742" w:rsidR="00C87171" w:rsidRDefault="00EE2BB5" w:rsidP="00E657D3">
            <w:pPr>
              <w:ind w:left="142" w:right="162"/>
              <w:jc w:val="both"/>
              <w:rPr>
                <w:rFonts w:ascii="Verdana" w:eastAsia="Calibri" w:hAnsi="Verdana" w:cs="Arial"/>
                <w:lang w:eastAsia="en-US"/>
              </w:rPr>
            </w:pPr>
            <w:r>
              <w:rPr>
                <w:rFonts w:ascii="Verdana" w:eastAsia="Calibri" w:hAnsi="Verdana" w:cs="Arial"/>
                <w:lang w:eastAsia="en-US"/>
              </w:rPr>
              <w:t>E</w:t>
            </w:r>
            <w:r w:rsidR="00C87171" w:rsidRPr="008F68BC">
              <w:rPr>
                <w:rFonts w:ascii="Verdana" w:eastAsia="Calibri" w:hAnsi="Verdana" w:cs="Arial"/>
                <w:lang w:eastAsia="en-US"/>
              </w:rPr>
              <w:t>n el caso de Bucaramanga</w:t>
            </w:r>
            <w:r w:rsidR="00751BF3">
              <w:rPr>
                <w:rFonts w:ascii="Verdana" w:eastAsia="Calibri" w:hAnsi="Verdana" w:cs="Arial"/>
                <w:lang w:eastAsia="en-US"/>
              </w:rPr>
              <w:t>,</w:t>
            </w:r>
            <w:r w:rsidR="00C87171" w:rsidRPr="008F68BC">
              <w:rPr>
                <w:rFonts w:ascii="Verdana" w:eastAsia="Calibri" w:hAnsi="Verdana" w:cs="Arial"/>
                <w:lang w:eastAsia="en-US"/>
              </w:rPr>
              <w:t xml:space="preserve"> el IPVN creció </w:t>
            </w:r>
            <w:r w:rsidR="00CD59DC">
              <w:rPr>
                <w:rFonts w:ascii="Verdana" w:eastAsia="Calibri" w:hAnsi="Verdana" w:cs="Arial"/>
                <w:lang w:eastAsia="en-US"/>
              </w:rPr>
              <w:t>347</w:t>
            </w:r>
            <w:r w:rsidR="00C87171" w:rsidRPr="008F68BC">
              <w:rPr>
                <w:rFonts w:ascii="Verdana" w:eastAsia="Calibri" w:hAnsi="Verdana" w:cs="Arial"/>
                <w:lang w:eastAsia="en-US"/>
              </w:rPr>
              <w:t xml:space="preserve">% mientras el ICCV-ICOCED </w:t>
            </w:r>
            <w:r w:rsidR="00CD59DC">
              <w:rPr>
                <w:rFonts w:ascii="Verdana" w:eastAsia="Calibri" w:hAnsi="Verdana" w:cs="Arial"/>
                <w:lang w:eastAsia="en-US"/>
              </w:rPr>
              <w:t>residencial</w:t>
            </w:r>
            <w:r w:rsidR="00C87171" w:rsidRPr="008F68BC">
              <w:rPr>
                <w:rFonts w:ascii="Verdana" w:eastAsia="Calibri" w:hAnsi="Verdana" w:cs="Arial"/>
                <w:lang w:eastAsia="en-US"/>
              </w:rPr>
              <w:t xml:space="preserve"> varió </w:t>
            </w:r>
            <w:r w:rsidR="00CD59DC">
              <w:rPr>
                <w:rFonts w:ascii="Verdana" w:eastAsia="Calibri" w:hAnsi="Verdana" w:cs="Arial"/>
                <w:lang w:eastAsia="en-US"/>
              </w:rPr>
              <w:t>102</w:t>
            </w:r>
            <w:r w:rsidR="00C87171" w:rsidRPr="008F68BC">
              <w:rPr>
                <w:rFonts w:ascii="Verdana" w:eastAsia="Calibri" w:hAnsi="Verdana" w:cs="Arial"/>
                <w:lang w:eastAsia="en-US"/>
              </w:rPr>
              <w:t>%.</w:t>
            </w:r>
            <w:r w:rsidR="00CF2AB2" w:rsidRPr="008F68BC">
              <w:rPr>
                <w:rFonts w:ascii="Verdana" w:eastAsia="Calibri" w:hAnsi="Verdana" w:cs="Arial"/>
                <w:lang w:eastAsia="en-US"/>
              </w:rPr>
              <w:t xml:space="preserve"> E</w:t>
            </w:r>
            <w:r w:rsidR="00C87171" w:rsidRPr="008F68BC">
              <w:rPr>
                <w:rFonts w:ascii="Verdana" w:eastAsia="Calibri" w:hAnsi="Verdana" w:cs="Arial"/>
                <w:lang w:eastAsia="en-US"/>
              </w:rPr>
              <w:t xml:space="preserve">n Cúcuta, ciudad para la cual se cuenta con información desde 2014 en adelante, el IPVN creció </w:t>
            </w:r>
            <w:r w:rsidR="00897026">
              <w:rPr>
                <w:rFonts w:ascii="Verdana" w:eastAsia="Calibri" w:hAnsi="Verdana" w:cs="Arial"/>
                <w:lang w:eastAsia="en-US"/>
              </w:rPr>
              <w:t>83</w:t>
            </w:r>
            <w:r w:rsidR="00C87171" w:rsidRPr="008F68BC">
              <w:rPr>
                <w:rFonts w:ascii="Verdana" w:eastAsia="Calibri" w:hAnsi="Verdana" w:cs="Arial"/>
                <w:lang w:eastAsia="en-US"/>
              </w:rPr>
              <w:t xml:space="preserve">% mientras que el ICCV-ICOCED </w:t>
            </w:r>
            <w:r w:rsidR="00CD59DC">
              <w:rPr>
                <w:rFonts w:ascii="Verdana" w:eastAsia="Calibri" w:hAnsi="Verdana" w:cs="Arial"/>
                <w:lang w:eastAsia="en-US"/>
              </w:rPr>
              <w:t>residencial</w:t>
            </w:r>
            <w:r w:rsidR="00C87171" w:rsidRPr="008F68BC">
              <w:rPr>
                <w:rFonts w:ascii="Verdana" w:eastAsia="Calibri" w:hAnsi="Verdana" w:cs="Arial"/>
                <w:lang w:eastAsia="en-US"/>
              </w:rPr>
              <w:t xml:space="preserve"> aumentó </w:t>
            </w:r>
            <w:r w:rsidR="00897026">
              <w:rPr>
                <w:rFonts w:ascii="Verdana" w:eastAsia="Calibri" w:hAnsi="Verdana" w:cs="Arial"/>
                <w:lang w:eastAsia="en-US"/>
              </w:rPr>
              <w:t>48</w:t>
            </w:r>
            <w:r w:rsidR="00C87171" w:rsidRPr="008F68BC">
              <w:rPr>
                <w:rFonts w:ascii="Verdana" w:eastAsia="Calibri" w:hAnsi="Verdana" w:cs="Arial"/>
                <w:lang w:eastAsia="en-US"/>
              </w:rPr>
              <w:t>%.</w:t>
            </w:r>
            <w:r w:rsidR="00C87171" w:rsidRPr="00C87171">
              <w:rPr>
                <w:rFonts w:ascii="Verdana" w:eastAsia="Calibri" w:hAnsi="Verdana" w:cs="Arial"/>
                <w:lang w:eastAsia="en-US"/>
              </w:rPr>
              <w:t xml:space="preserve"> </w:t>
            </w:r>
            <w:r w:rsidR="00CF2AB2" w:rsidRPr="00CF2AB2">
              <w:rPr>
                <w:rFonts w:ascii="Verdana" w:eastAsia="Calibri" w:hAnsi="Verdana" w:cs="Arial"/>
                <w:lang w:eastAsia="en-US"/>
              </w:rPr>
              <w:t>Por último, el caso de Cartagena es particular, pues se cuenta con información tan solo desde 2014 en adelante y la variación del ICOCE</w:t>
            </w:r>
            <w:r w:rsidR="00CF2AB2">
              <w:rPr>
                <w:rFonts w:ascii="Verdana" w:eastAsia="Calibri" w:hAnsi="Verdana" w:cs="Arial"/>
                <w:lang w:eastAsia="en-US"/>
              </w:rPr>
              <w:t>D</w:t>
            </w:r>
            <w:r w:rsidR="00CF2AB2" w:rsidRPr="00CF2AB2">
              <w:rPr>
                <w:rFonts w:ascii="Verdana" w:eastAsia="Calibri" w:hAnsi="Verdana" w:cs="Arial"/>
                <w:lang w:eastAsia="en-US"/>
              </w:rPr>
              <w:t xml:space="preserve"> </w:t>
            </w:r>
            <w:r w:rsidR="00824D31">
              <w:rPr>
                <w:rFonts w:ascii="Verdana" w:eastAsia="Calibri" w:hAnsi="Verdana" w:cs="Arial"/>
                <w:lang w:eastAsia="en-US"/>
              </w:rPr>
              <w:t>residencial</w:t>
            </w:r>
            <w:r w:rsidR="00CF2AB2" w:rsidRPr="00CF2AB2">
              <w:rPr>
                <w:rFonts w:ascii="Verdana" w:eastAsia="Calibri" w:hAnsi="Verdana" w:cs="Arial"/>
                <w:lang w:eastAsia="en-US"/>
              </w:rPr>
              <w:t xml:space="preserve"> en el 2022 fue muy elevada con respecto al crecimiento </w:t>
            </w:r>
            <w:r w:rsidR="008F68BC">
              <w:rPr>
                <w:rFonts w:ascii="Verdana" w:eastAsia="Calibri" w:hAnsi="Verdana" w:cs="Arial"/>
                <w:lang w:eastAsia="en-US"/>
              </w:rPr>
              <w:t xml:space="preserve">promedio anual </w:t>
            </w:r>
            <w:r w:rsidR="00CF2AB2" w:rsidRPr="00CF2AB2">
              <w:rPr>
                <w:rFonts w:ascii="Verdana" w:eastAsia="Calibri" w:hAnsi="Verdana" w:cs="Arial"/>
                <w:lang w:eastAsia="en-US"/>
              </w:rPr>
              <w:t xml:space="preserve">del ICCV. Aunque la brecha entre los costos de construcción y los precios de la vivienda se evidencia entre 2014 y 2021, la tendencia se revierte en 2022 por el aumento desproporcionado del ICOCED. </w:t>
            </w:r>
            <w:r w:rsidR="00782650">
              <w:rPr>
                <w:rFonts w:ascii="Verdana" w:eastAsia="Calibri" w:hAnsi="Verdana" w:cs="Arial"/>
                <w:lang w:eastAsia="en-US"/>
              </w:rPr>
              <w:t xml:space="preserve">No obstante, en 2023 la tendencia se normaliza y los costos de construcción crecen más que los </w:t>
            </w:r>
            <w:proofErr w:type="gramStart"/>
            <w:r w:rsidR="00782650">
              <w:rPr>
                <w:rFonts w:ascii="Verdana" w:eastAsia="Calibri" w:hAnsi="Verdana" w:cs="Arial"/>
                <w:lang w:eastAsia="en-US"/>
              </w:rPr>
              <w:t xml:space="preserve">precios, </w:t>
            </w:r>
            <w:r w:rsidR="00CF2AB2" w:rsidRPr="00CF2AB2">
              <w:rPr>
                <w:rFonts w:ascii="Verdana" w:eastAsia="Calibri" w:hAnsi="Verdana" w:cs="Arial"/>
                <w:lang w:eastAsia="en-US"/>
              </w:rPr>
              <w:t xml:space="preserve"> </w:t>
            </w:r>
            <w:r w:rsidR="00FF29AF">
              <w:rPr>
                <w:rFonts w:ascii="Verdana" w:eastAsia="Calibri" w:hAnsi="Verdana" w:cs="Arial"/>
                <w:lang w:eastAsia="en-US"/>
              </w:rPr>
              <w:t>específicamente</w:t>
            </w:r>
            <w:proofErr w:type="gramEnd"/>
            <w:r w:rsidR="00FF29AF">
              <w:rPr>
                <w:rFonts w:ascii="Verdana" w:eastAsia="Calibri" w:hAnsi="Verdana" w:cs="Arial"/>
                <w:lang w:eastAsia="en-US"/>
              </w:rPr>
              <w:t xml:space="preserve"> el </w:t>
            </w:r>
            <w:r w:rsidR="00FF29AF" w:rsidRPr="00CF2AB2">
              <w:rPr>
                <w:rFonts w:ascii="Verdana" w:eastAsia="Calibri" w:hAnsi="Verdana" w:cs="Arial"/>
                <w:lang w:eastAsia="en-US"/>
              </w:rPr>
              <w:t>ICCV-ICOCED</w:t>
            </w:r>
            <w:r w:rsidR="00FF29AF">
              <w:rPr>
                <w:rFonts w:ascii="Verdana" w:eastAsia="Calibri" w:hAnsi="Verdana" w:cs="Arial"/>
                <w:lang w:eastAsia="en-US"/>
              </w:rPr>
              <w:t xml:space="preserve"> residencial</w:t>
            </w:r>
            <w:r w:rsidR="00CF2AB2" w:rsidRPr="00CF2AB2">
              <w:rPr>
                <w:rFonts w:ascii="Verdana" w:eastAsia="Calibri" w:hAnsi="Verdana" w:cs="Arial"/>
                <w:lang w:eastAsia="en-US"/>
              </w:rPr>
              <w:t xml:space="preserve"> ha crecido </w:t>
            </w:r>
            <w:r w:rsidR="00FF29AF">
              <w:rPr>
                <w:rFonts w:ascii="Verdana" w:eastAsia="Calibri" w:hAnsi="Verdana" w:cs="Arial"/>
                <w:lang w:eastAsia="en-US"/>
              </w:rPr>
              <w:t>50</w:t>
            </w:r>
            <w:r w:rsidR="00CF2AB2" w:rsidRPr="00CF2AB2">
              <w:rPr>
                <w:rFonts w:ascii="Verdana" w:eastAsia="Calibri" w:hAnsi="Verdana" w:cs="Arial"/>
                <w:lang w:eastAsia="en-US"/>
              </w:rPr>
              <w:t xml:space="preserve">% mientras el IPVN ha aumentado </w:t>
            </w:r>
            <w:r w:rsidR="00FF29AF">
              <w:rPr>
                <w:rFonts w:ascii="Verdana" w:eastAsia="Calibri" w:hAnsi="Verdana" w:cs="Arial"/>
                <w:lang w:eastAsia="en-US"/>
              </w:rPr>
              <w:t>63</w:t>
            </w:r>
            <w:r w:rsidR="00CF2AB2" w:rsidRPr="00CF2AB2">
              <w:rPr>
                <w:rFonts w:ascii="Verdana" w:eastAsia="Calibri" w:hAnsi="Verdana" w:cs="Arial"/>
                <w:lang w:eastAsia="en-US"/>
              </w:rPr>
              <w:t>%.</w:t>
            </w:r>
          </w:p>
          <w:p w14:paraId="76A308D7" w14:textId="77777777" w:rsidR="00EE2BB5" w:rsidRDefault="00EE2BB5" w:rsidP="00E657D3">
            <w:pPr>
              <w:ind w:left="142" w:right="162"/>
              <w:jc w:val="center"/>
              <w:rPr>
                <w:rFonts w:ascii="Verdana" w:eastAsia="Calibri" w:hAnsi="Verdana" w:cs="Arial"/>
                <w:b/>
                <w:bCs/>
                <w:lang w:eastAsia="en-US"/>
              </w:rPr>
            </w:pPr>
          </w:p>
          <w:p w14:paraId="5794589C" w14:textId="2A215B12" w:rsidR="00C87171" w:rsidRDefault="00C87171" w:rsidP="00E657D3">
            <w:pPr>
              <w:ind w:left="142" w:right="162"/>
              <w:jc w:val="center"/>
              <w:rPr>
                <w:rFonts w:ascii="Verdana" w:eastAsia="Calibri" w:hAnsi="Verdana" w:cs="Arial"/>
                <w:b/>
                <w:bCs/>
                <w:lang w:eastAsia="en-US"/>
              </w:rPr>
            </w:pPr>
            <w:r w:rsidRPr="00C87171">
              <w:rPr>
                <w:rFonts w:ascii="Verdana" w:eastAsia="Calibri" w:hAnsi="Verdana" w:cs="Arial"/>
                <w:b/>
                <w:bCs/>
                <w:lang w:eastAsia="en-US"/>
              </w:rPr>
              <w:t xml:space="preserve">Gráfico </w:t>
            </w:r>
            <w:r w:rsidR="00EE2BB5">
              <w:rPr>
                <w:rFonts w:ascii="Verdana" w:eastAsia="Calibri" w:hAnsi="Verdana" w:cs="Arial"/>
                <w:b/>
                <w:bCs/>
                <w:lang w:eastAsia="en-US"/>
              </w:rPr>
              <w:t>2</w:t>
            </w:r>
            <w:r w:rsidRPr="00C87171">
              <w:rPr>
                <w:rFonts w:ascii="Verdana" w:eastAsia="Calibri" w:hAnsi="Verdana" w:cs="Arial"/>
                <w:b/>
                <w:bCs/>
                <w:lang w:eastAsia="en-US"/>
              </w:rPr>
              <w:t>: ICCV</w:t>
            </w:r>
            <w:r>
              <w:rPr>
                <w:rFonts w:ascii="Verdana" w:eastAsia="Calibri" w:hAnsi="Verdana" w:cs="Arial"/>
                <w:b/>
                <w:bCs/>
                <w:lang w:eastAsia="en-US"/>
              </w:rPr>
              <w:t>-ICOCED</w:t>
            </w:r>
            <w:r w:rsidRPr="00C87171">
              <w:rPr>
                <w:rFonts w:ascii="Verdana" w:eastAsia="Calibri" w:hAnsi="Verdana" w:cs="Arial"/>
                <w:b/>
                <w:bCs/>
                <w:lang w:eastAsia="en-US"/>
              </w:rPr>
              <w:t xml:space="preserve"> e IPVN por ciudad (Base 100=2006)</w:t>
            </w:r>
          </w:p>
          <w:p w14:paraId="11165706" w14:textId="77777777" w:rsidR="00692086" w:rsidRDefault="00692086" w:rsidP="00E657D3">
            <w:pPr>
              <w:ind w:left="142" w:right="162"/>
              <w:jc w:val="center"/>
              <w:rPr>
                <w:rFonts w:ascii="Verdana" w:eastAsia="Calibri" w:hAnsi="Verdana" w:cs="Arial"/>
                <w:b/>
                <w:bCs/>
                <w:lang w:eastAsia="en-U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326"/>
            </w:tblGrid>
            <w:tr w:rsidR="00083FFD" w14:paraId="4ED73916" w14:textId="77777777" w:rsidTr="00EE2BB5">
              <w:tc>
                <w:tcPr>
                  <w:tcW w:w="5325" w:type="dxa"/>
                </w:tcPr>
                <w:p w14:paraId="3A8EC5FA" w14:textId="307B5B49" w:rsidR="00083FFD" w:rsidRDefault="00083FFD" w:rsidP="00E657D3">
                  <w:pPr>
                    <w:ind w:right="162"/>
                    <w:jc w:val="center"/>
                    <w:rPr>
                      <w:rFonts w:ascii="Verdana" w:eastAsia="Calibri" w:hAnsi="Verdana" w:cs="Arial"/>
                      <w:b/>
                      <w:bCs/>
                      <w:lang w:eastAsia="en-US"/>
                    </w:rPr>
                  </w:pPr>
                  <w:r>
                    <w:rPr>
                      <w:rFonts w:ascii="Verdana" w:eastAsia="Calibri" w:hAnsi="Verdana" w:cs="Arial"/>
                      <w:noProof/>
                      <w:lang w:val="en-US" w:eastAsia="en-US"/>
                      <w14:ligatures w14:val="standardContextual"/>
                    </w:rPr>
                    <w:lastRenderedPageBreak/>
                    <w:drawing>
                      <wp:inline distT="0" distB="0" distL="0" distR="0" wp14:anchorId="0769C2BC" wp14:editId="2443FE9D">
                        <wp:extent cx="3095625" cy="2409825"/>
                        <wp:effectExtent l="0" t="0" r="3175" b="3175"/>
                        <wp:docPr id="826353814" name="Gráfico 8263538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326" w:type="dxa"/>
                </w:tcPr>
                <w:p w14:paraId="124DD453" w14:textId="7F813E44" w:rsidR="00083FFD" w:rsidRDefault="00083FFD" w:rsidP="00E657D3">
                  <w:pPr>
                    <w:ind w:right="162"/>
                    <w:jc w:val="center"/>
                    <w:rPr>
                      <w:rFonts w:ascii="Verdana" w:eastAsia="Calibri" w:hAnsi="Verdana" w:cs="Arial"/>
                      <w:b/>
                      <w:bCs/>
                      <w:lang w:eastAsia="en-US"/>
                    </w:rPr>
                  </w:pPr>
                  <w:r>
                    <w:rPr>
                      <w:rFonts w:ascii="Verdana" w:eastAsia="Calibri" w:hAnsi="Verdana" w:cs="Arial"/>
                      <w:noProof/>
                      <w:lang w:val="en-US" w:eastAsia="en-US"/>
                      <w14:ligatures w14:val="standardContextual"/>
                    </w:rPr>
                    <w:drawing>
                      <wp:inline distT="0" distB="0" distL="0" distR="0" wp14:anchorId="1C3EC2F9" wp14:editId="474EA7DC">
                        <wp:extent cx="3095625" cy="2409825"/>
                        <wp:effectExtent l="0" t="0" r="3175" b="3175"/>
                        <wp:docPr id="187648556" name="Gráfico 1876485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83FFD" w14:paraId="2D7EC8FE" w14:textId="77777777" w:rsidTr="00EE2BB5">
              <w:tc>
                <w:tcPr>
                  <w:tcW w:w="5325" w:type="dxa"/>
                </w:tcPr>
                <w:p w14:paraId="74CDE9EA" w14:textId="77777777" w:rsidR="00692086" w:rsidRDefault="00692086" w:rsidP="00692086">
                  <w:pPr>
                    <w:ind w:right="162"/>
                    <w:rPr>
                      <w:rFonts w:ascii="Verdana" w:eastAsia="Calibri" w:hAnsi="Verdana" w:cs="Arial"/>
                      <w:b/>
                      <w:bCs/>
                      <w:lang w:eastAsia="en-US"/>
                    </w:rPr>
                  </w:pPr>
                </w:p>
                <w:p w14:paraId="31B5DF07" w14:textId="7121AF29" w:rsidR="00083FFD" w:rsidRDefault="00083FFD" w:rsidP="00E657D3">
                  <w:pPr>
                    <w:ind w:right="162"/>
                    <w:jc w:val="center"/>
                    <w:rPr>
                      <w:rFonts w:ascii="Verdana" w:eastAsia="Calibri" w:hAnsi="Verdana" w:cs="Arial"/>
                      <w:b/>
                      <w:bCs/>
                      <w:lang w:eastAsia="en-US"/>
                    </w:rPr>
                  </w:pPr>
                  <w:r>
                    <w:rPr>
                      <w:rFonts w:ascii="Verdana" w:eastAsia="Calibri" w:hAnsi="Verdana" w:cs="Arial"/>
                      <w:noProof/>
                      <w:lang w:val="en-US" w:eastAsia="en-US"/>
                      <w14:ligatures w14:val="standardContextual"/>
                    </w:rPr>
                    <w:drawing>
                      <wp:inline distT="0" distB="0" distL="0" distR="0" wp14:anchorId="64B6F7C1" wp14:editId="418CAC2F">
                        <wp:extent cx="3095625" cy="2409825"/>
                        <wp:effectExtent l="0" t="0" r="3175" b="3175"/>
                        <wp:docPr id="1330582871" name="Gráfico 13305828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326" w:type="dxa"/>
                </w:tcPr>
                <w:p w14:paraId="5BAF68BE" w14:textId="77777777" w:rsidR="00083FFD" w:rsidRDefault="00083FFD" w:rsidP="00E657D3">
                  <w:pPr>
                    <w:ind w:right="162"/>
                    <w:jc w:val="center"/>
                    <w:rPr>
                      <w:rFonts w:ascii="Verdana" w:eastAsia="Calibri" w:hAnsi="Verdana" w:cs="Arial"/>
                      <w:b/>
                      <w:bCs/>
                      <w:lang w:eastAsia="en-US"/>
                    </w:rPr>
                  </w:pPr>
                </w:p>
                <w:p w14:paraId="2939E7CF" w14:textId="601D712B" w:rsidR="00083FFD" w:rsidRDefault="00083FFD" w:rsidP="00E657D3">
                  <w:pPr>
                    <w:ind w:right="162"/>
                    <w:jc w:val="center"/>
                    <w:rPr>
                      <w:rFonts w:ascii="Verdana" w:eastAsia="Calibri" w:hAnsi="Verdana" w:cs="Arial"/>
                      <w:b/>
                      <w:bCs/>
                      <w:lang w:eastAsia="en-US"/>
                    </w:rPr>
                  </w:pPr>
                  <w:r>
                    <w:rPr>
                      <w:rFonts w:ascii="Verdana" w:eastAsia="Calibri" w:hAnsi="Verdana" w:cs="Arial"/>
                      <w:noProof/>
                      <w:lang w:val="en-US" w:eastAsia="en-US"/>
                      <w14:ligatures w14:val="standardContextual"/>
                    </w:rPr>
                    <w:drawing>
                      <wp:inline distT="0" distB="0" distL="0" distR="0" wp14:anchorId="648B6738" wp14:editId="2145059C">
                        <wp:extent cx="3095625" cy="2409825"/>
                        <wp:effectExtent l="0" t="0" r="3175" b="3175"/>
                        <wp:docPr id="1503165980" name="Gráfico 1503165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083FFD" w14:paraId="17909B09" w14:textId="77777777" w:rsidTr="00EE2BB5">
              <w:tc>
                <w:tcPr>
                  <w:tcW w:w="5325" w:type="dxa"/>
                </w:tcPr>
                <w:p w14:paraId="55FE10E3" w14:textId="77777777" w:rsidR="00083FFD" w:rsidRDefault="00083FFD" w:rsidP="00E657D3">
                  <w:pPr>
                    <w:ind w:right="162"/>
                    <w:jc w:val="center"/>
                    <w:rPr>
                      <w:rFonts w:ascii="Verdana" w:eastAsia="Calibri" w:hAnsi="Verdana" w:cs="Arial"/>
                      <w:b/>
                      <w:bCs/>
                      <w:lang w:eastAsia="en-US"/>
                    </w:rPr>
                  </w:pPr>
                </w:p>
                <w:p w14:paraId="73F1751D" w14:textId="0EDAB128" w:rsidR="00083FFD" w:rsidRDefault="00083FFD" w:rsidP="00E657D3">
                  <w:pPr>
                    <w:ind w:right="162"/>
                    <w:jc w:val="center"/>
                    <w:rPr>
                      <w:rFonts w:ascii="Verdana" w:eastAsia="Calibri" w:hAnsi="Verdana" w:cs="Arial"/>
                      <w:b/>
                      <w:bCs/>
                      <w:lang w:eastAsia="en-US"/>
                    </w:rPr>
                  </w:pPr>
                  <w:r>
                    <w:rPr>
                      <w:rFonts w:ascii="Verdana" w:eastAsia="Calibri" w:hAnsi="Verdana" w:cs="Arial"/>
                      <w:noProof/>
                      <w:lang w:val="en-US" w:eastAsia="en-US"/>
                      <w14:ligatures w14:val="standardContextual"/>
                    </w:rPr>
                    <w:drawing>
                      <wp:inline distT="0" distB="0" distL="0" distR="0" wp14:anchorId="76CAF317" wp14:editId="1AAB00DB">
                        <wp:extent cx="3095625" cy="2409825"/>
                        <wp:effectExtent l="0" t="0" r="3175" b="3175"/>
                        <wp:docPr id="1968779515" name="Gráfico 19687795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326" w:type="dxa"/>
                </w:tcPr>
                <w:p w14:paraId="78DE60B7" w14:textId="77777777" w:rsidR="00083FFD" w:rsidRDefault="00083FFD" w:rsidP="00E657D3">
                  <w:pPr>
                    <w:ind w:right="162"/>
                    <w:jc w:val="center"/>
                    <w:rPr>
                      <w:rFonts w:ascii="Verdana" w:eastAsia="Calibri" w:hAnsi="Verdana" w:cs="Arial"/>
                      <w:b/>
                      <w:bCs/>
                      <w:lang w:eastAsia="en-US"/>
                    </w:rPr>
                  </w:pPr>
                </w:p>
                <w:p w14:paraId="1126C642" w14:textId="063132FC" w:rsidR="00083FFD" w:rsidRDefault="00083FFD" w:rsidP="00E657D3">
                  <w:pPr>
                    <w:ind w:right="162"/>
                    <w:jc w:val="center"/>
                    <w:rPr>
                      <w:rFonts w:ascii="Verdana" w:eastAsia="Calibri" w:hAnsi="Verdana" w:cs="Arial"/>
                      <w:b/>
                      <w:bCs/>
                      <w:lang w:eastAsia="en-US"/>
                    </w:rPr>
                  </w:pPr>
                  <w:r>
                    <w:rPr>
                      <w:rFonts w:ascii="Verdana" w:eastAsia="Calibri" w:hAnsi="Verdana" w:cs="Arial"/>
                      <w:noProof/>
                      <w:lang w:val="en-US" w:eastAsia="en-US"/>
                      <w14:ligatures w14:val="standardContextual"/>
                    </w:rPr>
                    <w:drawing>
                      <wp:inline distT="0" distB="0" distL="0" distR="0" wp14:anchorId="287DB39B" wp14:editId="64B5FDD9">
                        <wp:extent cx="3095625" cy="2409825"/>
                        <wp:effectExtent l="0" t="0" r="3175" b="3175"/>
                        <wp:docPr id="2072905168" name="Gráfico 2072905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083FFD" w14:paraId="58B8B143" w14:textId="77777777" w:rsidTr="00EE2BB5">
              <w:tc>
                <w:tcPr>
                  <w:tcW w:w="5325" w:type="dxa"/>
                </w:tcPr>
                <w:p w14:paraId="42D3C4A8" w14:textId="77777777" w:rsidR="00083FFD" w:rsidRDefault="00083FFD" w:rsidP="00E657D3">
                  <w:pPr>
                    <w:ind w:right="162"/>
                    <w:jc w:val="center"/>
                    <w:rPr>
                      <w:rFonts w:ascii="Verdana" w:eastAsia="Calibri" w:hAnsi="Verdana" w:cs="Arial"/>
                      <w:b/>
                      <w:bCs/>
                      <w:lang w:eastAsia="en-US"/>
                    </w:rPr>
                  </w:pPr>
                </w:p>
                <w:p w14:paraId="21985F92" w14:textId="512C3420" w:rsidR="00083FFD" w:rsidRDefault="00083FFD" w:rsidP="00E657D3">
                  <w:pPr>
                    <w:ind w:right="162"/>
                    <w:jc w:val="center"/>
                    <w:rPr>
                      <w:rFonts w:ascii="Verdana" w:eastAsia="Calibri" w:hAnsi="Verdana" w:cs="Arial"/>
                      <w:b/>
                      <w:bCs/>
                      <w:lang w:eastAsia="en-US"/>
                    </w:rPr>
                  </w:pPr>
                  <w:r>
                    <w:rPr>
                      <w:rFonts w:ascii="Verdana" w:eastAsia="Calibri" w:hAnsi="Verdana" w:cs="Arial"/>
                      <w:noProof/>
                      <w:lang w:val="en-US" w:eastAsia="en-US"/>
                      <w14:ligatures w14:val="standardContextual"/>
                    </w:rPr>
                    <w:lastRenderedPageBreak/>
                    <w:drawing>
                      <wp:inline distT="0" distB="0" distL="0" distR="0" wp14:anchorId="27D89A53" wp14:editId="416B50DB">
                        <wp:extent cx="3095625" cy="2409825"/>
                        <wp:effectExtent l="0" t="0" r="3175" b="3175"/>
                        <wp:docPr id="899665946" name="Gráfico 8996659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326" w:type="dxa"/>
                </w:tcPr>
                <w:p w14:paraId="6D971976" w14:textId="77777777" w:rsidR="00083FFD" w:rsidRDefault="00083FFD" w:rsidP="00E657D3">
                  <w:pPr>
                    <w:ind w:right="162"/>
                    <w:jc w:val="center"/>
                    <w:rPr>
                      <w:rFonts w:ascii="Verdana" w:eastAsia="Calibri" w:hAnsi="Verdana" w:cs="Arial"/>
                      <w:b/>
                      <w:bCs/>
                      <w:lang w:eastAsia="en-US"/>
                    </w:rPr>
                  </w:pPr>
                </w:p>
              </w:tc>
            </w:tr>
          </w:tbl>
          <w:p w14:paraId="1DBA97B8" w14:textId="77777777" w:rsidR="00083FFD" w:rsidRPr="00C87171" w:rsidRDefault="00083FFD" w:rsidP="00E657D3">
            <w:pPr>
              <w:ind w:right="162"/>
              <w:rPr>
                <w:rFonts w:ascii="Verdana" w:eastAsia="Calibri" w:hAnsi="Verdana" w:cs="Arial"/>
                <w:b/>
                <w:bCs/>
                <w:lang w:eastAsia="en-US"/>
              </w:rPr>
            </w:pPr>
          </w:p>
          <w:p w14:paraId="2A037D26" w14:textId="77777777" w:rsidR="007A22DE" w:rsidRDefault="007A22DE" w:rsidP="00E657D3">
            <w:pPr>
              <w:ind w:right="162"/>
              <w:jc w:val="center"/>
              <w:rPr>
                <w:rFonts w:ascii="Verdana" w:eastAsia="Calibri" w:hAnsi="Verdana" w:cs="Arial"/>
                <w:sz w:val="16"/>
                <w:szCs w:val="16"/>
                <w:lang w:eastAsia="en-US"/>
              </w:rPr>
            </w:pPr>
            <w:r w:rsidRPr="0067436F">
              <w:rPr>
                <w:rFonts w:ascii="Verdana" w:eastAsia="Calibri" w:hAnsi="Verdana" w:cs="Arial"/>
                <w:sz w:val="16"/>
                <w:szCs w:val="16"/>
                <w:lang w:eastAsia="en-US"/>
              </w:rPr>
              <w:t>Fuente: DANE, elaboración Ministerio de Vivienda, Ciudad y Territorio.</w:t>
            </w:r>
          </w:p>
          <w:p w14:paraId="7BAEED83" w14:textId="18C0CED6" w:rsidR="00294512" w:rsidRDefault="00294512" w:rsidP="00E657D3">
            <w:pPr>
              <w:ind w:left="142" w:right="162"/>
              <w:jc w:val="center"/>
              <w:rPr>
                <w:rFonts w:ascii="Verdana" w:eastAsia="Calibri" w:hAnsi="Verdana" w:cs="Arial"/>
                <w:sz w:val="16"/>
                <w:szCs w:val="16"/>
                <w:lang w:eastAsia="en-US"/>
              </w:rPr>
            </w:pPr>
            <w:r>
              <w:rPr>
                <w:rFonts w:ascii="Verdana" w:eastAsia="Calibri" w:hAnsi="Verdana" w:cs="Arial"/>
                <w:sz w:val="16"/>
                <w:szCs w:val="16"/>
                <w:lang w:eastAsia="en-US"/>
              </w:rPr>
              <w:t xml:space="preserve">Nota: </w:t>
            </w:r>
            <w:r w:rsidR="0098606F">
              <w:rPr>
                <w:rFonts w:ascii="Verdana" w:eastAsia="Calibri" w:hAnsi="Verdana" w:cs="Arial"/>
                <w:sz w:val="16"/>
                <w:szCs w:val="16"/>
                <w:lang w:eastAsia="en-US"/>
              </w:rPr>
              <w:t>l</w:t>
            </w:r>
            <w:r w:rsidRPr="00294512">
              <w:rPr>
                <w:rFonts w:ascii="Verdana" w:eastAsia="Calibri" w:hAnsi="Verdana" w:cs="Arial"/>
                <w:sz w:val="16"/>
                <w:szCs w:val="16"/>
                <w:lang w:eastAsia="en-US"/>
              </w:rPr>
              <w:t>a</w:t>
            </w:r>
            <w:r>
              <w:rPr>
                <w:rFonts w:ascii="Verdana" w:eastAsia="Calibri" w:hAnsi="Verdana" w:cs="Arial"/>
                <w:sz w:val="16"/>
                <w:szCs w:val="16"/>
                <w:lang w:eastAsia="en-US"/>
              </w:rPr>
              <w:t>s</w:t>
            </w:r>
            <w:r w:rsidRPr="00294512">
              <w:rPr>
                <w:rFonts w:ascii="Verdana" w:eastAsia="Calibri" w:hAnsi="Verdana" w:cs="Arial"/>
                <w:sz w:val="16"/>
                <w:szCs w:val="16"/>
                <w:lang w:eastAsia="en-US"/>
              </w:rPr>
              <w:t xml:space="preserve"> aglomeraci</w:t>
            </w:r>
            <w:r>
              <w:rPr>
                <w:rFonts w:ascii="Verdana" w:eastAsia="Calibri" w:hAnsi="Verdana" w:cs="Arial"/>
                <w:sz w:val="16"/>
                <w:szCs w:val="16"/>
                <w:lang w:eastAsia="en-US"/>
              </w:rPr>
              <w:t>ones</w:t>
            </w:r>
            <w:r w:rsidRPr="00294512">
              <w:rPr>
                <w:rFonts w:ascii="Verdana" w:eastAsia="Calibri" w:hAnsi="Verdana" w:cs="Arial"/>
                <w:sz w:val="16"/>
                <w:szCs w:val="16"/>
                <w:lang w:eastAsia="en-US"/>
              </w:rPr>
              <w:t xml:space="preserve"> de </w:t>
            </w:r>
            <w:r>
              <w:rPr>
                <w:rFonts w:ascii="Verdana" w:eastAsia="Calibri" w:hAnsi="Verdana" w:cs="Arial"/>
                <w:sz w:val="16"/>
                <w:szCs w:val="16"/>
                <w:lang w:eastAsia="en-US"/>
              </w:rPr>
              <w:t xml:space="preserve">Cúcuta y </w:t>
            </w:r>
            <w:r w:rsidRPr="00294512">
              <w:rPr>
                <w:rFonts w:ascii="Verdana" w:eastAsia="Calibri" w:hAnsi="Verdana" w:cs="Arial"/>
                <w:sz w:val="16"/>
                <w:szCs w:val="16"/>
                <w:lang w:eastAsia="en-US"/>
              </w:rPr>
              <w:t>Cartagena solo cuenta</w:t>
            </w:r>
            <w:r>
              <w:rPr>
                <w:rFonts w:ascii="Verdana" w:eastAsia="Calibri" w:hAnsi="Verdana" w:cs="Arial"/>
                <w:sz w:val="16"/>
                <w:szCs w:val="16"/>
                <w:lang w:eastAsia="en-US"/>
              </w:rPr>
              <w:t>n</w:t>
            </w:r>
            <w:r w:rsidRPr="00294512">
              <w:rPr>
                <w:rFonts w:ascii="Verdana" w:eastAsia="Calibri" w:hAnsi="Verdana" w:cs="Arial"/>
                <w:sz w:val="16"/>
                <w:szCs w:val="16"/>
                <w:lang w:eastAsia="en-US"/>
              </w:rPr>
              <w:t xml:space="preserve"> con información histórica desde 2014</w:t>
            </w:r>
            <w:r>
              <w:rPr>
                <w:rFonts w:ascii="Verdana" w:eastAsia="Calibri" w:hAnsi="Verdana" w:cs="Arial"/>
                <w:sz w:val="16"/>
                <w:szCs w:val="16"/>
                <w:lang w:eastAsia="en-US"/>
              </w:rPr>
              <w:t>,</w:t>
            </w:r>
            <w:r w:rsidRPr="00294512">
              <w:rPr>
                <w:rFonts w:ascii="Verdana" w:eastAsia="Calibri" w:hAnsi="Verdana" w:cs="Arial"/>
                <w:sz w:val="16"/>
                <w:szCs w:val="16"/>
                <w:lang w:eastAsia="en-US"/>
              </w:rPr>
              <w:t xml:space="preserve"> por lo que el año base es 2014.</w:t>
            </w:r>
          </w:p>
          <w:p w14:paraId="48BE189B" w14:textId="77777777" w:rsidR="00C87171" w:rsidRDefault="00C87171" w:rsidP="00E657D3">
            <w:pPr>
              <w:ind w:left="142" w:right="162"/>
              <w:jc w:val="both"/>
              <w:rPr>
                <w:rFonts w:ascii="Verdana" w:eastAsia="Calibri" w:hAnsi="Verdana" w:cs="Arial"/>
                <w:lang w:eastAsia="en-US"/>
              </w:rPr>
            </w:pPr>
          </w:p>
          <w:p w14:paraId="5292EEE6" w14:textId="6A005E36" w:rsidR="009E3CB2" w:rsidRPr="009E3CB2" w:rsidRDefault="00294512" w:rsidP="00E657D3">
            <w:pPr>
              <w:ind w:left="142" w:right="162"/>
              <w:jc w:val="both"/>
              <w:rPr>
                <w:rFonts w:ascii="Verdana" w:eastAsia="Calibri" w:hAnsi="Verdana" w:cs="Arial"/>
                <w:lang w:eastAsia="en-US"/>
              </w:rPr>
            </w:pPr>
            <w:r w:rsidRPr="00294512">
              <w:rPr>
                <w:rFonts w:ascii="Verdana" w:eastAsia="Calibri" w:hAnsi="Verdana" w:cs="Arial"/>
                <w:lang w:eastAsia="en-US"/>
              </w:rPr>
              <w:t>A este conjunto de aglomeraciones urbanas, se ha</w:t>
            </w:r>
            <w:r>
              <w:rPr>
                <w:rFonts w:ascii="Verdana" w:eastAsia="Calibri" w:hAnsi="Verdana" w:cs="Arial"/>
                <w:lang w:eastAsia="en-US"/>
              </w:rPr>
              <w:t>n</w:t>
            </w:r>
            <w:r w:rsidRPr="00294512">
              <w:rPr>
                <w:rFonts w:ascii="Verdana" w:eastAsia="Calibri" w:hAnsi="Verdana" w:cs="Arial"/>
                <w:lang w:eastAsia="en-US"/>
              </w:rPr>
              <w:t xml:space="preserve"> sumado l</w:t>
            </w:r>
            <w:r w:rsidR="00751BF3">
              <w:rPr>
                <w:rFonts w:ascii="Verdana" w:eastAsia="Calibri" w:hAnsi="Verdana" w:cs="Arial"/>
                <w:lang w:eastAsia="en-US"/>
              </w:rPr>
              <w:t>o</w:t>
            </w:r>
            <w:r>
              <w:rPr>
                <w:rFonts w:ascii="Verdana" w:eastAsia="Calibri" w:hAnsi="Verdana" w:cs="Arial"/>
                <w:lang w:eastAsia="en-US"/>
              </w:rPr>
              <w:t>s</w:t>
            </w:r>
            <w:r w:rsidRPr="00294512">
              <w:rPr>
                <w:rFonts w:ascii="Verdana" w:eastAsia="Calibri" w:hAnsi="Verdana" w:cs="Arial"/>
                <w:lang w:eastAsia="en-US"/>
              </w:rPr>
              <w:t xml:space="preserve"> </w:t>
            </w:r>
            <w:r w:rsidR="00751BF3">
              <w:rPr>
                <w:rFonts w:ascii="Verdana" w:eastAsia="Calibri" w:hAnsi="Verdana" w:cs="Arial"/>
                <w:lang w:eastAsia="en-US"/>
              </w:rPr>
              <w:t xml:space="preserve">municipios </w:t>
            </w:r>
            <w:r w:rsidRPr="00294512">
              <w:rPr>
                <w:rFonts w:ascii="Verdana" w:eastAsia="Calibri" w:hAnsi="Verdana" w:cs="Arial"/>
                <w:lang w:eastAsia="en-US"/>
              </w:rPr>
              <w:t>de</w:t>
            </w:r>
            <w:r w:rsidR="00751BF3">
              <w:rPr>
                <w:rFonts w:ascii="Verdana" w:eastAsia="Calibri" w:hAnsi="Verdana" w:cs="Arial"/>
                <w:lang w:eastAsia="en-US"/>
              </w:rPr>
              <w:t xml:space="preserve"> Pereira, Dosquebradas, Manizales, Villamaría, Ibagué, Popayán</w:t>
            </w:r>
            <w:r w:rsidR="00137A8E">
              <w:rPr>
                <w:rFonts w:ascii="Verdana" w:eastAsia="Calibri" w:hAnsi="Verdana" w:cs="Arial"/>
                <w:lang w:eastAsia="en-US"/>
              </w:rPr>
              <w:t xml:space="preserve"> y </w:t>
            </w:r>
            <w:r w:rsidR="00751BF3">
              <w:rPr>
                <w:rFonts w:ascii="Verdana" w:eastAsia="Calibri" w:hAnsi="Verdana" w:cs="Arial"/>
                <w:lang w:eastAsia="en-US"/>
              </w:rPr>
              <w:t>Santa Marta</w:t>
            </w:r>
            <w:r w:rsidRPr="00294512">
              <w:rPr>
                <w:rFonts w:ascii="Verdana" w:eastAsia="Calibri" w:hAnsi="Verdana" w:cs="Arial"/>
                <w:lang w:eastAsia="en-US"/>
              </w:rPr>
              <w:t xml:space="preserve">, </w:t>
            </w:r>
            <w:r>
              <w:rPr>
                <w:rFonts w:ascii="Verdana" w:eastAsia="Calibri" w:hAnsi="Verdana" w:cs="Arial"/>
                <w:lang w:eastAsia="en-US"/>
              </w:rPr>
              <w:t xml:space="preserve">de acuerdo con lo establecido en el </w:t>
            </w:r>
            <w:r w:rsidR="009E3CB2">
              <w:rPr>
                <w:rFonts w:ascii="Verdana" w:eastAsia="Calibri" w:hAnsi="Verdana" w:cs="Arial"/>
                <w:lang w:eastAsia="en-US"/>
              </w:rPr>
              <w:t xml:space="preserve">literal </w:t>
            </w:r>
            <w:r w:rsidR="00A15AE4">
              <w:rPr>
                <w:rFonts w:ascii="Verdana" w:eastAsia="Calibri" w:hAnsi="Verdana" w:cs="Arial"/>
                <w:lang w:eastAsia="en-US"/>
              </w:rPr>
              <w:t>B</w:t>
            </w:r>
            <w:r w:rsidR="009E3CB2">
              <w:rPr>
                <w:rFonts w:ascii="Verdana" w:eastAsia="Calibri" w:hAnsi="Verdana" w:cs="Arial"/>
                <w:lang w:eastAsia="en-US"/>
              </w:rPr>
              <w:t>)</w:t>
            </w:r>
            <w:r>
              <w:rPr>
                <w:rFonts w:ascii="Verdana" w:eastAsia="Calibri" w:hAnsi="Verdana" w:cs="Arial"/>
                <w:lang w:eastAsia="en-US"/>
              </w:rPr>
              <w:t xml:space="preserve"> del artículo 293 de la Ley 2294 de 2023</w:t>
            </w:r>
            <w:r w:rsidR="009E3CB2">
              <w:rPr>
                <w:rFonts w:ascii="Verdana" w:eastAsia="Calibri" w:hAnsi="Verdana" w:cs="Arial"/>
                <w:lang w:eastAsia="en-US"/>
              </w:rPr>
              <w:t>,</w:t>
            </w:r>
            <w:r>
              <w:rPr>
                <w:rFonts w:ascii="Verdana" w:eastAsia="Calibri" w:hAnsi="Verdana" w:cs="Arial"/>
                <w:lang w:eastAsia="en-US"/>
              </w:rPr>
              <w:t xml:space="preserve"> por medio de la cual </w:t>
            </w:r>
            <w:r w:rsidRPr="004D0829">
              <w:rPr>
                <w:rFonts w:ascii="Verdana" w:hAnsi="Verdana"/>
              </w:rPr>
              <w:t>el Gobierno Nacional podrá establecer como precio máximo de la vivienda de interés social el valor de ciento cincuenta salarios mínimos mensuales legales vigentes (150 SMMLV</w:t>
            </w:r>
            <w:r>
              <w:rPr>
                <w:rFonts w:ascii="Verdana" w:hAnsi="Verdana"/>
              </w:rPr>
              <w:t>)</w:t>
            </w:r>
            <w:r w:rsidR="00A15AE4">
              <w:rPr>
                <w:rFonts w:ascii="Verdana" w:hAnsi="Verdana"/>
              </w:rPr>
              <w:t>,</w:t>
            </w:r>
            <w:r w:rsidR="009E3CB2" w:rsidRPr="009E3CB2">
              <w:rPr>
                <w:rFonts w:ascii="Verdana" w:eastAsia="Calibri" w:hAnsi="Verdana" w:cs="Arial"/>
                <w:lang w:eastAsia="en-US"/>
              </w:rPr>
              <w:t xml:space="preserve"> </w:t>
            </w:r>
            <w:r w:rsidR="009E3CB2">
              <w:rPr>
                <w:rFonts w:ascii="Verdana" w:eastAsia="Calibri" w:hAnsi="Verdana" w:cs="Arial"/>
                <w:lang w:eastAsia="en-US"/>
              </w:rPr>
              <w:t xml:space="preserve">cuando </w:t>
            </w:r>
            <w:r w:rsidR="009E3CB2" w:rsidRPr="009E3CB2">
              <w:rPr>
                <w:rFonts w:ascii="Verdana" w:eastAsia="Calibri" w:hAnsi="Verdana" w:cs="Arial"/>
                <w:lang w:eastAsia="en-US"/>
              </w:rPr>
              <w:t xml:space="preserve">las viviendas de acuerdo </w:t>
            </w:r>
            <w:r w:rsidR="009E3CB2">
              <w:rPr>
                <w:rFonts w:ascii="Verdana" w:eastAsia="Calibri" w:hAnsi="Verdana" w:cs="Arial"/>
                <w:lang w:eastAsia="en-US"/>
              </w:rPr>
              <w:t>con</w:t>
            </w:r>
            <w:r w:rsidR="009E3CB2" w:rsidRPr="009E3CB2">
              <w:rPr>
                <w:rFonts w:ascii="Verdana" w:eastAsia="Calibri" w:hAnsi="Verdana" w:cs="Arial"/>
                <w:lang w:eastAsia="en-US"/>
              </w:rPr>
              <w:t xml:space="preserve"> lo definido por el CONPES 3819 de 2014 o el que lo modifique, se encuentren ubicadas en ciudades </w:t>
            </w:r>
            <w:proofErr w:type="spellStart"/>
            <w:r w:rsidR="009E3CB2" w:rsidRPr="009E3CB2">
              <w:rPr>
                <w:rFonts w:ascii="Verdana" w:eastAsia="Calibri" w:hAnsi="Verdana" w:cs="Arial"/>
                <w:lang w:eastAsia="en-US"/>
              </w:rPr>
              <w:t>uninodales</w:t>
            </w:r>
            <w:proofErr w:type="spellEnd"/>
            <w:r w:rsidR="009E3CB2" w:rsidRPr="009E3CB2">
              <w:rPr>
                <w:rFonts w:ascii="Verdana" w:eastAsia="Calibri" w:hAnsi="Verdana" w:cs="Arial"/>
                <w:lang w:eastAsia="en-US"/>
              </w:rPr>
              <w:t xml:space="preserve"> cuya población supere los trescientos mil (300.000) habitantes, o en aglomeraciones urbanas cuya población supere quinientos mil (500.000) habitantes</w:t>
            </w:r>
            <w:r w:rsidR="00A15AE4">
              <w:rPr>
                <w:rFonts w:ascii="Verdana" w:eastAsia="Calibri" w:hAnsi="Verdana" w:cs="Arial"/>
                <w:lang w:eastAsia="en-US"/>
              </w:rPr>
              <w:t xml:space="preserve"> y tengan una actividad edificadora residencial considerable</w:t>
            </w:r>
            <w:r w:rsidR="009E3CB2">
              <w:rPr>
                <w:rFonts w:ascii="Verdana" w:eastAsia="Calibri" w:hAnsi="Verdana" w:cs="Arial"/>
                <w:lang w:eastAsia="en-US"/>
              </w:rPr>
              <w:t xml:space="preserve">. Sin embargo, se debe </w:t>
            </w:r>
            <w:r w:rsidR="009E3CB2" w:rsidRPr="009E3CB2">
              <w:rPr>
                <w:rFonts w:ascii="Verdana" w:eastAsia="Calibri" w:hAnsi="Verdana" w:cs="Arial"/>
                <w:lang w:eastAsia="en-US"/>
              </w:rPr>
              <w:t>comprobar</w:t>
            </w:r>
            <w:r w:rsidR="009E3CB2">
              <w:rPr>
                <w:rFonts w:ascii="Verdana" w:eastAsia="Calibri" w:hAnsi="Verdana" w:cs="Arial"/>
                <w:lang w:eastAsia="en-US"/>
              </w:rPr>
              <w:t xml:space="preserve"> que existen</w:t>
            </w:r>
            <w:r w:rsidR="009E3CB2" w:rsidRPr="009E3CB2">
              <w:rPr>
                <w:rFonts w:ascii="Verdana" w:eastAsia="Calibri" w:hAnsi="Verdana" w:cs="Arial"/>
                <w:lang w:eastAsia="en-US"/>
              </w:rPr>
              <w:t xml:space="preserve"> presiones en el valor del suelo que generen dificultades en la provisión de vivienda de interés social</w:t>
            </w:r>
            <w:r w:rsidR="009E3CB2">
              <w:rPr>
                <w:rFonts w:ascii="Verdana" w:eastAsia="Calibri" w:hAnsi="Verdana" w:cs="Arial"/>
                <w:lang w:eastAsia="en-US"/>
              </w:rPr>
              <w:t xml:space="preserve"> en dichos municipios.</w:t>
            </w:r>
          </w:p>
          <w:p w14:paraId="56B53F5F" w14:textId="3C403C36" w:rsidR="004D0829" w:rsidRDefault="004D0829" w:rsidP="00E657D3">
            <w:pPr>
              <w:autoSpaceDE w:val="0"/>
              <w:autoSpaceDN w:val="0"/>
              <w:adjustRightInd w:val="0"/>
              <w:jc w:val="both"/>
              <w:rPr>
                <w:rFonts w:ascii="Verdana" w:eastAsia="Calibri" w:hAnsi="Verdana" w:cs="Arial"/>
                <w:lang w:eastAsia="en-US"/>
              </w:rPr>
            </w:pPr>
          </w:p>
          <w:p w14:paraId="660D1735" w14:textId="42578754" w:rsidR="00137A8E" w:rsidRPr="00A15AE4" w:rsidRDefault="00294512" w:rsidP="00A15AE4">
            <w:pPr>
              <w:ind w:left="142" w:right="162"/>
              <w:jc w:val="both"/>
              <w:rPr>
                <w:rFonts w:ascii="Verdana" w:eastAsia="Calibri" w:hAnsi="Verdana" w:cs="Arial"/>
                <w:lang w:eastAsia="en-US"/>
              </w:rPr>
            </w:pPr>
            <w:r w:rsidRPr="00294512">
              <w:rPr>
                <w:rFonts w:ascii="Verdana" w:eastAsia="Calibri" w:hAnsi="Verdana" w:cs="Arial"/>
                <w:lang w:eastAsia="en-US"/>
              </w:rPr>
              <w:t xml:space="preserve">Como se evidencia en el gráfico </w:t>
            </w:r>
            <w:r w:rsidR="00A15AE4">
              <w:rPr>
                <w:rFonts w:ascii="Verdana" w:eastAsia="Calibri" w:hAnsi="Verdana" w:cs="Arial"/>
                <w:lang w:eastAsia="en-US"/>
              </w:rPr>
              <w:t>siguiente</w:t>
            </w:r>
            <w:r w:rsidRPr="00294512">
              <w:rPr>
                <w:rFonts w:ascii="Verdana" w:eastAsia="Calibri" w:hAnsi="Verdana" w:cs="Arial"/>
                <w:lang w:eastAsia="en-US"/>
              </w:rPr>
              <w:t>, las presiones sobre el costo del suelo también se registran en</w:t>
            </w:r>
            <w:r w:rsidR="009D3CEF">
              <w:rPr>
                <w:rFonts w:ascii="Verdana" w:eastAsia="Calibri" w:hAnsi="Verdana" w:cs="Arial"/>
                <w:lang w:eastAsia="en-US"/>
              </w:rPr>
              <w:t xml:space="preserve"> </w:t>
            </w:r>
            <w:r w:rsidR="007C4A46">
              <w:rPr>
                <w:rFonts w:ascii="Verdana" w:eastAsia="Calibri" w:hAnsi="Verdana" w:cs="Arial"/>
                <w:lang w:eastAsia="en-US"/>
              </w:rPr>
              <w:t>Pereira y Dosquebradas, Manizales y Villamaría, Ibagué, Popayán</w:t>
            </w:r>
            <w:r w:rsidR="00137A8E">
              <w:rPr>
                <w:rFonts w:ascii="Verdana" w:eastAsia="Calibri" w:hAnsi="Verdana" w:cs="Arial"/>
                <w:lang w:eastAsia="en-US"/>
              </w:rPr>
              <w:t xml:space="preserve"> y</w:t>
            </w:r>
            <w:r w:rsidR="00D714E0">
              <w:rPr>
                <w:rFonts w:ascii="Verdana" w:eastAsia="Calibri" w:hAnsi="Verdana" w:cs="Arial"/>
                <w:lang w:eastAsia="en-US"/>
              </w:rPr>
              <w:t xml:space="preserve"> </w:t>
            </w:r>
            <w:r w:rsidR="007C4A46">
              <w:rPr>
                <w:rFonts w:ascii="Verdana" w:eastAsia="Calibri" w:hAnsi="Verdana" w:cs="Arial"/>
                <w:lang w:eastAsia="en-US"/>
              </w:rPr>
              <w:t>Santa Marta</w:t>
            </w:r>
            <w:r w:rsidRPr="00294512">
              <w:rPr>
                <w:rFonts w:ascii="Verdana" w:eastAsia="Calibri" w:hAnsi="Verdana" w:cs="Arial"/>
                <w:lang w:eastAsia="en-US"/>
              </w:rPr>
              <w:t xml:space="preserve">. </w:t>
            </w:r>
            <w:r w:rsidR="00751BF3">
              <w:rPr>
                <w:rFonts w:ascii="Verdana" w:eastAsia="Calibri" w:hAnsi="Verdana" w:cs="Arial"/>
                <w:lang w:eastAsia="en-US"/>
              </w:rPr>
              <w:t>Para este ejercicio</w:t>
            </w:r>
            <w:r w:rsidR="00A15AE4">
              <w:rPr>
                <w:rFonts w:ascii="Verdana" w:eastAsia="Calibri" w:hAnsi="Verdana" w:cs="Arial"/>
                <w:lang w:eastAsia="en-US"/>
              </w:rPr>
              <w:t>,</w:t>
            </w:r>
            <w:r w:rsidR="00751BF3">
              <w:rPr>
                <w:rFonts w:ascii="Verdana" w:eastAsia="Calibri" w:hAnsi="Verdana" w:cs="Arial"/>
                <w:lang w:eastAsia="en-US"/>
              </w:rPr>
              <w:t xml:space="preserve"> se tuvo en cuenta la información del ICCV-ICOCED e IPVN del DANE y, </w:t>
            </w:r>
            <w:r w:rsidR="00751BF3" w:rsidRPr="00751BF3">
              <w:rPr>
                <w:rFonts w:ascii="Verdana" w:eastAsia="Calibri" w:hAnsi="Verdana" w:cs="Arial"/>
                <w:lang w:eastAsia="en-US"/>
              </w:rPr>
              <w:t xml:space="preserve">debido a que no existe información de IPVN para Santa Marta, se estimó un índice de precios a partir de información </w:t>
            </w:r>
            <w:r w:rsidR="00751BF3">
              <w:rPr>
                <w:rFonts w:ascii="Verdana" w:eastAsia="Calibri" w:hAnsi="Verdana" w:cs="Arial"/>
                <w:lang w:eastAsia="en-US"/>
              </w:rPr>
              <w:t xml:space="preserve">proveniente </w:t>
            </w:r>
            <w:r w:rsidR="00751BF3" w:rsidRPr="00751BF3">
              <w:rPr>
                <w:rFonts w:ascii="Verdana" w:eastAsia="Calibri" w:hAnsi="Verdana" w:cs="Arial"/>
                <w:lang w:eastAsia="en-US"/>
              </w:rPr>
              <w:t>de Galería Inmobiliaria.</w:t>
            </w:r>
          </w:p>
          <w:p w14:paraId="7FA842D9" w14:textId="77777777" w:rsidR="00137A8E" w:rsidRDefault="00137A8E" w:rsidP="00E657D3">
            <w:pPr>
              <w:ind w:left="142" w:right="162"/>
              <w:jc w:val="center"/>
              <w:rPr>
                <w:rFonts w:ascii="Verdana" w:eastAsia="Calibri" w:hAnsi="Verdana" w:cs="Arial"/>
                <w:b/>
                <w:bCs/>
                <w:lang w:eastAsia="en-US"/>
              </w:rPr>
            </w:pPr>
          </w:p>
          <w:p w14:paraId="789DD83E" w14:textId="56DD7485" w:rsidR="00294512" w:rsidRDefault="00294512" w:rsidP="00E657D3">
            <w:pPr>
              <w:ind w:left="142" w:right="162"/>
              <w:jc w:val="center"/>
              <w:rPr>
                <w:rFonts w:ascii="Verdana" w:eastAsia="Calibri" w:hAnsi="Verdana" w:cs="Arial"/>
                <w:b/>
                <w:bCs/>
                <w:lang w:eastAsia="en-US"/>
              </w:rPr>
            </w:pPr>
            <w:r w:rsidRPr="009D3CEF">
              <w:rPr>
                <w:rFonts w:ascii="Verdana" w:eastAsia="Calibri" w:hAnsi="Verdana" w:cs="Arial"/>
                <w:b/>
                <w:bCs/>
                <w:lang w:eastAsia="en-US"/>
              </w:rPr>
              <w:t xml:space="preserve">Gráfico </w:t>
            </w:r>
            <w:r w:rsidR="00A15AE4">
              <w:rPr>
                <w:rFonts w:ascii="Verdana" w:eastAsia="Calibri" w:hAnsi="Verdana" w:cs="Arial"/>
                <w:b/>
                <w:bCs/>
                <w:lang w:eastAsia="en-US"/>
              </w:rPr>
              <w:t>3</w:t>
            </w:r>
            <w:r w:rsidRPr="009D3CEF">
              <w:rPr>
                <w:rFonts w:ascii="Verdana" w:eastAsia="Calibri" w:hAnsi="Verdana" w:cs="Arial"/>
                <w:b/>
                <w:bCs/>
                <w:lang w:eastAsia="en-US"/>
              </w:rPr>
              <w:t>: ICCV</w:t>
            </w:r>
            <w:r w:rsidR="009D3CEF">
              <w:rPr>
                <w:rFonts w:ascii="Verdana" w:eastAsia="Calibri" w:hAnsi="Verdana" w:cs="Arial"/>
                <w:b/>
                <w:bCs/>
                <w:lang w:eastAsia="en-US"/>
              </w:rPr>
              <w:t>-ICOCED</w:t>
            </w:r>
            <w:r w:rsidR="000A40A8">
              <w:rPr>
                <w:rFonts w:ascii="Verdana" w:eastAsia="Calibri" w:hAnsi="Verdana" w:cs="Arial"/>
                <w:b/>
                <w:bCs/>
                <w:lang w:eastAsia="en-US"/>
              </w:rPr>
              <w:t xml:space="preserve"> residencial</w:t>
            </w:r>
            <w:r w:rsidRPr="009D3CEF">
              <w:rPr>
                <w:rFonts w:ascii="Verdana" w:eastAsia="Calibri" w:hAnsi="Verdana" w:cs="Arial"/>
                <w:b/>
                <w:bCs/>
                <w:lang w:eastAsia="en-US"/>
              </w:rPr>
              <w:t xml:space="preserve"> e IPVN</w:t>
            </w:r>
            <w:r w:rsidR="00127679">
              <w:rPr>
                <w:rFonts w:ascii="Verdana" w:eastAsia="Calibri" w:hAnsi="Verdana" w:cs="Arial"/>
                <w:b/>
                <w:bCs/>
                <w:lang w:eastAsia="en-US"/>
              </w:rPr>
              <w:t>-IP</w:t>
            </w:r>
            <w:r w:rsidRPr="009D3CEF">
              <w:rPr>
                <w:rFonts w:ascii="Verdana" w:eastAsia="Calibri" w:hAnsi="Verdana" w:cs="Arial"/>
                <w:b/>
                <w:bCs/>
                <w:lang w:eastAsia="en-US"/>
              </w:rPr>
              <w:t xml:space="preserve"> </w:t>
            </w:r>
            <w:r w:rsidR="009D3CEF">
              <w:rPr>
                <w:rFonts w:ascii="Verdana" w:eastAsia="Calibri" w:hAnsi="Verdana" w:cs="Arial"/>
                <w:b/>
                <w:bCs/>
                <w:lang w:eastAsia="en-US"/>
              </w:rPr>
              <w:t>por</w:t>
            </w:r>
            <w:r w:rsidRPr="009D3CEF">
              <w:rPr>
                <w:rFonts w:ascii="Verdana" w:eastAsia="Calibri" w:hAnsi="Verdana" w:cs="Arial"/>
                <w:b/>
                <w:bCs/>
                <w:lang w:eastAsia="en-US"/>
              </w:rPr>
              <w:t xml:space="preserve"> </w:t>
            </w:r>
            <w:r w:rsidR="00651A1B">
              <w:rPr>
                <w:rFonts w:ascii="Verdana" w:eastAsia="Calibri" w:hAnsi="Verdana" w:cs="Arial"/>
                <w:b/>
                <w:bCs/>
                <w:lang w:eastAsia="en-US"/>
              </w:rPr>
              <w:t xml:space="preserve">municipios incluidos en </w:t>
            </w:r>
            <w:r w:rsidR="00651A1B" w:rsidRPr="00651A1B">
              <w:rPr>
                <w:rFonts w:ascii="Verdana" w:eastAsia="Calibri" w:hAnsi="Verdana" w:cs="Arial"/>
                <w:b/>
                <w:bCs/>
                <w:lang w:eastAsia="en-US"/>
              </w:rPr>
              <w:t xml:space="preserve">el literal </w:t>
            </w:r>
            <w:r w:rsidR="00A15AE4">
              <w:rPr>
                <w:rFonts w:ascii="Verdana" w:eastAsia="Calibri" w:hAnsi="Verdana" w:cs="Arial"/>
                <w:b/>
                <w:bCs/>
                <w:lang w:eastAsia="en-US"/>
              </w:rPr>
              <w:t>B</w:t>
            </w:r>
            <w:r w:rsidR="00651A1B" w:rsidRPr="00651A1B">
              <w:rPr>
                <w:rFonts w:ascii="Verdana" w:eastAsia="Calibri" w:hAnsi="Verdana" w:cs="Arial"/>
                <w:b/>
                <w:bCs/>
                <w:lang w:eastAsia="en-US"/>
              </w:rPr>
              <w:t>) del artículo 293 de la Ley 2294 de 2023</w:t>
            </w:r>
            <w:r w:rsidRPr="009D3CEF">
              <w:rPr>
                <w:rFonts w:ascii="Verdana" w:eastAsia="Calibri" w:hAnsi="Verdana" w:cs="Arial"/>
                <w:b/>
                <w:bCs/>
                <w:lang w:eastAsia="en-US"/>
              </w:rPr>
              <w:t xml:space="preserve"> (Base 100=201</w:t>
            </w:r>
            <w:r w:rsidR="009D3CEF">
              <w:rPr>
                <w:rFonts w:ascii="Verdana" w:eastAsia="Calibri" w:hAnsi="Verdana" w:cs="Arial"/>
                <w:b/>
                <w:bCs/>
                <w:lang w:eastAsia="en-US"/>
              </w:rPr>
              <w:t>6-I</w:t>
            </w:r>
            <w:r w:rsidRPr="009D3CEF">
              <w:rPr>
                <w:rFonts w:ascii="Verdana" w:eastAsia="Calibri" w:hAnsi="Verdana" w:cs="Arial"/>
                <w:b/>
                <w:bCs/>
                <w:lang w:eastAsia="en-US"/>
              </w:rPr>
              <w:t>)</w:t>
            </w:r>
          </w:p>
          <w:p w14:paraId="6B626E16" w14:textId="77777777" w:rsidR="00137A8E" w:rsidRDefault="00137A8E" w:rsidP="00E657D3">
            <w:pPr>
              <w:ind w:left="142" w:right="162"/>
              <w:jc w:val="center"/>
              <w:rPr>
                <w:rFonts w:ascii="Verdana" w:eastAsia="Calibri" w:hAnsi="Verdana" w:cs="Arial"/>
                <w:b/>
                <w:bCs/>
                <w:lang w:eastAsia="en-US"/>
              </w:rPr>
            </w:pPr>
          </w:p>
          <w:tbl>
            <w:tblPr>
              <w:tblStyle w:val="Tablaconcuadrcula"/>
              <w:tblW w:w="10661"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263"/>
              <w:gridCol w:w="5398"/>
            </w:tblGrid>
            <w:tr w:rsidR="00237069" w14:paraId="36CB3AE0" w14:textId="77777777" w:rsidTr="002903B3">
              <w:tc>
                <w:tcPr>
                  <w:tcW w:w="5222" w:type="dxa"/>
                </w:tcPr>
                <w:p w14:paraId="7E804A5E" w14:textId="6D86F807" w:rsidR="00B67611" w:rsidRDefault="0020292C" w:rsidP="00E657D3">
                  <w:pPr>
                    <w:ind w:left="708" w:right="162" w:hanging="708"/>
                    <w:jc w:val="center"/>
                    <w:rPr>
                      <w:rFonts w:ascii="Verdana" w:eastAsia="Calibri" w:hAnsi="Verdana" w:cs="Arial"/>
                      <w:b/>
                      <w:bCs/>
                      <w:lang w:eastAsia="en-US"/>
                    </w:rPr>
                  </w:pPr>
                  <w:r>
                    <w:rPr>
                      <w:noProof/>
                      <w14:ligatures w14:val="standardContextual"/>
                    </w:rPr>
                    <w:drawing>
                      <wp:inline distT="0" distB="0" distL="0" distR="0" wp14:anchorId="1C0ECE5A" wp14:editId="734B2F2E">
                        <wp:extent cx="3149600" cy="2615565"/>
                        <wp:effectExtent l="0" t="0" r="0" b="0"/>
                        <wp:docPr id="1272923673" name="Gráfico 1">
                          <a:extLst xmlns:a="http://schemas.openxmlformats.org/drawingml/2006/main">
                            <a:ext uri="{FF2B5EF4-FFF2-40B4-BE49-F238E27FC236}">
                              <a16:creationId xmlns:a16="http://schemas.microsoft.com/office/drawing/2014/main" id="{F8DA6850-9C5B-4932-9F47-5254379674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439" w:type="dxa"/>
                </w:tcPr>
                <w:p w14:paraId="1AB1EC84" w14:textId="0C57585F" w:rsidR="00B67611" w:rsidRDefault="00ED55A1" w:rsidP="00E657D3">
                  <w:pPr>
                    <w:ind w:right="162"/>
                    <w:jc w:val="center"/>
                    <w:rPr>
                      <w:rFonts w:ascii="Verdana" w:eastAsia="Calibri" w:hAnsi="Verdana" w:cs="Arial"/>
                      <w:b/>
                      <w:bCs/>
                      <w:lang w:eastAsia="en-US"/>
                    </w:rPr>
                  </w:pPr>
                  <w:r>
                    <w:rPr>
                      <w:noProof/>
                      <w14:ligatures w14:val="standardContextual"/>
                    </w:rPr>
                    <w:drawing>
                      <wp:inline distT="0" distB="0" distL="0" distR="0" wp14:anchorId="6F8DC5DF" wp14:editId="410A2D0B">
                        <wp:extent cx="3001108" cy="2615565"/>
                        <wp:effectExtent l="0" t="0" r="8890" b="0"/>
                        <wp:docPr id="1974744389" name="Gráfico 1">
                          <a:extLst xmlns:a="http://schemas.openxmlformats.org/drawingml/2006/main">
                            <a:ext uri="{FF2B5EF4-FFF2-40B4-BE49-F238E27FC236}">
                              <a16:creationId xmlns:a16="http://schemas.microsoft.com/office/drawing/2014/main" id="{19C6CC1B-5962-4143-8350-0AAD3208B4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11218A" w14:paraId="1AD3AA14" w14:textId="77777777" w:rsidTr="002903B3">
              <w:tc>
                <w:tcPr>
                  <w:tcW w:w="5222" w:type="dxa"/>
                </w:tcPr>
                <w:p w14:paraId="2DA5674E" w14:textId="77777777" w:rsidR="00B67611" w:rsidRDefault="00B67611" w:rsidP="00E657D3">
                  <w:pPr>
                    <w:ind w:right="162"/>
                    <w:jc w:val="center"/>
                    <w:rPr>
                      <w:rFonts w:ascii="Verdana" w:eastAsia="Calibri" w:hAnsi="Verdana" w:cs="Arial"/>
                      <w:b/>
                      <w:bCs/>
                      <w:lang w:eastAsia="en-US"/>
                    </w:rPr>
                  </w:pPr>
                </w:p>
                <w:p w14:paraId="2D9E82AF" w14:textId="3F309885" w:rsidR="00B67611" w:rsidRDefault="0011218A" w:rsidP="00E657D3">
                  <w:pPr>
                    <w:ind w:right="162"/>
                    <w:jc w:val="center"/>
                    <w:rPr>
                      <w:rFonts w:ascii="Verdana" w:eastAsia="Calibri" w:hAnsi="Verdana" w:cs="Arial"/>
                      <w:b/>
                      <w:bCs/>
                      <w:lang w:eastAsia="en-US"/>
                    </w:rPr>
                  </w:pPr>
                  <w:r>
                    <w:rPr>
                      <w:noProof/>
                      <w14:ligatures w14:val="standardContextual"/>
                    </w:rPr>
                    <w:lastRenderedPageBreak/>
                    <w:drawing>
                      <wp:inline distT="0" distB="0" distL="0" distR="0" wp14:anchorId="13FD6646" wp14:editId="1712F7CB">
                        <wp:extent cx="3102610" cy="2409825"/>
                        <wp:effectExtent l="0" t="0" r="2540" b="0"/>
                        <wp:docPr id="2145969978" name="Gráfico 1">
                          <a:extLst xmlns:a="http://schemas.openxmlformats.org/drawingml/2006/main">
                            <a:ext uri="{FF2B5EF4-FFF2-40B4-BE49-F238E27FC236}">
                              <a16:creationId xmlns:a16="http://schemas.microsoft.com/office/drawing/2014/main" id="{15AA5A61-C91E-4ECF-9CDB-5493E57282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439" w:type="dxa"/>
                </w:tcPr>
                <w:p w14:paraId="256E0A52" w14:textId="77777777" w:rsidR="00B67611" w:rsidRDefault="00B67611" w:rsidP="00E657D3">
                  <w:pPr>
                    <w:ind w:right="162"/>
                    <w:jc w:val="center"/>
                    <w:rPr>
                      <w:rFonts w:ascii="Verdana" w:eastAsia="Calibri" w:hAnsi="Verdana" w:cs="Arial"/>
                      <w:b/>
                      <w:bCs/>
                      <w:lang w:eastAsia="en-US"/>
                    </w:rPr>
                  </w:pPr>
                </w:p>
                <w:p w14:paraId="35084F36" w14:textId="259A79C3" w:rsidR="00B67611" w:rsidRDefault="002D7406" w:rsidP="00E657D3">
                  <w:pPr>
                    <w:ind w:right="162"/>
                    <w:jc w:val="center"/>
                    <w:rPr>
                      <w:rFonts w:ascii="Verdana" w:eastAsia="Calibri" w:hAnsi="Verdana" w:cs="Arial"/>
                      <w:b/>
                      <w:bCs/>
                      <w:lang w:eastAsia="en-US"/>
                    </w:rPr>
                  </w:pPr>
                  <w:r>
                    <w:rPr>
                      <w:noProof/>
                      <w14:ligatures w14:val="standardContextual"/>
                    </w:rPr>
                    <w:lastRenderedPageBreak/>
                    <w:drawing>
                      <wp:inline distT="0" distB="0" distL="0" distR="0" wp14:anchorId="23829C9E" wp14:editId="71529B25">
                        <wp:extent cx="3025775" cy="2409825"/>
                        <wp:effectExtent l="0" t="0" r="3175" b="0"/>
                        <wp:docPr id="2129327287" name="Gráfico 1">
                          <a:extLst xmlns:a="http://schemas.openxmlformats.org/drawingml/2006/main">
                            <a:ext uri="{FF2B5EF4-FFF2-40B4-BE49-F238E27FC236}">
                              <a16:creationId xmlns:a16="http://schemas.microsoft.com/office/drawing/2014/main" id="{C48F76DE-6874-46FB-B34A-B41028543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11218A" w14:paraId="34955918" w14:textId="77777777" w:rsidTr="002903B3">
              <w:tc>
                <w:tcPr>
                  <w:tcW w:w="5222" w:type="dxa"/>
                </w:tcPr>
                <w:p w14:paraId="2A9A729E" w14:textId="77777777" w:rsidR="00B67611" w:rsidRDefault="00B67611" w:rsidP="00E657D3">
                  <w:pPr>
                    <w:ind w:right="162"/>
                    <w:jc w:val="center"/>
                    <w:rPr>
                      <w:rFonts w:ascii="Verdana" w:eastAsia="Calibri" w:hAnsi="Verdana" w:cs="Arial"/>
                      <w:b/>
                      <w:bCs/>
                      <w:lang w:eastAsia="en-US"/>
                    </w:rPr>
                  </w:pPr>
                </w:p>
                <w:p w14:paraId="4530847A" w14:textId="3C480B33" w:rsidR="00B67611" w:rsidRDefault="002903B3" w:rsidP="00E657D3">
                  <w:pPr>
                    <w:ind w:right="162"/>
                    <w:jc w:val="center"/>
                    <w:rPr>
                      <w:rFonts w:ascii="Verdana" w:eastAsia="Calibri" w:hAnsi="Verdana" w:cs="Arial"/>
                      <w:b/>
                      <w:bCs/>
                      <w:lang w:eastAsia="en-US"/>
                    </w:rPr>
                  </w:pPr>
                  <w:r>
                    <w:rPr>
                      <w:noProof/>
                      <w14:ligatures w14:val="standardContextual"/>
                    </w:rPr>
                    <w:drawing>
                      <wp:inline distT="0" distB="0" distL="0" distR="0" wp14:anchorId="26C89D94" wp14:editId="63471A21">
                        <wp:extent cx="3024554" cy="2359660"/>
                        <wp:effectExtent l="0" t="0" r="0" b="2540"/>
                        <wp:docPr id="527821496" name="Gráfico 1">
                          <a:extLst xmlns:a="http://schemas.openxmlformats.org/drawingml/2006/main">
                            <a:ext uri="{FF2B5EF4-FFF2-40B4-BE49-F238E27FC236}">
                              <a16:creationId xmlns:a16="http://schemas.microsoft.com/office/drawing/2014/main" id="{6F4A9B1D-337A-4D1D-AEC6-BE11A1EE2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439" w:type="dxa"/>
                </w:tcPr>
                <w:p w14:paraId="07D026D1" w14:textId="77777777" w:rsidR="00B67611" w:rsidRDefault="00B67611" w:rsidP="00E657D3">
                  <w:pPr>
                    <w:ind w:right="162"/>
                    <w:jc w:val="center"/>
                    <w:rPr>
                      <w:rFonts w:ascii="Verdana" w:eastAsia="Calibri" w:hAnsi="Verdana" w:cs="Arial"/>
                      <w:b/>
                      <w:bCs/>
                      <w:lang w:eastAsia="en-US"/>
                    </w:rPr>
                  </w:pPr>
                </w:p>
                <w:p w14:paraId="71571389" w14:textId="709D9570" w:rsidR="00071B77" w:rsidRDefault="00071B77" w:rsidP="00E657D3">
                  <w:pPr>
                    <w:ind w:right="162"/>
                    <w:jc w:val="center"/>
                    <w:rPr>
                      <w:rFonts w:ascii="Verdana" w:eastAsia="Calibri" w:hAnsi="Verdana" w:cs="Arial"/>
                      <w:b/>
                      <w:bCs/>
                      <w:lang w:eastAsia="en-US"/>
                    </w:rPr>
                  </w:pPr>
                </w:p>
              </w:tc>
            </w:tr>
          </w:tbl>
          <w:p w14:paraId="6436E472" w14:textId="507B3C9E" w:rsidR="00472916" w:rsidRDefault="00472916" w:rsidP="00E657D3">
            <w:pPr>
              <w:ind w:left="142" w:right="162"/>
              <w:jc w:val="center"/>
              <w:rPr>
                <w:rFonts w:ascii="Verdana" w:eastAsia="Calibri" w:hAnsi="Verdana" w:cs="Arial"/>
                <w:sz w:val="16"/>
                <w:szCs w:val="16"/>
                <w:lang w:eastAsia="en-US"/>
              </w:rPr>
            </w:pPr>
            <w:r w:rsidRPr="0067436F">
              <w:rPr>
                <w:rFonts w:ascii="Verdana" w:eastAsia="Calibri" w:hAnsi="Verdana" w:cs="Arial"/>
                <w:sz w:val="16"/>
                <w:szCs w:val="16"/>
                <w:lang w:eastAsia="en-US"/>
              </w:rPr>
              <w:t>Fuente: DANE</w:t>
            </w:r>
            <w:r>
              <w:rPr>
                <w:rFonts w:ascii="Verdana" w:eastAsia="Calibri" w:hAnsi="Verdana" w:cs="Arial"/>
                <w:sz w:val="16"/>
                <w:szCs w:val="16"/>
                <w:lang w:eastAsia="en-US"/>
              </w:rPr>
              <w:t xml:space="preserve"> y Galería Inmobiliaria</w:t>
            </w:r>
            <w:r w:rsidRPr="0067436F">
              <w:rPr>
                <w:rFonts w:ascii="Verdana" w:eastAsia="Calibri" w:hAnsi="Verdana" w:cs="Arial"/>
                <w:sz w:val="16"/>
                <w:szCs w:val="16"/>
                <w:lang w:eastAsia="en-US"/>
              </w:rPr>
              <w:t>, elaboración Ministerio de Vivienda, Ciudad y Territorio.</w:t>
            </w:r>
          </w:p>
          <w:p w14:paraId="58724ACA" w14:textId="3B7DDE0F" w:rsidR="00472916" w:rsidRDefault="00472916" w:rsidP="00E657D3">
            <w:pPr>
              <w:ind w:left="142" w:right="162"/>
              <w:jc w:val="center"/>
              <w:rPr>
                <w:rFonts w:ascii="Verdana" w:eastAsia="Calibri" w:hAnsi="Verdana" w:cs="Arial"/>
                <w:sz w:val="16"/>
                <w:szCs w:val="16"/>
                <w:lang w:eastAsia="en-US"/>
              </w:rPr>
            </w:pPr>
            <w:r>
              <w:rPr>
                <w:rFonts w:ascii="Verdana" w:eastAsia="Calibri" w:hAnsi="Verdana" w:cs="Arial"/>
                <w:sz w:val="16"/>
                <w:szCs w:val="16"/>
                <w:lang w:eastAsia="en-US"/>
              </w:rPr>
              <w:t>Nota</w:t>
            </w:r>
            <w:r w:rsidR="00D23310">
              <w:rPr>
                <w:rFonts w:ascii="Verdana" w:eastAsia="Calibri" w:hAnsi="Verdana" w:cs="Arial"/>
                <w:sz w:val="16"/>
                <w:szCs w:val="16"/>
                <w:lang w:eastAsia="en-US"/>
              </w:rPr>
              <w:t xml:space="preserve"> 1</w:t>
            </w:r>
            <w:r>
              <w:rPr>
                <w:rFonts w:ascii="Verdana" w:eastAsia="Calibri" w:hAnsi="Verdana" w:cs="Arial"/>
                <w:sz w:val="16"/>
                <w:szCs w:val="16"/>
                <w:lang w:eastAsia="en-US"/>
              </w:rPr>
              <w:t xml:space="preserve">: </w:t>
            </w:r>
            <w:r w:rsidR="00137A8E">
              <w:rPr>
                <w:rFonts w:ascii="Verdana" w:eastAsia="Calibri" w:hAnsi="Verdana" w:cs="Arial"/>
                <w:sz w:val="16"/>
                <w:szCs w:val="16"/>
                <w:lang w:eastAsia="en-US"/>
              </w:rPr>
              <w:t>l</w:t>
            </w:r>
            <w:r w:rsidRPr="00294512">
              <w:rPr>
                <w:rFonts w:ascii="Verdana" w:eastAsia="Calibri" w:hAnsi="Verdana" w:cs="Arial"/>
                <w:sz w:val="16"/>
                <w:szCs w:val="16"/>
                <w:lang w:eastAsia="en-US"/>
              </w:rPr>
              <w:t xml:space="preserve">a </w:t>
            </w:r>
            <w:r>
              <w:rPr>
                <w:rFonts w:ascii="Verdana" w:eastAsia="Calibri" w:hAnsi="Verdana" w:cs="Arial"/>
                <w:sz w:val="16"/>
                <w:szCs w:val="16"/>
                <w:lang w:eastAsia="en-US"/>
              </w:rPr>
              <w:t>ciudad</w:t>
            </w:r>
            <w:r w:rsidRPr="00294512">
              <w:rPr>
                <w:rFonts w:ascii="Verdana" w:eastAsia="Calibri" w:hAnsi="Verdana" w:cs="Arial"/>
                <w:sz w:val="16"/>
                <w:szCs w:val="16"/>
                <w:lang w:eastAsia="en-US"/>
              </w:rPr>
              <w:t xml:space="preserve"> de </w:t>
            </w:r>
            <w:r>
              <w:rPr>
                <w:rFonts w:ascii="Verdana" w:eastAsia="Calibri" w:hAnsi="Verdana" w:cs="Arial"/>
                <w:sz w:val="16"/>
                <w:szCs w:val="16"/>
                <w:lang w:eastAsia="en-US"/>
              </w:rPr>
              <w:t xml:space="preserve">Santa Marta </w:t>
            </w:r>
            <w:r w:rsidRPr="00294512">
              <w:rPr>
                <w:rFonts w:ascii="Verdana" w:eastAsia="Calibri" w:hAnsi="Verdana" w:cs="Arial"/>
                <w:sz w:val="16"/>
                <w:szCs w:val="16"/>
                <w:lang w:eastAsia="en-US"/>
              </w:rPr>
              <w:t>solo cuenta con información histórica desde 20</w:t>
            </w:r>
            <w:r>
              <w:rPr>
                <w:rFonts w:ascii="Verdana" w:eastAsia="Calibri" w:hAnsi="Verdana" w:cs="Arial"/>
                <w:sz w:val="16"/>
                <w:szCs w:val="16"/>
                <w:lang w:eastAsia="en-US"/>
              </w:rPr>
              <w:t>18-III,</w:t>
            </w:r>
            <w:r w:rsidRPr="00294512">
              <w:rPr>
                <w:rFonts w:ascii="Verdana" w:eastAsia="Calibri" w:hAnsi="Verdana" w:cs="Arial"/>
                <w:sz w:val="16"/>
                <w:szCs w:val="16"/>
                <w:lang w:eastAsia="en-US"/>
              </w:rPr>
              <w:t xml:space="preserve"> por lo que </w:t>
            </w:r>
            <w:r>
              <w:rPr>
                <w:rFonts w:ascii="Verdana" w:eastAsia="Calibri" w:hAnsi="Verdana" w:cs="Arial"/>
                <w:sz w:val="16"/>
                <w:szCs w:val="16"/>
                <w:lang w:eastAsia="en-US"/>
              </w:rPr>
              <w:t>el</w:t>
            </w:r>
            <w:r w:rsidRPr="00294512">
              <w:rPr>
                <w:rFonts w:ascii="Verdana" w:eastAsia="Calibri" w:hAnsi="Verdana" w:cs="Arial"/>
                <w:sz w:val="16"/>
                <w:szCs w:val="16"/>
                <w:lang w:eastAsia="en-US"/>
              </w:rPr>
              <w:t xml:space="preserve"> </w:t>
            </w:r>
            <w:r>
              <w:rPr>
                <w:rFonts w:ascii="Verdana" w:eastAsia="Calibri" w:hAnsi="Verdana" w:cs="Arial"/>
                <w:sz w:val="16"/>
                <w:szCs w:val="16"/>
                <w:lang w:eastAsia="en-US"/>
              </w:rPr>
              <w:t>periodo</w:t>
            </w:r>
            <w:r w:rsidRPr="00294512">
              <w:rPr>
                <w:rFonts w:ascii="Verdana" w:eastAsia="Calibri" w:hAnsi="Verdana" w:cs="Arial"/>
                <w:sz w:val="16"/>
                <w:szCs w:val="16"/>
                <w:lang w:eastAsia="en-US"/>
              </w:rPr>
              <w:t xml:space="preserve"> base es 20</w:t>
            </w:r>
            <w:r>
              <w:rPr>
                <w:rFonts w:ascii="Verdana" w:eastAsia="Calibri" w:hAnsi="Verdana" w:cs="Arial"/>
                <w:sz w:val="16"/>
                <w:szCs w:val="16"/>
                <w:lang w:eastAsia="en-US"/>
              </w:rPr>
              <w:t>18-III</w:t>
            </w:r>
            <w:r w:rsidRPr="00294512">
              <w:rPr>
                <w:rFonts w:ascii="Verdana" w:eastAsia="Calibri" w:hAnsi="Verdana" w:cs="Arial"/>
                <w:sz w:val="16"/>
                <w:szCs w:val="16"/>
                <w:lang w:eastAsia="en-US"/>
              </w:rPr>
              <w:t>.</w:t>
            </w:r>
          </w:p>
          <w:p w14:paraId="1D9C15CD" w14:textId="0281B4A9" w:rsidR="00BB1809" w:rsidRDefault="00D23310" w:rsidP="00E657D3">
            <w:pPr>
              <w:ind w:left="142" w:right="162"/>
              <w:jc w:val="center"/>
              <w:rPr>
                <w:rFonts w:ascii="Verdana" w:eastAsia="Calibri" w:hAnsi="Verdana" w:cs="Arial"/>
                <w:sz w:val="16"/>
                <w:szCs w:val="16"/>
                <w:lang w:eastAsia="en-US"/>
              </w:rPr>
            </w:pPr>
            <w:r>
              <w:rPr>
                <w:rFonts w:ascii="Verdana" w:eastAsia="Calibri" w:hAnsi="Verdana" w:cs="Arial"/>
                <w:sz w:val="16"/>
                <w:szCs w:val="16"/>
                <w:lang w:eastAsia="en-US"/>
              </w:rPr>
              <w:t xml:space="preserve">Nota 2: </w:t>
            </w:r>
            <w:r w:rsidR="0098606F">
              <w:rPr>
                <w:rFonts w:ascii="Verdana" w:eastAsia="Calibri" w:hAnsi="Verdana" w:cs="Arial"/>
                <w:sz w:val="16"/>
                <w:szCs w:val="16"/>
                <w:lang w:eastAsia="en-US"/>
              </w:rPr>
              <w:t>d</w:t>
            </w:r>
            <w:r>
              <w:rPr>
                <w:rFonts w:ascii="Verdana" w:eastAsia="Calibri" w:hAnsi="Verdana" w:cs="Arial"/>
                <w:sz w:val="16"/>
                <w:szCs w:val="16"/>
                <w:lang w:eastAsia="en-US"/>
              </w:rPr>
              <w:t>ebido a que no existe información de IPVN para Santa Marta se estimó un índice de precios a partir de información de Galería Inmobiliaria.</w:t>
            </w:r>
          </w:p>
          <w:p w14:paraId="14EEB509" w14:textId="77777777" w:rsidR="00BB1809" w:rsidRDefault="00BB1809" w:rsidP="00E657D3">
            <w:pPr>
              <w:ind w:left="142" w:right="162"/>
              <w:jc w:val="center"/>
              <w:rPr>
                <w:rFonts w:ascii="Verdana" w:eastAsia="Calibri" w:hAnsi="Verdana" w:cs="Arial"/>
                <w:lang w:eastAsia="en-US"/>
              </w:rPr>
            </w:pPr>
          </w:p>
          <w:p w14:paraId="24FA577B" w14:textId="3AC85B29" w:rsidR="00A15AE4" w:rsidRDefault="00A15AE4" w:rsidP="00A15AE4">
            <w:pPr>
              <w:ind w:left="142" w:right="162"/>
              <w:jc w:val="both"/>
              <w:rPr>
                <w:rFonts w:ascii="Verdana" w:eastAsia="Calibri" w:hAnsi="Verdana" w:cs="Arial"/>
                <w:lang w:eastAsia="en-US"/>
              </w:rPr>
            </w:pPr>
            <w:r w:rsidRPr="007834DD">
              <w:rPr>
                <w:rFonts w:ascii="Verdana" w:eastAsia="Calibri" w:hAnsi="Verdana" w:cs="Arial"/>
                <w:lang w:eastAsia="en-US"/>
              </w:rPr>
              <w:t xml:space="preserve">Entre el primer trimestre de 2016 y el </w:t>
            </w:r>
            <w:r w:rsidR="008C0827" w:rsidRPr="00D42927">
              <w:rPr>
                <w:rFonts w:ascii="Verdana" w:eastAsia="Calibri" w:hAnsi="Verdana" w:cs="Arial"/>
                <w:lang w:eastAsia="en-US"/>
              </w:rPr>
              <w:t>cuarto</w:t>
            </w:r>
            <w:r w:rsidR="008C0827" w:rsidRPr="007834DD">
              <w:rPr>
                <w:rFonts w:ascii="Verdana" w:eastAsia="Calibri" w:hAnsi="Verdana" w:cs="Arial"/>
                <w:lang w:eastAsia="en-US"/>
              </w:rPr>
              <w:t xml:space="preserve"> </w:t>
            </w:r>
            <w:r w:rsidRPr="007834DD">
              <w:rPr>
                <w:rFonts w:ascii="Verdana" w:eastAsia="Calibri" w:hAnsi="Verdana" w:cs="Arial"/>
                <w:lang w:eastAsia="en-US"/>
              </w:rPr>
              <w:t>trimestre de 2023, en Pereira y Dosquebradas los costos de la construcción de vivienda nueva (ICCV-ICOCED</w:t>
            </w:r>
            <w:r w:rsidR="00E50EE4">
              <w:rPr>
                <w:rFonts w:ascii="Verdana" w:eastAsia="Calibri" w:hAnsi="Verdana" w:cs="Arial"/>
                <w:lang w:eastAsia="en-US"/>
              </w:rPr>
              <w:t xml:space="preserve"> residencial</w:t>
            </w:r>
            <w:r w:rsidRPr="007834DD">
              <w:rPr>
                <w:rFonts w:ascii="Verdana" w:eastAsia="Calibri" w:hAnsi="Verdana" w:cs="Arial"/>
                <w:lang w:eastAsia="en-US"/>
              </w:rPr>
              <w:t>) crecieron 5</w:t>
            </w:r>
            <w:r w:rsidR="005600DD" w:rsidRPr="00D42927">
              <w:rPr>
                <w:rFonts w:ascii="Verdana" w:eastAsia="Calibri" w:hAnsi="Verdana" w:cs="Arial"/>
                <w:lang w:eastAsia="en-US"/>
              </w:rPr>
              <w:t>4</w:t>
            </w:r>
            <w:r w:rsidR="00EA4B33" w:rsidRPr="00D42927">
              <w:rPr>
                <w:rFonts w:ascii="Verdana" w:eastAsia="Calibri" w:hAnsi="Verdana" w:cs="Arial"/>
                <w:lang w:eastAsia="en-US"/>
              </w:rPr>
              <w:t>,1</w:t>
            </w:r>
            <w:r w:rsidRPr="007834DD">
              <w:rPr>
                <w:rFonts w:ascii="Verdana" w:eastAsia="Calibri" w:hAnsi="Verdana" w:cs="Arial"/>
                <w:lang w:eastAsia="en-US"/>
              </w:rPr>
              <w:t>%, mientras que el índice de precios de vivienda nueva (IPVN) creció</w:t>
            </w:r>
            <w:r w:rsidR="00F61035" w:rsidRPr="00D42927">
              <w:rPr>
                <w:rFonts w:ascii="Verdana" w:eastAsia="Calibri" w:hAnsi="Verdana" w:cs="Arial"/>
                <w:lang w:eastAsia="en-US"/>
              </w:rPr>
              <w:t xml:space="preserve"> 112,3</w:t>
            </w:r>
            <w:r w:rsidRPr="007834DD">
              <w:rPr>
                <w:rFonts w:ascii="Verdana" w:eastAsia="Calibri" w:hAnsi="Verdana" w:cs="Arial"/>
                <w:lang w:eastAsia="en-US"/>
              </w:rPr>
              <w:t>%. De manera similar, en la aglomeración de Manizales (que incluye a Manizales y Villamaría), el ICCV-ICOCED</w:t>
            </w:r>
            <w:r w:rsidR="008E68D5">
              <w:rPr>
                <w:rFonts w:ascii="Verdana" w:eastAsia="Calibri" w:hAnsi="Verdana" w:cs="Arial"/>
                <w:lang w:eastAsia="en-US"/>
              </w:rPr>
              <w:t xml:space="preserve"> residencial</w:t>
            </w:r>
            <w:r w:rsidRPr="007834DD">
              <w:rPr>
                <w:rFonts w:ascii="Verdana" w:eastAsia="Calibri" w:hAnsi="Verdana" w:cs="Arial"/>
                <w:lang w:eastAsia="en-US"/>
              </w:rPr>
              <w:t xml:space="preserve"> aumentó 5</w:t>
            </w:r>
            <w:r w:rsidR="00596FD5" w:rsidRPr="00D42927">
              <w:rPr>
                <w:rFonts w:ascii="Verdana" w:eastAsia="Calibri" w:hAnsi="Verdana" w:cs="Arial"/>
                <w:lang w:eastAsia="en-US"/>
              </w:rPr>
              <w:t>4,</w:t>
            </w:r>
            <w:r w:rsidRPr="007834DD">
              <w:rPr>
                <w:rFonts w:ascii="Verdana" w:eastAsia="Calibri" w:hAnsi="Verdana" w:cs="Arial"/>
                <w:lang w:eastAsia="en-US"/>
              </w:rPr>
              <w:t xml:space="preserve">6% mientras que el IPVN se incrementó en </w:t>
            </w:r>
            <w:r w:rsidR="00AE3522" w:rsidRPr="00D42927">
              <w:rPr>
                <w:rFonts w:ascii="Verdana" w:eastAsia="Calibri" w:hAnsi="Verdana" w:cs="Arial"/>
                <w:lang w:eastAsia="en-US"/>
              </w:rPr>
              <w:t>97,9</w:t>
            </w:r>
            <w:r w:rsidRPr="007834DD">
              <w:rPr>
                <w:rFonts w:ascii="Verdana" w:eastAsia="Calibri" w:hAnsi="Verdana" w:cs="Arial"/>
                <w:lang w:eastAsia="en-US"/>
              </w:rPr>
              <w:t>%. En Ibagué, entre 2016-I y 2023-I</w:t>
            </w:r>
            <w:r w:rsidR="00417F82" w:rsidRPr="00D42927">
              <w:rPr>
                <w:rFonts w:ascii="Verdana" w:eastAsia="Calibri" w:hAnsi="Verdana" w:cs="Arial"/>
                <w:lang w:eastAsia="en-US"/>
              </w:rPr>
              <w:t>V</w:t>
            </w:r>
            <w:r w:rsidRPr="007834DD">
              <w:rPr>
                <w:rFonts w:ascii="Verdana" w:eastAsia="Calibri" w:hAnsi="Verdana" w:cs="Arial"/>
                <w:lang w:eastAsia="en-US"/>
              </w:rPr>
              <w:t>, el ICVV-ICOCED</w:t>
            </w:r>
            <w:r w:rsidR="008E68D5">
              <w:rPr>
                <w:rFonts w:ascii="Verdana" w:eastAsia="Calibri" w:hAnsi="Verdana" w:cs="Arial"/>
                <w:lang w:eastAsia="en-US"/>
              </w:rPr>
              <w:t xml:space="preserve"> para edificaciones residenciales</w:t>
            </w:r>
            <w:r w:rsidRPr="007834DD">
              <w:rPr>
                <w:rFonts w:ascii="Verdana" w:eastAsia="Calibri" w:hAnsi="Verdana" w:cs="Arial"/>
                <w:lang w:eastAsia="en-US"/>
              </w:rPr>
              <w:t xml:space="preserve"> creció 4</w:t>
            </w:r>
            <w:r w:rsidR="00A93751" w:rsidRPr="00D42927">
              <w:rPr>
                <w:rFonts w:ascii="Verdana" w:eastAsia="Calibri" w:hAnsi="Verdana" w:cs="Arial"/>
                <w:lang w:eastAsia="en-US"/>
              </w:rPr>
              <w:t>0,4</w:t>
            </w:r>
            <w:r w:rsidRPr="007834DD">
              <w:rPr>
                <w:rFonts w:ascii="Verdana" w:eastAsia="Calibri" w:hAnsi="Verdana" w:cs="Arial"/>
                <w:lang w:eastAsia="en-US"/>
              </w:rPr>
              <w:t xml:space="preserve">% mientras el IPVN se expandió un </w:t>
            </w:r>
            <w:r w:rsidR="00D35752" w:rsidRPr="00D42927">
              <w:rPr>
                <w:rFonts w:ascii="Verdana" w:eastAsia="Calibri" w:hAnsi="Verdana" w:cs="Arial"/>
                <w:lang w:eastAsia="en-US"/>
              </w:rPr>
              <w:t>73,8</w:t>
            </w:r>
            <w:r w:rsidRPr="007834DD">
              <w:rPr>
                <w:rFonts w:ascii="Verdana" w:eastAsia="Calibri" w:hAnsi="Verdana" w:cs="Arial"/>
                <w:lang w:eastAsia="en-US"/>
              </w:rPr>
              <w:t>%. En el caso de Popayán, el IPVN creció 1</w:t>
            </w:r>
            <w:r w:rsidR="00F240FE" w:rsidRPr="00D42927">
              <w:rPr>
                <w:rFonts w:ascii="Verdana" w:eastAsia="Calibri" w:hAnsi="Verdana" w:cs="Arial"/>
                <w:lang w:eastAsia="en-US"/>
              </w:rPr>
              <w:t>1</w:t>
            </w:r>
            <w:r w:rsidR="00CC7AEB" w:rsidRPr="00D42927">
              <w:rPr>
                <w:rFonts w:ascii="Verdana" w:eastAsia="Calibri" w:hAnsi="Verdana" w:cs="Arial"/>
                <w:lang w:eastAsia="en-US"/>
              </w:rPr>
              <w:t>6,1</w:t>
            </w:r>
            <w:r w:rsidRPr="007834DD">
              <w:rPr>
                <w:rFonts w:ascii="Verdana" w:eastAsia="Calibri" w:hAnsi="Verdana" w:cs="Arial"/>
                <w:lang w:eastAsia="en-US"/>
              </w:rPr>
              <w:t>% mientras el ICCV-ICOCED varió 4</w:t>
            </w:r>
            <w:r w:rsidR="006739E3" w:rsidRPr="00D42927">
              <w:rPr>
                <w:rFonts w:ascii="Verdana" w:eastAsia="Calibri" w:hAnsi="Verdana" w:cs="Arial"/>
                <w:lang w:eastAsia="en-US"/>
              </w:rPr>
              <w:t>5,4</w:t>
            </w:r>
            <w:r w:rsidRPr="007834DD">
              <w:rPr>
                <w:rFonts w:ascii="Verdana" w:eastAsia="Calibri" w:hAnsi="Verdana" w:cs="Arial"/>
                <w:lang w:eastAsia="en-US"/>
              </w:rPr>
              <w:t xml:space="preserve">%. Por último, en Santa Marta, ciudad para la cual se cuenta con información desde 2018-III en adelante, el índice de precios de vivienda (IP-GI) </w:t>
            </w:r>
            <w:r w:rsidRPr="001513A9">
              <w:rPr>
                <w:rFonts w:ascii="Verdana" w:eastAsia="Calibri" w:hAnsi="Verdana" w:cs="Arial"/>
                <w:lang w:eastAsia="en-US"/>
              </w:rPr>
              <w:t xml:space="preserve">creció </w:t>
            </w:r>
            <w:r w:rsidR="008A75A4" w:rsidRPr="00D42927">
              <w:rPr>
                <w:rFonts w:ascii="Verdana" w:eastAsia="Calibri" w:hAnsi="Verdana" w:cs="Arial"/>
                <w:lang w:eastAsia="en-US"/>
              </w:rPr>
              <w:t>76,</w:t>
            </w:r>
            <w:r w:rsidR="001513A9" w:rsidRPr="00D42927">
              <w:rPr>
                <w:rFonts w:ascii="Verdana" w:eastAsia="Calibri" w:hAnsi="Verdana" w:cs="Arial"/>
                <w:lang w:eastAsia="en-US"/>
              </w:rPr>
              <w:t>8</w:t>
            </w:r>
            <w:r w:rsidRPr="001513A9">
              <w:rPr>
                <w:rFonts w:ascii="Verdana" w:eastAsia="Calibri" w:hAnsi="Verdana" w:cs="Arial"/>
                <w:lang w:eastAsia="en-US"/>
              </w:rPr>
              <w:t xml:space="preserve">% </w:t>
            </w:r>
            <w:r w:rsidRPr="007834DD">
              <w:rPr>
                <w:rFonts w:ascii="Verdana" w:eastAsia="Calibri" w:hAnsi="Verdana" w:cs="Arial"/>
                <w:lang w:eastAsia="en-US"/>
              </w:rPr>
              <w:t>mientras que el ICCV-ICOCED aumentó 3</w:t>
            </w:r>
            <w:r w:rsidR="00684660" w:rsidRPr="00D42927">
              <w:rPr>
                <w:rFonts w:ascii="Verdana" w:eastAsia="Calibri" w:hAnsi="Verdana" w:cs="Arial"/>
                <w:lang w:eastAsia="en-US"/>
              </w:rPr>
              <w:t>2,2</w:t>
            </w:r>
            <w:r w:rsidRPr="007834DD">
              <w:rPr>
                <w:rFonts w:ascii="Verdana" w:eastAsia="Calibri" w:hAnsi="Verdana" w:cs="Arial"/>
                <w:lang w:eastAsia="en-US"/>
              </w:rPr>
              <w:t>%.</w:t>
            </w:r>
          </w:p>
          <w:p w14:paraId="28A6E05F" w14:textId="77777777" w:rsidR="00A15AE4" w:rsidRDefault="00A15AE4" w:rsidP="00E657D3">
            <w:pPr>
              <w:ind w:left="142" w:right="162"/>
              <w:jc w:val="both"/>
              <w:rPr>
                <w:rFonts w:ascii="Verdana" w:eastAsia="Calibri" w:hAnsi="Verdana" w:cs="Arial"/>
                <w:lang w:eastAsia="en-US"/>
              </w:rPr>
            </w:pPr>
          </w:p>
          <w:p w14:paraId="090DBCBD" w14:textId="6472BB70" w:rsidR="00294512" w:rsidRDefault="00BB1809" w:rsidP="00E657D3">
            <w:pPr>
              <w:ind w:left="142" w:right="162"/>
              <w:jc w:val="both"/>
              <w:rPr>
                <w:rFonts w:ascii="Verdana" w:eastAsia="Calibri" w:hAnsi="Verdana" w:cs="Arial"/>
                <w:lang w:eastAsia="en-US"/>
              </w:rPr>
            </w:pPr>
            <w:r>
              <w:rPr>
                <w:rFonts w:ascii="Verdana" w:eastAsia="Calibri" w:hAnsi="Verdana" w:cs="Arial"/>
                <w:lang w:eastAsia="en-US"/>
              </w:rPr>
              <w:t>Así mismo, estos municipios muestran una alta a</w:t>
            </w:r>
            <w:r w:rsidRPr="00BB1809">
              <w:rPr>
                <w:rFonts w:ascii="Verdana" w:eastAsia="Calibri" w:hAnsi="Verdana" w:cs="Arial"/>
                <w:lang w:eastAsia="en-US"/>
              </w:rPr>
              <w:t>ctividad e</w:t>
            </w:r>
            <w:r w:rsidR="00A15AE4">
              <w:rPr>
                <w:rFonts w:ascii="Verdana" w:eastAsia="Calibri" w:hAnsi="Verdana" w:cs="Arial"/>
                <w:lang w:eastAsia="en-US"/>
              </w:rPr>
              <w:t xml:space="preserve">dificadora </w:t>
            </w:r>
            <w:r w:rsidRPr="00BB1809">
              <w:rPr>
                <w:rFonts w:ascii="Verdana" w:eastAsia="Calibri" w:hAnsi="Verdana" w:cs="Arial"/>
                <w:lang w:eastAsia="en-US"/>
              </w:rPr>
              <w:t>residencial</w:t>
            </w:r>
            <w:r w:rsidR="00A15AE4">
              <w:rPr>
                <w:rFonts w:ascii="Verdana" w:eastAsia="Calibri" w:hAnsi="Verdana" w:cs="Arial"/>
                <w:lang w:eastAsia="en-US"/>
              </w:rPr>
              <w:t>,</w:t>
            </w:r>
            <w:r w:rsidRPr="00BB1809">
              <w:rPr>
                <w:rFonts w:ascii="Verdana" w:eastAsia="Calibri" w:hAnsi="Verdana" w:cs="Arial"/>
                <w:lang w:eastAsia="en-US"/>
              </w:rPr>
              <w:t xml:space="preserve"> </w:t>
            </w:r>
            <w:r>
              <w:rPr>
                <w:rFonts w:ascii="Verdana" w:eastAsia="Calibri" w:hAnsi="Verdana" w:cs="Arial"/>
                <w:lang w:eastAsia="en-US"/>
              </w:rPr>
              <w:t xml:space="preserve">medida </w:t>
            </w:r>
            <w:r w:rsidRPr="00BB1809">
              <w:rPr>
                <w:rFonts w:ascii="Verdana" w:eastAsia="Calibri" w:hAnsi="Verdana" w:cs="Arial"/>
                <w:lang w:eastAsia="en-US"/>
              </w:rPr>
              <w:t>a través de las unidades</w:t>
            </w:r>
            <w:r w:rsidR="00C7313A">
              <w:rPr>
                <w:rFonts w:ascii="Verdana" w:eastAsia="Calibri" w:hAnsi="Verdana" w:cs="Arial"/>
                <w:lang w:eastAsia="en-US"/>
              </w:rPr>
              <w:t xml:space="preserve"> de vivienda de interés social</w:t>
            </w:r>
            <w:r w:rsidRPr="00BB1809">
              <w:rPr>
                <w:rFonts w:ascii="Verdana" w:eastAsia="Calibri" w:hAnsi="Verdana" w:cs="Arial"/>
                <w:lang w:eastAsia="en-US"/>
              </w:rPr>
              <w:t xml:space="preserve"> licenciadas</w:t>
            </w:r>
            <w:r w:rsidR="00C7313A">
              <w:rPr>
                <w:rFonts w:ascii="Verdana" w:eastAsia="Calibri" w:hAnsi="Verdana" w:cs="Arial"/>
                <w:lang w:eastAsia="en-US"/>
              </w:rPr>
              <w:t xml:space="preserve"> provenientes del DANE</w:t>
            </w:r>
            <w:r>
              <w:rPr>
                <w:rFonts w:ascii="Verdana" w:eastAsia="Calibri" w:hAnsi="Verdana" w:cs="Arial"/>
                <w:lang w:eastAsia="en-US"/>
              </w:rPr>
              <w:t>.</w:t>
            </w:r>
            <w:r w:rsidRPr="00BB1809">
              <w:rPr>
                <w:rFonts w:ascii="Verdana" w:eastAsia="Calibri" w:hAnsi="Verdana" w:cs="Arial"/>
                <w:lang w:eastAsia="en-US"/>
              </w:rPr>
              <w:t xml:space="preserve"> Esta medida es una referencia de largo plazo del tamaño y dinámica del mercado de la vivienda VIS</w:t>
            </w:r>
            <w:r>
              <w:rPr>
                <w:rFonts w:ascii="Verdana" w:eastAsia="Calibri" w:hAnsi="Verdana" w:cs="Arial"/>
                <w:lang w:eastAsia="en-US"/>
              </w:rPr>
              <w:t xml:space="preserve">. </w:t>
            </w:r>
          </w:p>
          <w:p w14:paraId="527D5871" w14:textId="77777777" w:rsidR="00BB1809" w:rsidRDefault="00BB1809" w:rsidP="00E657D3">
            <w:pPr>
              <w:ind w:left="142" w:right="162"/>
              <w:jc w:val="both"/>
              <w:rPr>
                <w:rFonts w:ascii="Verdana" w:eastAsia="Calibri" w:hAnsi="Verdana" w:cs="Arial"/>
                <w:lang w:eastAsia="en-US"/>
              </w:rPr>
            </w:pPr>
          </w:p>
          <w:tbl>
            <w:tblPr>
              <w:tblStyle w:val="Tablaconcuadrcula"/>
              <w:tblW w:w="0" w:type="auto"/>
              <w:jc w:val="center"/>
              <w:tblLook w:val="04A0" w:firstRow="1" w:lastRow="0" w:firstColumn="1" w:lastColumn="0" w:noHBand="0" w:noVBand="1"/>
            </w:tblPr>
            <w:tblGrid>
              <w:gridCol w:w="2361"/>
              <w:gridCol w:w="3260"/>
            </w:tblGrid>
            <w:tr w:rsidR="00BB1809" w:rsidRPr="00DB152A" w14:paraId="59C3A0C6" w14:textId="77777777" w:rsidTr="00B86171">
              <w:trPr>
                <w:jc w:val="center"/>
              </w:trPr>
              <w:tc>
                <w:tcPr>
                  <w:tcW w:w="2361" w:type="dxa"/>
                  <w:vAlign w:val="center"/>
                </w:tcPr>
                <w:p w14:paraId="0CB01E5D" w14:textId="77777777" w:rsidR="00BB1809" w:rsidRPr="00DB152A" w:rsidRDefault="00BB1809" w:rsidP="00E657D3">
                  <w:pPr>
                    <w:jc w:val="center"/>
                    <w:rPr>
                      <w:rFonts w:ascii="Verdana" w:eastAsia="Verdana" w:hAnsi="Verdana" w:cstheme="majorHAnsi"/>
                      <w:b/>
                      <w:bCs/>
                    </w:rPr>
                  </w:pPr>
                  <w:r w:rsidRPr="00DB152A">
                    <w:rPr>
                      <w:rFonts w:ascii="Verdana" w:eastAsia="Verdana" w:hAnsi="Verdana" w:cstheme="majorHAnsi"/>
                      <w:b/>
                      <w:bCs/>
                    </w:rPr>
                    <w:t>Municipio</w:t>
                  </w:r>
                </w:p>
              </w:tc>
              <w:tc>
                <w:tcPr>
                  <w:tcW w:w="3260" w:type="dxa"/>
                  <w:vAlign w:val="center"/>
                </w:tcPr>
                <w:p w14:paraId="456F4C01" w14:textId="3F7C1F38" w:rsidR="00BB1809" w:rsidRPr="00DB152A" w:rsidRDefault="00BB1809" w:rsidP="00E657D3">
                  <w:pPr>
                    <w:jc w:val="center"/>
                    <w:rPr>
                      <w:rFonts w:ascii="Verdana" w:eastAsia="Verdana" w:hAnsi="Verdana" w:cstheme="majorHAnsi"/>
                      <w:b/>
                      <w:bCs/>
                    </w:rPr>
                  </w:pPr>
                  <w:r w:rsidRPr="00DB152A">
                    <w:rPr>
                      <w:rFonts w:ascii="Verdana" w:eastAsia="Verdana" w:hAnsi="Verdana" w:cstheme="majorHAnsi"/>
                      <w:b/>
                      <w:bCs/>
                    </w:rPr>
                    <w:t>Unidades VIS licenciadas (ene05 – dic2</w:t>
                  </w:r>
                  <w:r w:rsidR="003016FF">
                    <w:rPr>
                      <w:rFonts w:ascii="Verdana" w:eastAsia="Verdana" w:hAnsi="Verdana" w:cstheme="majorHAnsi"/>
                      <w:b/>
                      <w:bCs/>
                    </w:rPr>
                    <w:t>3</w:t>
                  </w:r>
                  <w:r w:rsidRPr="00DB152A">
                    <w:rPr>
                      <w:rFonts w:ascii="Verdana" w:eastAsia="Verdana" w:hAnsi="Verdana" w:cstheme="majorHAnsi"/>
                      <w:b/>
                      <w:bCs/>
                    </w:rPr>
                    <w:t>)</w:t>
                  </w:r>
                </w:p>
              </w:tc>
            </w:tr>
            <w:tr w:rsidR="00BB1809" w:rsidRPr="00DB152A" w14:paraId="31B312A9" w14:textId="77777777" w:rsidTr="00B86171">
              <w:trPr>
                <w:jc w:val="center"/>
              </w:trPr>
              <w:tc>
                <w:tcPr>
                  <w:tcW w:w="2361" w:type="dxa"/>
                  <w:vAlign w:val="center"/>
                </w:tcPr>
                <w:p w14:paraId="40FBA0AD" w14:textId="1BD54519" w:rsidR="00BB1809" w:rsidRPr="00DB152A" w:rsidRDefault="00BB1809" w:rsidP="00E657D3">
                  <w:pPr>
                    <w:rPr>
                      <w:rFonts w:ascii="Verdana" w:eastAsia="Verdana" w:hAnsi="Verdana" w:cstheme="majorHAnsi"/>
                    </w:rPr>
                  </w:pPr>
                  <w:r w:rsidRPr="00DB152A">
                    <w:rPr>
                      <w:rFonts w:ascii="Verdana" w:eastAsia="Verdana" w:hAnsi="Verdana" w:cstheme="majorHAnsi"/>
                    </w:rPr>
                    <w:t>Pereira</w:t>
                  </w:r>
                </w:p>
              </w:tc>
              <w:tc>
                <w:tcPr>
                  <w:tcW w:w="3260" w:type="dxa"/>
                  <w:vAlign w:val="center"/>
                </w:tcPr>
                <w:p w14:paraId="611304FC" w14:textId="3B1C2D24" w:rsidR="00BB1809" w:rsidRPr="00DB152A" w:rsidRDefault="00DB152A" w:rsidP="00E657D3">
                  <w:pPr>
                    <w:jc w:val="center"/>
                    <w:rPr>
                      <w:rFonts w:ascii="Verdana" w:eastAsia="Verdana" w:hAnsi="Verdana" w:cstheme="majorHAnsi"/>
                    </w:rPr>
                  </w:pPr>
                  <w:r w:rsidRPr="00DB152A">
                    <w:rPr>
                      <w:rFonts w:ascii="Verdana" w:eastAsia="Verdana" w:hAnsi="Verdana" w:cstheme="majorHAnsi"/>
                    </w:rPr>
                    <w:t>3</w:t>
                  </w:r>
                  <w:r w:rsidR="00CA5FA8">
                    <w:rPr>
                      <w:rFonts w:ascii="Verdana" w:eastAsia="Verdana" w:hAnsi="Verdana" w:cstheme="majorHAnsi"/>
                    </w:rPr>
                    <w:t>4</w:t>
                  </w:r>
                  <w:r w:rsidRPr="00DB152A">
                    <w:rPr>
                      <w:rFonts w:ascii="Verdana" w:eastAsia="Verdana" w:hAnsi="Verdana" w:cstheme="majorHAnsi"/>
                    </w:rPr>
                    <w:t>.</w:t>
                  </w:r>
                  <w:r w:rsidR="00CA5FA8">
                    <w:rPr>
                      <w:rFonts w:ascii="Verdana" w:eastAsia="Verdana" w:hAnsi="Verdana" w:cstheme="majorHAnsi"/>
                    </w:rPr>
                    <w:t>786</w:t>
                  </w:r>
                </w:p>
              </w:tc>
            </w:tr>
            <w:tr w:rsidR="00BB1809" w:rsidRPr="00DB152A" w14:paraId="5612A2CB" w14:textId="77777777" w:rsidTr="00B86171">
              <w:trPr>
                <w:jc w:val="center"/>
              </w:trPr>
              <w:tc>
                <w:tcPr>
                  <w:tcW w:w="2361" w:type="dxa"/>
                  <w:vAlign w:val="center"/>
                </w:tcPr>
                <w:p w14:paraId="3DDFB270" w14:textId="74E8F4AF" w:rsidR="00BB1809" w:rsidRPr="00DB152A" w:rsidRDefault="00BB1809" w:rsidP="00E657D3">
                  <w:pPr>
                    <w:rPr>
                      <w:rFonts w:ascii="Verdana" w:eastAsia="Verdana" w:hAnsi="Verdana" w:cstheme="majorHAnsi"/>
                    </w:rPr>
                  </w:pPr>
                  <w:r w:rsidRPr="00DB152A">
                    <w:rPr>
                      <w:rFonts w:ascii="Verdana" w:eastAsia="Verdana" w:hAnsi="Verdana" w:cstheme="majorHAnsi"/>
                    </w:rPr>
                    <w:t>Dosquebradas</w:t>
                  </w:r>
                </w:p>
              </w:tc>
              <w:tc>
                <w:tcPr>
                  <w:tcW w:w="3260" w:type="dxa"/>
                  <w:vAlign w:val="center"/>
                </w:tcPr>
                <w:p w14:paraId="64EC3DFB" w14:textId="42FC912C" w:rsidR="00BB1809" w:rsidRPr="00DB152A" w:rsidRDefault="00DB152A" w:rsidP="00E657D3">
                  <w:pPr>
                    <w:jc w:val="center"/>
                    <w:rPr>
                      <w:rFonts w:ascii="Verdana" w:eastAsia="Verdana" w:hAnsi="Verdana" w:cstheme="majorHAnsi"/>
                    </w:rPr>
                  </w:pPr>
                  <w:r w:rsidRPr="00DB152A">
                    <w:rPr>
                      <w:rFonts w:ascii="Verdana" w:eastAsia="Verdana" w:hAnsi="Verdana" w:cstheme="majorHAnsi"/>
                    </w:rPr>
                    <w:t>19.</w:t>
                  </w:r>
                  <w:r w:rsidR="003C6FF8">
                    <w:rPr>
                      <w:rFonts w:ascii="Verdana" w:eastAsia="Verdana" w:hAnsi="Verdana" w:cstheme="majorHAnsi"/>
                    </w:rPr>
                    <w:t>788</w:t>
                  </w:r>
                </w:p>
              </w:tc>
            </w:tr>
            <w:tr w:rsidR="00BB1809" w:rsidRPr="00DB152A" w14:paraId="6CEA7E3F" w14:textId="77777777" w:rsidTr="00B86171">
              <w:trPr>
                <w:jc w:val="center"/>
              </w:trPr>
              <w:tc>
                <w:tcPr>
                  <w:tcW w:w="2361" w:type="dxa"/>
                  <w:vAlign w:val="center"/>
                </w:tcPr>
                <w:p w14:paraId="23FC3312" w14:textId="476662B8" w:rsidR="00BB1809" w:rsidRPr="00DB152A" w:rsidRDefault="00BB1809" w:rsidP="00E657D3">
                  <w:pPr>
                    <w:rPr>
                      <w:rFonts w:ascii="Verdana" w:eastAsia="Verdana" w:hAnsi="Verdana" w:cstheme="majorHAnsi"/>
                    </w:rPr>
                  </w:pPr>
                  <w:r w:rsidRPr="00DB152A">
                    <w:rPr>
                      <w:rFonts w:ascii="Verdana" w:eastAsia="Verdana" w:hAnsi="Verdana" w:cstheme="majorHAnsi"/>
                    </w:rPr>
                    <w:t>Manizales</w:t>
                  </w:r>
                </w:p>
              </w:tc>
              <w:tc>
                <w:tcPr>
                  <w:tcW w:w="3260" w:type="dxa"/>
                  <w:vAlign w:val="center"/>
                </w:tcPr>
                <w:p w14:paraId="3888A338" w14:textId="14E4193B" w:rsidR="00BB1809" w:rsidRPr="00DB152A" w:rsidRDefault="00DB152A" w:rsidP="00E657D3">
                  <w:pPr>
                    <w:jc w:val="center"/>
                    <w:rPr>
                      <w:rFonts w:ascii="Verdana" w:eastAsia="Verdana" w:hAnsi="Verdana" w:cstheme="majorHAnsi"/>
                    </w:rPr>
                  </w:pPr>
                  <w:r w:rsidRPr="00DB152A">
                    <w:rPr>
                      <w:rFonts w:ascii="Verdana" w:eastAsia="Verdana" w:hAnsi="Verdana" w:cstheme="majorHAnsi"/>
                    </w:rPr>
                    <w:t>1</w:t>
                  </w:r>
                  <w:r w:rsidR="00974B53">
                    <w:rPr>
                      <w:rFonts w:ascii="Verdana" w:eastAsia="Verdana" w:hAnsi="Verdana" w:cstheme="majorHAnsi"/>
                    </w:rPr>
                    <w:t>7</w:t>
                  </w:r>
                  <w:r w:rsidRPr="00DB152A">
                    <w:rPr>
                      <w:rFonts w:ascii="Verdana" w:eastAsia="Verdana" w:hAnsi="Verdana" w:cstheme="majorHAnsi"/>
                    </w:rPr>
                    <w:t>.</w:t>
                  </w:r>
                  <w:r w:rsidR="00974B53">
                    <w:rPr>
                      <w:rFonts w:ascii="Verdana" w:eastAsia="Verdana" w:hAnsi="Verdana" w:cstheme="majorHAnsi"/>
                    </w:rPr>
                    <w:t>186</w:t>
                  </w:r>
                </w:p>
              </w:tc>
            </w:tr>
            <w:tr w:rsidR="00BB1809" w:rsidRPr="00DB152A" w14:paraId="1692F88E" w14:textId="77777777" w:rsidTr="00B86171">
              <w:trPr>
                <w:jc w:val="center"/>
              </w:trPr>
              <w:tc>
                <w:tcPr>
                  <w:tcW w:w="2361" w:type="dxa"/>
                  <w:vAlign w:val="center"/>
                </w:tcPr>
                <w:p w14:paraId="7AFA2E18" w14:textId="3EF84779" w:rsidR="00BB1809" w:rsidRPr="00DB152A" w:rsidRDefault="00BB1809" w:rsidP="00E657D3">
                  <w:pPr>
                    <w:rPr>
                      <w:rFonts w:ascii="Verdana" w:eastAsia="Verdana" w:hAnsi="Verdana" w:cstheme="majorHAnsi"/>
                    </w:rPr>
                  </w:pPr>
                  <w:r w:rsidRPr="00DB152A">
                    <w:rPr>
                      <w:rFonts w:ascii="Verdana" w:eastAsia="Verdana" w:hAnsi="Verdana" w:cstheme="majorHAnsi"/>
                    </w:rPr>
                    <w:t>Villamaría</w:t>
                  </w:r>
                </w:p>
              </w:tc>
              <w:tc>
                <w:tcPr>
                  <w:tcW w:w="3260" w:type="dxa"/>
                  <w:vAlign w:val="center"/>
                </w:tcPr>
                <w:p w14:paraId="7B2005FF" w14:textId="0DA89905" w:rsidR="00BB1809" w:rsidRPr="00DB152A" w:rsidRDefault="00DB152A" w:rsidP="00E657D3">
                  <w:pPr>
                    <w:jc w:val="center"/>
                    <w:rPr>
                      <w:rFonts w:ascii="Verdana" w:eastAsia="Verdana" w:hAnsi="Verdana" w:cstheme="majorHAnsi"/>
                    </w:rPr>
                  </w:pPr>
                  <w:r w:rsidRPr="00DB152A">
                    <w:rPr>
                      <w:rFonts w:ascii="Verdana" w:eastAsia="Verdana" w:hAnsi="Verdana" w:cstheme="majorHAnsi"/>
                    </w:rPr>
                    <w:t>2.</w:t>
                  </w:r>
                  <w:r w:rsidR="000E4D85">
                    <w:rPr>
                      <w:rFonts w:ascii="Verdana" w:eastAsia="Verdana" w:hAnsi="Verdana" w:cstheme="majorHAnsi"/>
                    </w:rPr>
                    <w:t>513</w:t>
                  </w:r>
                </w:p>
              </w:tc>
            </w:tr>
            <w:tr w:rsidR="00BB1809" w:rsidRPr="00DB152A" w14:paraId="34A2F314" w14:textId="77777777" w:rsidTr="00B86171">
              <w:trPr>
                <w:jc w:val="center"/>
              </w:trPr>
              <w:tc>
                <w:tcPr>
                  <w:tcW w:w="2361" w:type="dxa"/>
                  <w:vAlign w:val="center"/>
                </w:tcPr>
                <w:p w14:paraId="0C724739" w14:textId="2F664160" w:rsidR="00BB1809" w:rsidRPr="00DB152A" w:rsidRDefault="00BB1809" w:rsidP="00E657D3">
                  <w:pPr>
                    <w:rPr>
                      <w:rFonts w:ascii="Verdana" w:eastAsia="Verdana" w:hAnsi="Verdana" w:cstheme="majorHAnsi"/>
                    </w:rPr>
                  </w:pPr>
                  <w:r w:rsidRPr="00DB152A">
                    <w:rPr>
                      <w:rFonts w:ascii="Verdana" w:eastAsia="Verdana" w:hAnsi="Verdana" w:cstheme="majorHAnsi"/>
                    </w:rPr>
                    <w:t>Ibagué</w:t>
                  </w:r>
                </w:p>
              </w:tc>
              <w:tc>
                <w:tcPr>
                  <w:tcW w:w="3260" w:type="dxa"/>
                  <w:vAlign w:val="center"/>
                </w:tcPr>
                <w:p w14:paraId="1722FF25" w14:textId="47D211E0" w:rsidR="00BB1809" w:rsidRPr="00DB152A" w:rsidRDefault="00E21059" w:rsidP="00E657D3">
                  <w:pPr>
                    <w:jc w:val="center"/>
                    <w:rPr>
                      <w:rFonts w:ascii="Verdana" w:eastAsia="Verdana" w:hAnsi="Verdana" w:cstheme="majorHAnsi"/>
                    </w:rPr>
                  </w:pPr>
                  <w:r>
                    <w:rPr>
                      <w:rFonts w:ascii="Verdana" w:eastAsia="Verdana" w:hAnsi="Verdana" w:cstheme="majorHAnsi"/>
                    </w:rPr>
                    <w:t>60</w:t>
                  </w:r>
                  <w:r w:rsidR="00DB152A" w:rsidRPr="00DB152A">
                    <w:rPr>
                      <w:rFonts w:ascii="Verdana" w:eastAsia="Verdana" w:hAnsi="Verdana" w:cstheme="majorHAnsi"/>
                    </w:rPr>
                    <w:t>.</w:t>
                  </w:r>
                  <w:r>
                    <w:rPr>
                      <w:rFonts w:ascii="Verdana" w:eastAsia="Verdana" w:hAnsi="Verdana" w:cstheme="majorHAnsi"/>
                    </w:rPr>
                    <w:t>443</w:t>
                  </w:r>
                </w:p>
              </w:tc>
            </w:tr>
            <w:tr w:rsidR="00BB1809" w:rsidRPr="00DB152A" w14:paraId="32438924" w14:textId="77777777" w:rsidTr="00B86171">
              <w:trPr>
                <w:jc w:val="center"/>
              </w:trPr>
              <w:tc>
                <w:tcPr>
                  <w:tcW w:w="2361" w:type="dxa"/>
                  <w:vAlign w:val="center"/>
                </w:tcPr>
                <w:p w14:paraId="49CFFBA0" w14:textId="4DA90550" w:rsidR="00BB1809" w:rsidRPr="00DB152A" w:rsidRDefault="00BB1809" w:rsidP="00E657D3">
                  <w:pPr>
                    <w:rPr>
                      <w:rFonts w:ascii="Verdana" w:eastAsia="Verdana" w:hAnsi="Verdana" w:cstheme="majorHAnsi"/>
                    </w:rPr>
                  </w:pPr>
                  <w:r w:rsidRPr="00DB152A">
                    <w:rPr>
                      <w:rFonts w:ascii="Verdana" w:eastAsia="Verdana" w:hAnsi="Verdana" w:cstheme="majorHAnsi"/>
                    </w:rPr>
                    <w:t>Popayán</w:t>
                  </w:r>
                </w:p>
              </w:tc>
              <w:tc>
                <w:tcPr>
                  <w:tcW w:w="3260" w:type="dxa"/>
                  <w:vAlign w:val="center"/>
                </w:tcPr>
                <w:p w14:paraId="4AF4F40E" w14:textId="6104907F" w:rsidR="00BB1809" w:rsidRPr="00DB152A" w:rsidRDefault="00DB152A" w:rsidP="00E657D3">
                  <w:pPr>
                    <w:jc w:val="center"/>
                    <w:rPr>
                      <w:rFonts w:ascii="Verdana" w:eastAsia="Verdana" w:hAnsi="Verdana" w:cstheme="majorHAnsi"/>
                    </w:rPr>
                  </w:pPr>
                  <w:r w:rsidRPr="00DB152A">
                    <w:rPr>
                      <w:rFonts w:ascii="Verdana" w:eastAsia="Verdana" w:hAnsi="Verdana" w:cstheme="majorHAnsi"/>
                    </w:rPr>
                    <w:t>15.</w:t>
                  </w:r>
                  <w:r w:rsidR="00AB1EA1">
                    <w:rPr>
                      <w:rFonts w:ascii="Verdana" w:eastAsia="Verdana" w:hAnsi="Verdana" w:cstheme="majorHAnsi"/>
                    </w:rPr>
                    <w:t>933</w:t>
                  </w:r>
                </w:p>
              </w:tc>
            </w:tr>
            <w:tr w:rsidR="00BB1809" w:rsidRPr="00DB152A" w14:paraId="415AA3A1" w14:textId="77777777" w:rsidTr="00B86171">
              <w:trPr>
                <w:jc w:val="center"/>
              </w:trPr>
              <w:tc>
                <w:tcPr>
                  <w:tcW w:w="2361" w:type="dxa"/>
                  <w:vAlign w:val="center"/>
                </w:tcPr>
                <w:p w14:paraId="41E5B0EC" w14:textId="7713335F" w:rsidR="00BB1809" w:rsidRPr="00DB152A" w:rsidRDefault="00BB1809" w:rsidP="00E657D3">
                  <w:pPr>
                    <w:rPr>
                      <w:rFonts w:ascii="Verdana" w:eastAsia="Verdana" w:hAnsi="Verdana" w:cstheme="majorHAnsi"/>
                    </w:rPr>
                  </w:pPr>
                  <w:r w:rsidRPr="00DB152A">
                    <w:rPr>
                      <w:rFonts w:ascii="Verdana" w:eastAsia="Verdana" w:hAnsi="Verdana" w:cstheme="majorHAnsi"/>
                    </w:rPr>
                    <w:t>Santa Marta</w:t>
                  </w:r>
                </w:p>
              </w:tc>
              <w:tc>
                <w:tcPr>
                  <w:tcW w:w="3260" w:type="dxa"/>
                  <w:vAlign w:val="center"/>
                </w:tcPr>
                <w:p w14:paraId="23C1154B" w14:textId="2C851052" w:rsidR="00BB1809" w:rsidRPr="00DB152A" w:rsidRDefault="00DB152A" w:rsidP="00E657D3">
                  <w:pPr>
                    <w:jc w:val="center"/>
                    <w:rPr>
                      <w:rFonts w:ascii="Verdana" w:eastAsia="Verdana" w:hAnsi="Verdana" w:cstheme="majorHAnsi"/>
                    </w:rPr>
                  </w:pPr>
                  <w:r w:rsidRPr="00DB152A">
                    <w:rPr>
                      <w:rFonts w:ascii="Verdana" w:eastAsia="Verdana" w:hAnsi="Verdana" w:cstheme="majorHAnsi"/>
                    </w:rPr>
                    <w:t>2</w:t>
                  </w:r>
                  <w:r w:rsidR="00430ED9">
                    <w:rPr>
                      <w:rFonts w:ascii="Verdana" w:eastAsia="Verdana" w:hAnsi="Verdana" w:cstheme="majorHAnsi"/>
                    </w:rPr>
                    <w:t>2</w:t>
                  </w:r>
                  <w:r w:rsidRPr="00DB152A">
                    <w:rPr>
                      <w:rFonts w:ascii="Verdana" w:eastAsia="Verdana" w:hAnsi="Verdana" w:cstheme="majorHAnsi"/>
                    </w:rPr>
                    <w:t>.</w:t>
                  </w:r>
                  <w:r w:rsidR="00430ED9">
                    <w:rPr>
                      <w:rFonts w:ascii="Verdana" w:eastAsia="Verdana" w:hAnsi="Verdana" w:cstheme="majorHAnsi"/>
                    </w:rPr>
                    <w:t>435</w:t>
                  </w:r>
                </w:p>
              </w:tc>
            </w:tr>
          </w:tbl>
          <w:p w14:paraId="1962E259" w14:textId="77777777" w:rsidR="00B86171" w:rsidRDefault="00B86171" w:rsidP="00E657D3">
            <w:pPr>
              <w:ind w:left="142" w:right="162"/>
              <w:jc w:val="center"/>
              <w:rPr>
                <w:rFonts w:ascii="Verdana" w:eastAsia="Calibri" w:hAnsi="Verdana" w:cs="Arial"/>
                <w:sz w:val="16"/>
                <w:szCs w:val="16"/>
                <w:lang w:eastAsia="en-US"/>
              </w:rPr>
            </w:pPr>
            <w:r w:rsidRPr="0067436F">
              <w:rPr>
                <w:rFonts w:ascii="Verdana" w:eastAsia="Calibri" w:hAnsi="Verdana" w:cs="Arial"/>
                <w:sz w:val="16"/>
                <w:szCs w:val="16"/>
                <w:lang w:eastAsia="en-US"/>
              </w:rPr>
              <w:t>Fuente: DANE, elaboración Ministerio de Vivienda, Ciudad y Territorio.</w:t>
            </w:r>
          </w:p>
          <w:p w14:paraId="7E8EAB7D" w14:textId="77777777" w:rsidR="00B86171" w:rsidRDefault="00B86171" w:rsidP="00E657D3">
            <w:pPr>
              <w:ind w:left="142" w:right="162"/>
              <w:jc w:val="both"/>
              <w:rPr>
                <w:rFonts w:asciiTheme="majorHAnsi" w:eastAsia="Verdana" w:hAnsiTheme="majorHAnsi" w:cstheme="majorHAnsi"/>
                <w:sz w:val="22"/>
                <w:szCs w:val="22"/>
              </w:rPr>
            </w:pPr>
          </w:p>
          <w:p w14:paraId="75115750" w14:textId="77777777" w:rsidR="00A15AE4" w:rsidRDefault="00A15AE4" w:rsidP="00E657D3">
            <w:pPr>
              <w:ind w:left="142" w:right="162"/>
              <w:jc w:val="both"/>
              <w:rPr>
                <w:rFonts w:ascii="Verdana" w:eastAsia="Calibri" w:hAnsi="Verdana" w:cs="Arial"/>
                <w:lang w:eastAsia="en-US"/>
              </w:rPr>
            </w:pPr>
          </w:p>
          <w:p w14:paraId="79765FA5" w14:textId="648FB3D0" w:rsidR="0026695A" w:rsidRDefault="00692086" w:rsidP="00E657D3">
            <w:pPr>
              <w:ind w:left="142" w:right="162"/>
              <w:jc w:val="both"/>
              <w:rPr>
                <w:rFonts w:ascii="Verdana" w:eastAsia="Calibri" w:hAnsi="Verdana" w:cs="Arial"/>
                <w:lang w:eastAsia="en-US"/>
              </w:rPr>
            </w:pPr>
            <w:r>
              <w:rPr>
                <w:rFonts w:ascii="Verdana" w:eastAsia="Calibri" w:hAnsi="Verdana" w:cs="Arial"/>
                <w:lang w:eastAsia="en-US"/>
              </w:rPr>
              <w:t>En ese sentido,</w:t>
            </w:r>
            <w:r w:rsidR="000A5246">
              <w:rPr>
                <w:rFonts w:ascii="Verdana" w:eastAsia="Calibri" w:hAnsi="Verdana" w:cs="Arial"/>
                <w:lang w:eastAsia="en-US"/>
              </w:rPr>
              <w:t xml:space="preserve"> d</w:t>
            </w:r>
            <w:r w:rsidR="000A5246" w:rsidRPr="004C5C43">
              <w:rPr>
                <w:rFonts w:ascii="Verdana" w:eastAsia="Calibri" w:hAnsi="Verdana" w:cs="Arial"/>
                <w:lang w:eastAsia="en-US"/>
              </w:rPr>
              <w:t xml:space="preserve">ebido a la creciente presión en el valor del suelo en </w:t>
            </w:r>
            <w:r w:rsidR="000A5246">
              <w:rPr>
                <w:rFonts w:ascii="Verdana" w:eastAsia="Calibri" w:hAnsi="Verdana" w:cs="Arial"/>
                <w:lang w:eastAsia="en-US"/>
              </w:rPr>
              <w:t>los municipios de Pereira, Dosquebradas, Manizales, Villamaría, Ibagué, Popayán y Santa Marta, lo cual genera</w:t>
            </w:r>
            <w:r w:rsidR="000A5246" w:rsidRPr="004C5C43">
              <w:rPr>
                <w:rFonts w:ascii="Verdana" w:eastAsia="Calibri" w:hAnsi="Verdana" w:cs="Arial"/>
                <w:lang w:eastAsia="en-US"/>
              </w:rPr>
              <w:t xml:space="preserve"> un impacto negativo en la </w:t>
            </w:r>
            <w:r w:rsidR="000A5246">
              <w:rPr>
                <w:rFonts w:ascii="Verdana" w:eastAsia="Calibri" w:hAnsi="Verdana" w:cs="Arial"/>
                <w:lang w:eastAsia="en-US"/>
              </w:rPr>
              <w:t>generación de VIS,</w:t>
            </w:r>
            <w:r w:rsidR="000A5246" w:rsidRPr="004C5C43">
              <w:rPr>
                <w:rFonts w:ascii="Verdana" w:eastAsia="Calibri" w:hAnsi="Verdana" w:cs="Arial"/>
                <w:lang w:eastAsia="en-US"/>
              </w:rPr>
              <w:t xml:space="preserve"> </w:t>
            </w:r>
            <w:r w:rsidR="000A5246">
              <w:rPr>
                <w:rFonts w:ascii="Verdana" w:eastAsia="Calibri" w:hAnsi="Verdana" w:cs="Arial"/>
                <w:lang w:eastAsia="en-US"/>
              </w:rPr>
              <w:t>e</w:t>
            </w:r>
            <w:r w:rsidR="000A5246" w:rsidRPr="00B86171">
              <w:rPr>
                <w:rFonts w:ascii="Verdana" w:eastAsia="Calibri" w:hAnsi="Verdana" w:cs="Arial"/>
                <w:lang w:eastAsia="en-US"/>
              </w:rPr>
              <w:t xml:space="preserve">l Ministerio de Vivienda, Ciudad y Territorio </w:t>
            </w:r>
            <w:r w:rsidR="000A5246">
              <w:rPr>
                <w:rFonts w:ascii="Verdana" w:eastAsia="Calibri" w:hAnsi="Verdana" w:cs="Arial"/>
                <w:lang w:eastAsia="en-US"/>
              </w:rPr>
              <w:t xml:space="preserve">considera necesario </w:t>
            </w:r>
            <w:r w:rsidR="000A5246" w:rsidRPr="00B86171">
              <w:rPr>
                <w:rFonts w:ascii="Verdana" w:eastAsia="Calibri" w:hAnsi="Verdana" w:cs="Arial"/>
                <w:lang w:eastAsia="en-US"/>
              </w:rPr>
              <w:t>establece</w:t>
            </w:r>
            <w:r w:rsidR="000A5246">
              <w:rPr>
                <w:rFonts w:ascii="Verdana" w:eastAsia="Calibri" w:hAnsi="Verdana" w:cs="Arial"/>
                <w:lang w:eastAsia="en-US"/>
              </w:rPr>
              <w:t>r</w:t>
            </w:r>
            <w:r w:rsidR="000A5246" w:rsidRPr="00B86171">
              <w:rPr>
                <w:rFonts w:ascii="Verdana" w:eastAsia="Calibri" w:hAnsi="Verdana" w:cs="Arial"/>
                <w:lang w:eastAsia="en-US"/>
              </w:rPr>
              <w:t xml:space="preserve"> el </w:t>
            </w:r>
            <w:r w:rsidR="00A15AE4">
              <w:rPr>
                <w:rFonts w:ascii="Verdana" w:eastAsia="Calibri" w:hAnsi="Verdana" w:cs="Arial"/>
                <w:lang w:eastAsia="en-US"/>
              </w:rPr>
              <w:t>valor</w:t>
            </w:r>
            <w:r w:rsidR="000A5246">
              <w:rPr>
                <w:rFonts w:ascii="Verdana" w:eastAsia="Calibri" w:hAnsi="Verdana" w:cs="Arial"/>
                <w:lang w:eastAsia="en-US"/>
              </w:rPr>
              <w:t xml:space="preserve"> excepcional para</w:t>
            </w:r>
            <w:r w:rsidR="00A15AE4">
              <w:rPr>
                <w:rFonts w:ascii="Verdana" w:eastAsia="Calibri" w:hAnsi="Verdana" w:cs="Arial"/>
                <w:lang w:eastAsia="en-US"/>
              </w:rPr>
              <w:t xml:space="preserve"> la vivienda de interés social</w:t>
            </w:r>
            <w:r w:rsidR="000A5246">
              <w:rPr>
                <w:rFonts w:ascii="Verdana" w:eastAsia="Calibri" w:hAnsi="Verdana" w:cs="Arial"/>
                <w:lang w:eastAsia="en-US"/>
              </w:rPr>
              <w:t xml:space="preserve"> de</w:t>
            </w:r>
            <w:r w:rsidR="00A15AE4">
              <w:rPr>
                <w:rFonts w:ascii="Verdana" w:eastAsia="Calibri" w:hAnsi="Verdana" w:cs="Arial"/>
                <w:lang w:eastAsia="en-US"/>
              </w:rPr>
              <w:t xml:space="preserve"> ciento cincuenta</w:t>
            </w:r>
            <w:r w:rsidR="000A5246" w:rsidRPr="00B86171">
              <w:rPr>
                <w:rFonts w:ascii="Verdana" w:eastAsia="Calibri" w:hAnsi="Verdana" w:cs="Arial"/>
                <w:lang w:eastAsia="en-US"/>
              </w:rPr>
              <w:t xml:space="preserve"> (150) salarios mínimos mensuales legales vigentes</w:t>
            </w:r>
            <w:r w:rsidR="000A5246">
              <w:rPr>
                <w:rFonts w:ascii="Verdana" w:eastAsia="Calibri" w:hAnsi="Verdana" w:cs="Arial"/>
                <w:lang w:eastAsia="en-US"/>
              </w:rPr>
              <w:t xml:space="preserve"> para estos municipios, conforme al literal </w:t>
            </w:r>
            <w:r w:rsidR="00A15AE4">
              <w:rPr>
                <w:rFonts w:ascii="Verdana" w:eastAsia="Calibri" w:hAnsi="Verdana" w:cs="Arial"/>
                <w:lang w:eastAsia="en-US"/>
              </w:rPr>
              <w:t>B</w:t>
            </w:r>
            <w:r w:rsidR="000A5246">
              <w:rPr>
                <w:rFonts w:ascii="Verdana" w:eastAsia="Calibri" w:hAnsi="Verdana" w:cs="Arial"/>
                <w:lang w:eastAsia="en-US"/>
              </w:rPr>
              <w:t xml:space="preserve">) del artículo 293 de la Ley 2294 de 2023. </w:t>
            </w:r>
            <w:r w:rsidR="00E80C58">
              <w:rPr>
                <w:rFonts w:ascii="Verdana" w:eastAsia="Calibri" w:hAnsi="Verdana" w:cs="Arial"/>
                <w:lang w:eastAsia="en-US"/>
              </w:rPr>
              <w:t xml:space="preserve">Dicho valor se establecería entonces para los municipios que se detallan a continuación. </w:t>
            </w:r>
          </w:p>
          <w:p w14:paraId="311AF7D9" w14:textId="77777777" w:rsidR="00692086" w:rsidRDefault="00692086" w:rsidP="00E657D3">
            <w:pPr>
              <w:ind w:left="142" w:right="162"/>
              <w:jc w:val="both"/>
              <w:rPr>
                <w:rFonts w:ascii="Verdana" w:eastAsia="Calibri" w:hAnsi="Verdana" w:cs="Arial"/>
                <w:lang w:eastAsia="en-US"/>
              </w:rPr>
            </w:pPr>
          </w:p>
          <w:p w14:paraId="45321A78" w14:textId="4096EFB2" w:rsidR="000A5246" w:rsidRDefault="000A5246" w:rsidP="00E657D3">
            <w:pPr>
              <w:ind w:left="142" w:right="162"/>
              <w:jc w:val="both"/>
              <w:rPr>
                <w:rFonts w:ascii="Verdana" w:eastAsia="Calibri" w:hAnsi="Verdana" w:cs="Arial"/>
                <w:lang w:eastAsia="en-US"/>
              </w:rPr>
            </w:pPr>
            <w:r w:rsidRPr="00BA5F3B">
              <w:rPr>
                <w:rFonts w:ascii="Verdana" w:eastAsia="Calibri" w:hAnsi="Verdana" w:cs="Arial"/>
                <w:lang w:eastAsia="en-US"/>
              </w:rPr>
              <w:t xml:space="preserve"> </w:t>
            </w:r>
          </w:p>
          <w:tbl>
            <w:tblPr>
              <w:tblW w:w="918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7"/>
              <w:gridCol w:w="5914"/>
            </w:tblGrid>
            <w:tr w:rsidR="0026695A" w:rsidRPr="00B86171" w14:paraId="26186450" w14:textId="77777777" w:rsidTr="0026695A">
              <w:trPr>
                <w:trHeight w:val="105"/>
                <w:tblCellSpacing w:w="0" w:type="dxa"/>
                <w:jc w:val="center"/>
              </w:trPr>
              <w:tc>
                <w:tcPr>
                  <w:tcW w:w="3267" w:type="dxa"/>
                  <w:tcBorders>
                    <w:top w:val="outset" w:sz="6" w:space="0" w:color="000000"/>
                    <w:left w:val="outset" w:sz="6" w:space="0" w:color="000000"/>
                    <w:bottom w:val="outset" w:sz="6" w:space="0" w:color="auto"/>
                    <w:right w:val="outset" w:sz="6" w:space="0" w:color="000000"/>
                  </w:tcBorders>
                  <w:vAlign w:val="center"/>
                  <w:hideMark/>
                </w:tcPr>
                <w:p w14:paraId="45E2021A" w14:textId="77777777" w:rsidR="0026695A" w:rsidRPr="00B86171" w:rsidRDefault="0026695A" w:rsidP="00E657D3">
                  <w:pPr>
                    <w:jc w:val="center"/>
                    <w:rPr>
                      <w:rFonts w:ascii="Verdana" w:hAnsi="Verdana" w:cs="Arial"/>
                      <w:color w:val="000000"/>
                    </w:rPr>
                  </w:pPr>
                  <w:r w:rsidRPr="00B86171">
                    <w:rPr>
                      <w:rFonts w:ascii="Verdana" w:hAnsi="Verdana" w:cs="Arial"/>
                      <w:b/>
                      <w:bCs/>
                      <w:color w:val="000000"/>
                    </w:rPr>
                    <w:t>Aglomeración o ciudad funcional</w:t>
                  </w:r>
                </w:p>
              </w:tc>
              <w:tc>
                <w:tcPr>
                  <w:tcW w:w="5914" w:type="dxa"/>
                  <w:tcBorders>
                    <w:top w:val="outset" w:sz="6" w:space="0" w:color="000000"/>
                    <w:left w:val="outset" w:sz="6" w:space="0" w:color="auto"/>
                    <w:bottom w:val="outset" w:sz="6" w:space="0" w:color="auto"/>
                    <w:right w:val="outset" w:sz="6" w:space="0" w:color="000000"/>
                  </w:tcBorders>
                  <w:vAlign w:val="center"/>
                  <w:hideMark/>
                </w:tcPr>
                <w:p w14:paraId="0A77843A" w14:textId="77777777" w:rsidR="0026695A" w:rsidRPr="00B86171" w:rsidRDefault="0026695A" w:rsidP="00E657D3">
                  <w:pPr>
                    <w:jc w:val="center"/>
                    <w:rPr>
                      <w:rFonts w:ascii="Verdana" w:hAnsi="Verdana" w:cs="Arial"/>
                      <w:color w:val="000000"/>
                    </w:rPr>
                  </w:pPr>
                  <w:r w:rsidRPr="00B86171">
                    <w:rPr>
                      <w:rFonts w:ascii="Verdana" w:hAnsi="Verdana" w:cs="Arial"/>
                      <w:b/>
                      <w:bCs/>
                      <w:color w:val="000000"/>
                    </w:rPr>
                    <w:t>Municipios </w:t>
                  </w:r>
                  <w:r w:rsidRPr="00B86171">
                    <w:rPr>
                      <w:rFonts w:ascii="Verdana" w:hAnsi="Verdana" w:cs="Arial"/>
                      <w:color w:val="000000"/>
                    </w:rPr>
                    <w:t> </w:t>
                  </w:r>
                </w:p>
              </w:tc>
            </w:tr>
            <w:tr w:rsidR="0026695A" w:rsidRPr="00B86171" w14:paraId="0DF901EE" w14:textId="77777777" w:rsidTr="0026695A">
              <w:trPr>
                <w:trHeight w:val="210"/>
                <w:tblCellSpacing w:w="0" w:type="dxa"/>
                <w:jc w:val="center"/>
              </w:trPr>
              <w:tc>
                <w:tcPr>
                  <w:tcW w:w="3267" w:type="dxa"/>
                  <w:tcBorders>
                    <w:top w:val="outset" w:sz="6" w:space="0" w:color="000000"/>
                    <w:left w:val="outset" w:sz="6" w:space="0" w:color="000000"/>
                    <w:bottom w:val="outset" w:sz="6" w:space="0" w:color="auto"/>
                    <w:right w:val="outset" w:sz="6" w:space="0" w:color="000000"/>
                  </w:tcBorders>
                  <w:vAlign w:val="center"/>
                  <w:hideMark/>
                </w:tcPr>
                <w:p w14:paraId="10CD103B"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Bogotá </w:t>
                  </w:r>
                </w:p>
                <w:p w14:paraId="25F45FA2"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(14 municipios) </w:t>
                  </w:r>
                </w:p>
              </w:tc>
              <w:tc>
                <w:tcPr>
                  <w:tcW w:w="5914" w:type="dxa"/>
                  <w:tcBorders>
                    <w:top w:val="outset" w:sz="6" w:space="0" w:color="000000"/>
                    <w:left w:val="outset" w:sz="6" w:space="0" w:color="auto"/>
                    <w:bottom w:val="outset" w:sz="6" w:space="0" w:color="auto"/>
                    <w:right w:val="outset" w:sz="6" w:space="0" w:color="000000"/>
                  </w:tcBorders>
                  <w:vAlign w:val="center"/>
                  <w:hideMark/>
                </w:tcPr>
                <w:p w14:paraId="2B05862C"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Bogotá, Cajicá, Chía, Cota, Facatativá, Funza, La Calera, Madrid, Mosquera, Sibaté, Soacha, Tabio, Tocancipá, Zipaquirá </w:t>
                  </w:r>
                </w:p>
              </w:tc>
            </w:tr>
            <w:tr w:rsidR="0026695A" w:rsidRPr="00B86171" w14:paraId="1BB582BC" w14:textId="77777777" w:rsidTr="0026695A">
              <w:trPr>
                <w:trHeight w:val="210"/>
                <w:tblCellSpacing w:w="0" w:type="dxa"/>
                <w:jc w:val="center"/>
              </w:trPr>
              <w:tc>
                <w:tcPr>
                  <w:tcW w:w="3267" w:type="dxa"/>
                  <w:tcBorders>
                    <w:top w:val="outset" w:sz="6" w:space="0" w:color="000000"/>
                    <w:left w:val="outset" w:sz="6" w:space="0" w:color="000000"/>
                    <w:bottom w:val="outset" w:sz="6" w:space="0" w:color="000000"/>
                    <w:right w:val="outset" w:sz="6" w:space="0" w:color="000000"/>
                  </w:tcBorders>
                  <w:vAlign w:val="center"/>
                  <w:hideMark/>
                </w:tcPr>
                <w:p w14:paraId="24CBC6ED"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Medellín </w:t>
                  </w:r>
                </w:p>
                <w:p w14:paraId="389B462B"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(9 municipios) </w:t>
                  </w:r>
                </w:p>
              </w:tc>
              <w:tc>
                <w:tcPr>
                  <w:tcW w:w="5914" w:type="dxa"/>
                  <w:tcBorders>
                    <w:top w:val="outset" w:sz="6" w:space="0" w:color="000000"/>
                    <w:left w:val="outset" w:sz="6" w:space="0" w:color="auto"/>
                    <w:bottom w:val="outset" w:sz="6" w:space="0" w:color="000000"/>
                    <w:right w:val="outset" w:sz="6" w:space="0" w:color="000000"/>
                  </w:tcBorders>
                  <w:vAlign w:val="center"/>
                  <w:hideMark/>
                </w:tcPr>
                <w:p w14:paraId="37DFB1D1"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Bello, Caldas, Copacabana, Envigado, Girardota, Itagüí, La Estrella, Medellín, Sabaneta </w:t>
                  </w:r>
                </w:p>
              </w:tc>
            </w:tr>
            <w:tr w:rsidR="0026695A" w:rsidRPr="00B86171" w14:paraId="0F22A6CB" w14:textId="77777777" w:rsidTr="0026695A">
              <w:trPr>
                <w:trHeight w:val="210"/>
                <w:tblCellSpacing w:w="0" w:type="dxa"/>
                <w:jc w:val="center"/>
              </w:trPr>
              <w:tc>
                <w:tcPr>
                  <w:tcW w:w="3267" w:type="dxa"/>
                  <w:tcBorders>
                    <w:top w:val="outset" w:sz="6" w:space="0" w:color="auto"/>
                    <w:left w:val="outset" w:sz="6" w:space="0" w:color="000000"/>
                    <w:bottom w:val="outset" w:sz="6" w:space="0" w:color="000000"/>
                    <w:right w:val="outset" w:sz="6" w:space="0" w:color="000000"/>
                  </w:tcBorders>
                  <w:vAlign w:val="center"/>
                  <w:hideMark/>
                </w:tcPr>
                <w:p w14:paraId="1D6517AD"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Cali </w:t>
                  </w:r>
                </w:p>
                <w:p w14:paraId="4A4A1639"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(5 municipios) </w:t>
                  </w:r>
                </w:p>
              </w:tc>
              <w:tc>
                <w:tcPr>
                  <w:tcW w:w="5914" w:type="dxa"/>
                  <w:tcBorders>
                    <w:top w:val="outset" w:sz="6" w:space="0" w:color="auto"/>
                    <w:left w:val="outset" w:sz="6" w:space="0" w:color="auto"/>
                    <w:bottom w:val="outset" w:sz="6" w:space="0" w:color="000000"/>
                    <w:right w:val="outset" w:sz="6" w:space="0" w:color="000000"/>
                  </w:tcBorders>
                  <w:vAlign w:val="center"/>
                  <w:hideMark/>
                </w:tcPr>
                <w:p w14:paraId="17436266"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Cali, Candelaria, Jamundí, Puerto Tejada, Yumbo </w:t>
                  </w:r>
                </w:p>
              </w:tc>
            </w:tr>
            <w:tr w:rsidR="0026695A" w:rsidRPr="00B86171" w14:paraId="59787ACD" w14:textId="77777777" w:rsidTr="0026695A">
              <w:trPr>
                <w:trHeight w:val="210"/>
                <w:tblCellSpacing w:w="0" w:type="dxa"/>
                <w:jc w:val="center"/>
              </w:trPr>
              <w:tc>
                <w:tcPr>
                  <w:tcW w:w="3267" w:type="dxa"/>
                  <w:tcBorders>
                    <w:top w:val="outset" w:sz="6" w:space="0" w:color="auto"/>
                    <w:left w:val="outset" w:sz="6" w:space="0" w:color="000000"/>
                    <w:bottom w:val="outset" w:sz="6" w:space="0" w:color="auto"/>
                    <w:right w:val="outset" w:sz="6" w:space="0" w:color="000000"/>
                  </w:tcBorders>
                  <w:vAlign w:val="center"/>
                  <w:hideMark/>
                </w:tcPr>
                <w:p w14:paraId="3F657504"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Barranquilla </w:t>
                  </w:r>
                </w:p>
                <w:p w14:paraId="3246E7EE"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(10 municipios) </w:t>
                  </w:r>
                </w:p>
              </w:tc>
              <w:tc>
                <w:tcPr>
                  <w:tcW w:w="5914" w:type="dxa"/>
                  <w:tcBorders>
                    <w:top w:val="outset" w:sz="6" w:space="0" w:color="auto"/>
                    <w:left w:val="outset" w:sz="6" w:space="0" w:color="auto"/>
                    <w:bottom w:val="outset" w:sz="6" w:space="0" w:color="auto"/>
                    <w:right w:val="outset" w:sz="6" w:space="0" w:color="000000"/>
                  </w:tcBorders>
                  <w:vAlign w:val="center"/>
                  <w:hideMark/>
                </w:tcPr>
                <w:p w14:paraId="653C6841"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 xml:space="preserve">Barranquilla, Galapa, Malambo, Palmar de Varela, Ponedera, Sabanagrande, Sabanalarga, Santo Tomás, </w:t>
                  </w:r>
                  <w:proofErr w:type="spellStart"/>
                  <w:r w:rsidRPr="00B86171">
                    <w:rPr>
                      <w:rFonts w:ascii="Verdana" w:hAnsi="Verdana" w:cs="Arial"/>
                      <w:color w:val="000000"/>
                    </w:rPr>
                    <w:t>Sitionuevo</w:t>
                  </w:r>
                  <w:proofErr w:type="spellEnd"/>
                  <w:r w:rsidRPr="00B86171">
                    <w:rPr>
                      <w:rFonts w:ascii="Verdana" w:hAnsi="Verdana" w:cs="Arial"/>
                      <w:color w:val="000000"/>
                    </w:rPr>
                    <w:t>, Soledad </w:t>
                  </w:r>
                </w:p>
              </w:tc>
            </w:tr>
            <w:tr w:rsidR="0026695A" w:rsidRPr="00B86171" w14:paraId="15DAB9D4" w14:textId="77777777" w:rsidTr="0026695A">
              <w:trPr>
                <w:trHeight w:val="210"/>
                <w:tblCellSpacing w:w="0" w:type="dxa"/>
                <w:jc w:val="center"/>
              </w:trPr>
              <w:tc>
                <w:tcPr>
                  <w:tcW w:w="3267" w:type="dxa"/>
                  <w:tcBorders>
                    <w:top w:val="outset" w:sz="6" w:space="0" w:color="000000"/>
                    <w:left w:val="outset" w:sz="6" w:space="0" w:color="000000"/>
                    <w:bottom w:val="outset" w:sz="6" w:space="0" w:color="000000"/>
                    <w:right w:val="outset" w:sz="6" w:space="0" w:color="000000"/>
                  </w:tcBorders>
                  <w:vAlign w:val="center"/>
                  <w:hideMark/>
                </w:tcPr>
                <w:p w14:paraId="7E0BE79B"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Cartagena </w:t>
                  </w:r>
                </w:p>
                <w:p w14:paraId="29C11D0C"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(3 municipios) </w:t>
                  </w:r>
                </w:p>
              </w:tc>
              <w:tc>
                <w:tcPr>
                  <w:tcW w:w="5914" w:type="dxa"/>
                  <w:tcBorders>
                    <w:top w:val="outset" w:sz="6" w:space="0" w:color="000000"/>
                    <w:left w:val="outset" w:sz="6" w:space="0" w:color="auto"/>
                    <w:bottom w:val="outset" w:sz="6" w:space="0" w:color="000000"/>
                    <w:right w:val="outset" w:sz="6" w:space="0" w:color="000000"/>
                  </w:tcBorders>
                  <w:vAlign w:val="center"/>
                  <w:hideMark/>
                </w:tcPr>
                <w:p w14:paraId="70841306"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Cartagena, Clemencia, Turbaco </w:t>
                  </w:r>
                </w:p>
              </w:tc>
            </w:tr>
            <w:tr w:rsidR="0026695A" w:rsidRPr="00B86171" w14:paraId="52758DCE" w14:textId="77777777" w:rsidTr="0026695A">
              <w:trPr>
                <w:trHeight w:val="210"/>
                <w:tblCellSpacing w:w="0" w:type="dxa"/>
                <w:jc w:val="center"/>
              </w:trPr>
              <w:tc>
                <w:tcPr>
                  <w:tcW w:w="3267" w:type="dxa"/>
                  <w:tcBorders>
                    <w:top w:val="outset" w:sz="6" w:space="0" w:color="auto"/>
                    <w:left w:val="outset" w:sz="6" w:space="0" w:color="000000"/>
                    <w:bottom w:val="outset" w:sz="6" w:space="0" w:color="000000"/>
                    <w:right w:val="outset" w:sz="6" w:space="0" w:color="000000"/>
                  </w:tcBorders>
                  <w:vAlign w:val="center"/>
                  <w:hideMark/>
                </w:tcPr>
                <w:p w14:paraId="0317BC2E"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Bucaramanga </w:t>
                  </w:r>
                </w:p>
                <w:p w14:paraId="409AF319"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(4 municipios) </w:t>
                  </w:r>
                </w:p>
              </w:tc>
              <w:tc>
                <w:tcPr>
                  <w:tcW w:w="5914" w:type="dxa"/>
                  <w:tcBorders>
                    <w:top w:val="outset" w:sz="6" w:space="0" w:color="auto"/>
                    <w:left w:val="outset" w:sz="6" w:space="0" w:color="auto"/>
                    <w:bottom w:val="outset" w:sz="6" w:space="0" w:color="000000"/>
                    <w:right w:val="outset" w:sz="6" w:space="0" w:color="000000"/>
                  </w:tcBorders>
                  <w:vAlign w:val="center"/>
                  <w:hideMark/>
                </w:tcPr>
                <w:p w14:paraId="136CDD61"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Bucaramanga, Floridablanca, Girón, Piedecuesta </w:t>
                  </w:r>
                </w:p>
              </w:tc>
            </w:tr>
            <w:tr w:rsidR="0026695A" w:rsidRPr="00B86171" w14:paraId="414E0CF4" w14:textId="77777777" w:rsidTr="0026695A">
              <w:trPr>
                <w:trHeight w:val="210"/>
                <w:tblCellSpacing w:w="0" w:type="dxa"/>
                <w:jc w:val="center"/>
              </w:trPr>
              <w:tc>
                <w:tcPr>
                  <w:tcW w:w="3267" w:type="dxa"/>
                  <w:tcBorders>
                    <w:top w:val="outset" w:sz="6" w:space="0" w:color="auto"/>
                    <w:left w:val="outset" w:sz="6" w:space="0" w:color="000000"/>
                    <w:bottom w:val="outset" w:sz="6" w:space="0" w:color="auto"/>
                    <w:right w:val="outset" w:sz="6" w:space="0" w:color="000000"/>
                  </w:tcBorders>
                  <w:vAlign w:val="center"/>
                  <w:hideMark/>
                </w:tcPr>
                <w:p w14:paraId="02CE0130"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Cúcuta</w:t>
                  </w:r>
                </w:p>
                <w:p w14:paraId="341050C0"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(4 municipios)</w:t>
                  </w:r>
                </w:p>
              </w:tc>
              <w:tc>
                <w:tcPr>
                  <w:tcW w:w="5914" w:type="dxa"/>
                  <w:tcBorders>
                    <w:top w:val="outset" w:sz="6" w:space="0" w:color="auto"/>
                    <w:left w:val="outset" w:sz="6" w:space="0" w:color="auto"/>
                    <w:bottom w:val="outset" w:sz="6" w:space="0" w:color="auto"/>
                    <w:right w:val="outset" w:sz="6" w:space="0" w:color="000000"/>
                  </w:tcBorders>
                  <w:vAlign w:val="center"/>
                  <w:hideMark/>
                </w:tcPr>
                <w:p w14:paraId="70F6A613"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Cúcuta, Los Patios, San Cayetano, Villa del Rosario</w:t>
                  </w:r>
                </w:p>
              </w:tc>
            </w:tr>
            <w:tr w:rsidR="0026695A" w:rsidRPr="00B86171" w14:paraId="59111D5E" w14:textId="77777777" w:rsidTr="0026695A">
              <w:trPr>
                <w:trHeight w:val="210"/>
                <w:tblCellSpacing w:w="0" w:type="dxa"/>
                <w:jc w:val="center"/>
              </w:trPr>
              <w:tc>
                <w:tcPr>
                  <w:tcW w:w="3267" w:type="dxa"/>
                  <w:tcBorders>
                    <w:top w:val="outset" w:sz="6" w:space="0" w:color="000000"/>
                    <w:left w:val="outset" w:sz="6" w:space="0" w:color="000000"/>
                    <w:bottom w:val="outset" w:sz="6" w:space="0" w:color="000000"/>
                    <w:right w:val="outset" w:sz="6" w:space="0" w:color="000000"/>
                  </w:tcBorders>
                  <w:vAlign w:val="center"/>
                </w:tcPr>
                <w:p w14:paraId="6A53D5C3"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 xml:space="preserve">Pereira </w:t>
                  </w:r>
                </w:p>
                <w:p w14:paraId="2D3C93F9"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w:t>
                  </w:r>
                  <w:r>
                    <w:rPr>
                      <w:rFonts w:ascii="Verdana" w:hAnsi="Verdana" w:cs="Arial"/>
                      <w:color w:val="000000"/>
                    </w:rPr>
                    <w:t>2</w:t>
                  </w:r>
                  <w:r w:rsidRPr="00B86171">
                    <w:rPr>
                      <w:rFonts w:ascii="Verdana" w:hAnsi="Verdana" w:cs="Arial"/>
                      <w:color w:val="000000"/>
                    </w:rPr>
                    <w:t xml:space="preserve"> municipio</w:t>
                  </w:r>
                  <w:r>
                    <w:rPr>
                      <w:rFonts w:ascii="Verdana" w:hAnsi="Verdana" w:cs="Arial"/>
                      <w:color w:val="000000"/>
                    </w:rPr>
                    <w:t>s</w:t>
                  </w:r>
                  <w:r w:rsidRPr="00B86171">
                    <w:rPr>
                      <w:rFonts w:ascii="Verdana" w:hAnsi="Verdana" w:cs="Arial"/>
                      <w:color w:val="000000"/>
                    </w:rPr>
                    <w:t>)</w:t>
                  </w:r>
                </w:p>
              </w:tc>
              <w:tc>
                <w:tcPr>
                  <w:tcW w:w="5914" w:type="dxa"/>
                  <w:tcBorders>
                    <w:top w:val="outset" w:sz="6" w:space="0" w:color="000000"/>
                    <w:left w:val="outset" w:sz="6" w:space="0" w:color="auto"/>
                    <w:bottom w:val="outset" w:sz="6" w:space="0" w:color="000000"/>
                    <w:right w:val="outset" w:sz="6" w:space="0" w:color="000000"/>
                  </w:tcBorders>
                  <w:vAlign w:val="center"/>
                </w:tcPr>
                <w:p w14:paraId="08059426"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Pereira</w:t>
                  </w:r>
                  <w:r>
                    <w:rPr>
                      <w:rFonts w:ascii="Verdana" w:hAnsi="Verdana" w:cs="Arial"/>
                      <w:color w:val="000000"/>
                    </w:rPr>
                    <w:t>, Dosquebradas</w:t>
                  </w:r>
                </w:p>
              </w:tc>
            </w:tr>
            <w:tr w:rsidR="0026695A" w:rsidRPr="00B86171" w14:paraId="2E0D4250" w14:textId="77777777" w:rsidTr="0026695A">
              <w:trPr>
                <w:trHeight w:val="210"/>
                <w:tblCellSpacing w:w="0" w:type="dxa"/>
                <w:jc w:val="center"/>
              </w:trPr>
              <w:tc>
                <w:tcPr>
                  <w:tcW w:w="3267" w:type="dxa"/>
                  <w:tcBorders>
                    <w:top w:val="outset" w:sz="6" w:space="0" w:color="auto"/>
                    <w:left w:val="outset" w:sz="6" w:space="0" w:color="000000"/>
                    <w:bottom w:val="outset" w:sz="6" w:space="0" w:color="auto"/>
                    <w:right w:val="outset" w:sz="6" w:space="0" w:color="000000"/>
                  </w:tcBorders>
                  <w:vAlign w:val="center"/>
                </w:tcPr>
                <w:p w14:paraId="00A07565"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 xml:space="preserve">Manizales </w:t>
                  </w:r>
                </w:p>
                <w:p w14:paraId="26C459CB"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w:t>
                  </w:r>
                  <w:r>
                    <w:rPr>
                      <w:rFonts w:ascii="Verdana" w:hAnsi="Verdana" w:cs="Arial"/>
                      <w:color w:val="000000"/>
                    </w:rPr>
                    <w:t>2</w:t>
                  </w:r>
                  <w:r w:rsidRPr="00B86171">
                    <w:rPr>
                      <w:rFonts w:ascii="Verdana" w:hAnsi="Verdana" w:cs="Arial"/>
                      <w:color w:val="000000"/>
                    </w:rPr>
                    <w:t xml:space="preserve"> municipio</w:t>
                  </w:r>
                  <w:r>
                    <w:rPr>
                      <w:rFonts w:ascii="Verdana" w:hAnsi="Verdana" w:cs="Arial"/>
                      <w:color w:val="000000"/>
                    </w:rPr>
                    <w:t>s</w:t>
                  </w:r>
                  <w:r w:rsidRPr="00B86171">
                    <w:rPr>
                      <w:rFonts w:ascii="Verdana" w:hAnsi="Verdana" w:cs="Arial"/>
                      <w:color w:val="000000"/>
                    </w:rPr>
                    <w:t>)</w:t>
                  </w:r>
                </w:p>
              </w:tc>
              <w:tc>
                <w:tcPr>
                  <w:tcW w:w="5914" w:type="dxa"/>
                  <w:tcBorders>
                    <w:top w:val="outset" w:sz="6" w:space="0" w:color="auto"/>
                    <w:left w:val="outset" w:sz="6" w:space="0" w:color="auto"/>
                    <w:bottom w:val="outset" w:sz="6" w:space="0" w:color="auto"/>
                    <w:right w:val="outset" w:sz="6" w:space="0" w:color="000000"/>
                  </w:tcBorders>
                  <w:vAlign w:val="center"/>
                </w:tcPr>
                <w:p w14:paraId="55B579C4"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Manizales</w:t>
                  </w:r>
                  <w:r>
                    <w:rPr>
                      <w:rFonts w:ascii="Verdana" w:hAnsi="Verdana" w:cs="Arial"/>
                      <w:color w:val="000000"/>
                    </w:rPr>
                    <w:t>, Villamaría</w:t>
                  </w:r>
                </w:p>
              </w:tc>
            </w:tr>
            <w:tr w:rsidR="0026695A" w:rsidRPr="00B86171" w14:paraId="14CABBE5" w14:textId="77777777" w:rsidTr="0026695A">
              <w:trPr>
                <w:trHeight w:val="210"/>
                <w:tblCellSpacing w:w="0" w:type="dxa"/>
                <w:jc w:val="center"/>
              </w:trPr>
              <w:tc>
                <w:tcPr>
                  <w:tcW w:w="3267" w:type="dxa"/>
                  <w:tcBorders>
                    <w:top w:val="outset" w:sz="6" w:space="0" w:color="000000"/>
                    <w:left w:val="outset" w:sz="6" w:space="0" w:color="000000"/>
                    <w:bottom w:val="outset" w:sz="6" w:space="0" w:color="000000"/>
                    <w:right w:val="outset" w:sz="6" w:space="0" w:color="000000"/>
                  </w:tcBorders>
                  <w:vAlign w:val="center"/>
                </w:tcPr>
                <w:p w14:paraId="4DB5BAA6" w14:textId="77777777" w:rsidR="0026695A" w:rsidRPr="00B86171" w:rsidRDefault="0026695A" w:rsidP="00E657D3">
                  <w:pPr>
                    <w:jc w:val="center"/>
                    <w:rPr>
                      <w:rFonts w:ascii="Verdana" w:hAnsi="Verdana" w:cs="Arial"/>
                      <w:color w:val="000000"/>
                    </w:rPr>
                  </w:pPr>
                  <w:proofErr w:type="spellStart"/>
                  <w:r w:rsidRPr="00B86171">
                    <w:rPr>
                      <w:rFonts w:ascii="Verdana" w:hAnsi="Verdana" w:cs="Arial"/>
                      <w:color w:val="000000"/>
                    </w:rPr>
                    <w:t>Uninodales</w:t>
                  </w:r>
                  <w:proofErr w:type="spellEnd"/>
                  <w:r w:rsidRPr="00B86171">
                    <w:rPr>
                      <w:rFonts w:ascii="Verdana" w:hAnsi="Verdana" w:cs="Arial"/>
                      <w:color w:val="000000"/>
                    </w:rPr>
                    <w:t xml:space="preserve"> </w:t>
                  </w:r>
                </w:p>
                <w:p w14:paraId="4FC64600"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w:t>
                  </w:r>
                  <w:r>
                    <w:rPr>
                      <w:rFonts w:ascii="Verdana" w:hAnsi="Verdana" w:cs="Arial"/>
                      <w:color w:val="000000"/>
                    </w:rPr>
                    <w:t>3</w:t>
                  </w:r>
                  <w:r w:rsidRPr="00B86171">
                    <w:rPr>
                      <w:rFonts w:ascii="Verdana" w:hAnsi="Verdana" w:cs="Arial"/>
                      <w:color w:val="000000"/>
                    </w:rPr>
                    <w:t xml:space="preserve"> municipios)</w:t>
                  </w:r>
                </w:p>
              </w:tc>
              <w:tc>
                <w:tcPr>
                  <w:tcW w:w="5914" w:type="dxa"/>
                  <w:tcBorders>
                    <w:top w:val="outset" w:sz="6" w:space="0" w:color="000000"/>
                    <w:left w:val="outset" w:sz="6" w:space="0" w:color="auto"/>
                    <w:bottom w:val="outset" w:sz="6" w:space="0" w:color="000000"/>
                    <w:right w:val="outset" w:sz="6" w:space="0" w:color="000000"/>
                  </w:tcBorders>
                  <w:vAlign w:val="center"/>
                </w:tcPr>
                <w:p w14:paraId="047843B9" w14:textId="77777777" w:rsidR="0026695A" w:rsidRPr="00B86171" w:rsidRDefault="0026695A" w:rsidP="00E657D3">
                  <w:pPr>
                    <w:jc w:val="center"/>
                    <w:rPr>
                      <w:rFonts w:ascii="Verdana" w:hAnsi="Verdana" w:cs="Arial"/>
                      <w:color w:val="000000"/>
                    </w:rPr>
                  </w:pPr>
                  <w:r w:rsidRPr="00B86171">
                    <w:rPr>
                      <w:rFonts w:ascii="Verdana" w:hAnsi="Verdana" w:cs="Arial"/>
                      <w:color w:val="000000"/>
                    </w:rPr>
                    <w:t>Ibagué, Popayán, Santa Marta</w:t>
                  </w:r>
                </w:p>
              </w:tc>
            </w:tr>
          </w:tbl>
          <w:p w14:paraId="1986031C" w14:textId="77777777" w:rsidR="000A5246" w:rsidRDefault="000A5246" w:rsidP="00E657D3">
            <w:pPr>
              <w:ind w:left="142" w:right="162"/>
              <w:jc w:val="both"/>
              <w:rPr>
                <w:rFonts w:asciiTheme="majorHAnsi" w:eastAsia="Verdana" w:hAnsiTheme="majorHAnsi" w:cstheme="majorHAnsi"/>
                <w:sz w:val="22"/>
                <w:szCs w:val="22"/>
              </w:rPr>
            </w:pPr>
          </w:p>
          <w:p w14:paraId="527C6AF5" w14:textId="4DFC0D98" w:rsidR="00EA1DD8" w:rsidRDefault="000A5246" w:rsidP="00FE1794">
            <w:pPr>
              <w:ind w:left="142" w:right="162"/>
              <w:jc w:val="both"/>
              <w:rPr>
                <w:rFonts w:ascii="Verdana" w:eastAsia="Calibri" w:hAnsi="Verdana" w:cs="Arial"/>
                <w:lang w:eastAsia="en-US"/>
              </w:rPr>
            </w:pPr>
            <w:r>
              <w:rPr>
                <w:rFonts w:ascii="Verdana" w:eastAsia="Calibri" w:hAnsi="Verdana" w:cs="Arial"/>
                <w:lang w:eastAsia="en-US"/>
              </w:rPr>
              <w:t xml:space="preserve">El resto de los municipios contenidos en el literal </w:t>
            </w:r>
            <w:r w:rsidR="00E80C58">
              <w:rPr>
                <w:rFonts w:ascii="Verdana" w:eastAsia="Calibri" w:hAnsi="Verdana" w:cs="Arial"/>
                <w:lang w:eastAsia="en-US"/>
              </w:rPr>
              <w:t>B</w:t>
            </w:r>
            <w:r>
              <w:rPr>
                <w:rFonts w:ascii="Verdana" w:eastAsia="Calibri" w:hAnsi="Verdana" w:cs="Arial"/>
                <w:lang w:eastAsia="en-US"/>
              </w:rPr>
              <w:t xml:space="preserve">) del artículo 293 de la Ley 2294 de 2023 podrán </w:t>
            </w:r>
            <w:r w:rsidRPr="00137A8E">
              <w:rPr>
                <w:rFonts w:ascii="Verdana" w:eastAsia="Calibri" w:hAnsi="Verdana" w:cs="Arial"/>
                <w:lang w:eastAsia="en-US"/>
              </w:rPr>
              <w:t>dem</w:t>
            </w:r>
            <w:r>
              <w:rPr>
                <w:rFonts w:ascii="Verdana" w:eastAsia="Calibri" w:hAnsi="Verdana" w:cs="Arial"/>
                <w:lang w:eastAsia="en-US"/>
              </w:rPr>
              <w:t>o</w:t>
            </w:r>
            <w:r w:rsidRPr="00137A8E">
              <w:rPr>
                <w:rFonts w:ascii="Verdana" w:eastAsia="Calibri" w:hAnsi="Verdana" w:cs="Arial"/>
                <w:lang w:eastAsia="en-US"/>
              </w:rPr>
              <w:t>str</w:t>
            </w:r>
            <w:r>
              <w:rPr>
                <w:rFonts w:ascii="Verdana" w:eastAsia="Calibri" w:hAnsi="Verdana" w:cs="Arial"/>
                <w:lang w:eastAsia="en-US"/>
              </w:rPr>
              <w:t>ar</w:t>
            </w:r>
            <w:r w:rsidRPr="00137A8E">
              <w:rPr>
                <w:rFonts w:ascii="Verdana" w:eastAsia="Calibri" w:hAnsi="Verdana" w:cs="Arial"/>
                <w:lang w:eastAsia="en-US"/>
              </w:rPr>
              <w:t xml:space="preserve"> mediante un estudio técnico, con fuentes</w:t>
            </w:r>
            <w:r w:rsidR="00E80C58">
              <w:rPr>
                <w:rFonts w:ascii="Verdana" w:eastAsia="Calibri" w:hAnsi="Verdana" w:cs="Arial"/>
                <w:lang w:eastAsia="en-US"/>
              </w:rPr>
              <w:t xml:space="preserve"> de información</w:t>
            </w:r>
            <w:r w:rsidRPr="00137A8E">
              <w:rPr>
                <w:rFonts w:ascii="Verdana" w:eastAsia="Calibri" w:hAnsi="Verdana" w:cs="Arial"/>
                <w:lang w:eastAsia="en-US"/>
              </w:rPr>
              <w:t xml:space="preserve"> verificables</w:t>
            </w:r>
            <w:r w:rsidR="00E80C58">
              <w:rPr>
                <w:rFonts w:ascii="Verdana" w:eastAsia="Calibri" w:hAnsi="Verdana" w:cs="Arial"/>
                <w:lang w:eastAsia="en-US"/>
              </w:rPr>
              <w:t>,</w:t>
            </w:r>
            <w:r w:rsidRPr="00137A8E">
              <w:rPr>
                <w:rFonts w:ascii="Verdana" w:eastAsia="Calibri" w:hAnsi="Verdana" w:cs="Arial"/>
                <w:lang w:eastAsia="en-US"/>
              </w:rPr>
              <w:t xml:space="preserve"> que existe presión en el valor del suelo que impacta la generación de oferta VIS, y por esta razón se justifica aumentar de forma excepcional el valor máximo</w:t>
            </w:r>
            <w:r>
              <w:rPr>
                <w:rFonts w:ascii="Verdana" w:eastAsia="Calibri" w:hAnsi="Verdana" w:cs="Arial"/>
                <w:lang w:eastAsia="en-US"/>
              </w:rPr>
              <w:t xml:space="preserve"> de la vivienda de interés social.</w:t>
            </w:r>
            <w:r w:rsidR="00363180">
              <w:rPr>
                <w:rFonts w:ascii="Verdana" w:eastAsia="Calibri" w:hAnsi="Verdana" w:cs="Arial"/>
                <w:lang w:eastAsia="en-US"/>
              </w:rPr>
              <w:t xml:space="preserve"> En este sentido, los municipios que tienen </w:t>
            </w:r>
            <w:r w:rsidR="00363180" w:rsidRPr="00363180">
              <w:rPr>
                <w:rFonts w:ascii="Verdana" w:eastAsia="Calibri" w:hAnsi="Verdana" w:cs="Arial"/>
                <w:lang w:eastAsia="en-US"/>
              </w:rPr>
              <w:t>una actividad e</w:t>
            </w:r>
            <w:r w:rsidR="00E80C58">
              <w:rPr>
                <w:rFonts w:ascii="Verdana" w:eastAsia="Calibri" w:hAnsi="Verdana" w:cs="Arial"/>
                <w:lang w:eastAsia="en-US"/>
              </w:rPr>
              <w:t>dificadora</w:t>
            </w:r>
            <w:r w:rsidR="00363180" w:rsidRPr="00363180">
              <w:rPr>
                <w:rFonts w:ascii="Verdana" w:eastAsia="Calibri" w:hAnsi="Verdana" w:cs="Arial"/>
                <w:lang w:eastAsia="en-US"/>
              </w:rPr>
              <w:t xml:space="preserve"> residencial considerable, esto es</w:t>
            </w:r>
            <w:r w:rsidR="00E80C58">
              <w:rPr>
                <w:rFonts w:ascii="Verdana" w:eastAsia="Calibri" w:hAnsi="Verdana" w:cs="Arial"/>
                <w:lang w:eastAsia="en-US"/>
              </w:rPr>
              <w:t>,</w:t>
            </w:r>
            <w:r w:rsidR="00363180" w:rsidRPr="00363180">
              <w:rPr>
                <w:rFonts w:ascii="Verdana" w:eastAsia="Calibri" w:hAnsi="Verdana" w:cs="Arial"/>
                <w:lang w:eastAsia="en-US"/>
              </w:rPr>
              <w:t xml:space="preserve"> que el número de unidades VIS licenciadas haya sido mayor a 1</w:t>
            </w:r>
            <w:r w:rsidR="00E80C58">
              <w:rPr>
                <w:rFonts w:ascii="Verdana" w:eastAsia="Calibri" w:hAnsi="Verdana" w:cs="Arial"/>
                <w:lang w:eastAsia="en-US"/>
              </w:rPr>
              <w:t>.</w:t>
            </w:r>
            <w:r w:rsidR="00363180" w:rsidRPr="00363180">
              <w:rPr>
                <w:rFonts w:ascii="Verdana" w:eastAsia="Calibri" w:hAnsi="Verdana" w:cs="Arial"/>
                <w:lang w:eastAsia="en-US"/>
              </w:rPr>
              <w:t>000 unidades en el periodo 2005-</w:t>
            </w:r>
            <w:r w:rsidR="00052496">
              <w:rPr>
                <w:rFonts w:ascii="Verdana" w:eastAsia="Calibri" w:hAnsi="Verdana" w:cs="Arial"/>
                <w:lang w:eastAsia="en-US"/>
              </w:rPr>
              <w:t xml:space="preserve">2023 </w:t>
            </w:r>
            <w:r w:rsidR="00363180">
              <w:rPr>
                <w:rFonts w:ascii="Verdana" w:eastAsia="Calibri" w:hAnsi="Verdana" w:cs="Arial"/>
                <w:lang w:eastAsia="en-US"/>
              </w:rPr>
              <w:t>según las estadísticas de licencias de construcción del DANE, y que podrán presentar un estudio técnico</w:t>
            </w:r>
            <w:r w:rsidR="00E80C58">
              <w:rPr>
                <w:rFonts w:ascii="Verdana" w:eastAsia="Calibri" w:hAnsi="Verdana" w:cs="Arial"/>
                <w:lang w:eastAsia="en-US"/>
              </w:rPr>
              <w:t xml:space="preserve"> por cumplir el criterio poblacional</w:t>
            </w:r>
            <w:r w:rsidR="00363180">
              <w:rPr>
                <w:rFonts w:ascii="Verdana" w:eastAsia="Calibri" w:hAnsi="Verdana" w:cs="Arial"/>
                <w:lang w:eastAsia="en-US"/>
              </w:rPr>
              <w:t xml:space="preserve"> serán</w:t>
            </w:r>
            <w:r w:rsidR="003A41E7">
              <w:rPr>
                <w:rFonts w:ascii="Verdana" w:eastAsia="Calibri" w:hAnsi="Verdana" w:cs="Arial"/>
                <w:lang w:eastAsia="en-US"/>
              </w:rPr>
              <w:t>:</w:t>
            </w:r>
          </w:p>
          <w:p w14:paraId="0A9124E1" w14:textId="77777777" w:rsidR="00EA1DD8" w:rsidRDefault="00EA1DD8" w:rsidP="00692086">
            <w:pPr>
              <w:ind w:right="162"/>
              <w:jc w:val="both"/>
              <w:rPr>
                <w:rFonts w:ascii="Verdana" w:eastAsia="Calibri" w:hAnsi="Verdana" w:cs="Arial"/>
                <w:lang w:eastAsia="en-US"/>
              </w:rPr>
            </w:pPr>
          </w:p>
          <w:tbl>
            <w:tblPr>
              <w:tblW w:w="9109" w:type="dxa"/>
              <w:jc w:val="center"/>
              <w:tblCellMar>
                <w:left w:w="70" w:type="dxa"/>
                <w:right w:w="70" w:type="dxa"/>
              </w:tblCellMar>
              <w:tblLook w:val="04A0" w:firstRow="1" w:lastRow="0" w:firstColumn="1" w:lastColumn="0" w:noHBand="0" w:noVBand="1"/>
            </w:tblPr>
            <w:tblGrid>
              <w:gridCol w:w="3156"/>
              <w:gridCol w:w="5953"/>
            </w:tblGrid>
            <w:tr w:rsidR="000A5246" w:rsidRPr="000A5246" w14:paraId="64811631" w14:textId="77777777" w:rsidTr="00E40540">
              <w:trPr>
                <w:trHeight w:val="16"/>
                <w:jc w:val="center"/>
              </w:trPr>
              <w:tc>
                <w:tcPr>
                  <w:tcW w:w="3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7C96F" w14:textId="77777777" w:rsidR="000A5246" w:rsidRPr="000A5246" w:rsidRDefault="000A5246" w:rsidP="00E657D3">
                  <w:pPr>
                    <w:jc w:val="center"/>
                    <w:rPr>
                      <w:rFonts w:ascii="Verdana" w:hAnsi="Verdana" w:cs="Arial"/>
                      <w:b/>
                      <w:bCs/>
                      <w:lang w:val="es-CO" w:eastAsia="es-CO"/>
                    </w:rPr>
                  </w:pPr>
                  <w:r w:rsidRPr="000A5246">
                    <w:rPr>
                      <w:rFonts w:ascii="Verdana" w:hAnsi="Verdana" w:cs="Arial"/>
                      <w:b/>
                      <w:bCs/>
                      <w:lang w:val="es-CO" w:eastAsia="es-CO"/>
                    </w:rPr>
                    <w:t>Aglomeración o ciudad funcional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44EF7B2" w14:textId="1A3F958F" w:rsidR="000A5246" w:rsidRPr="000A5246" w:rsidRDefault="000A5246" w:rsidP="00E657D3">
                  <w:pPr>
                    <w:jc w:val="center"/>
                    <w:rPr>
                      <w:rFonts w:ascii="Verdana" w:hAnsi="Verdana" w:cs="Arial"/>
                      <w:b/>
                      <w:bCs/>
                      <w:lang w:val="es-CO" w:eastAsia="es-CO"/>
                    </w:rPr>
                  </w:pPr>
                  <w:r>
                    <w:rPr>
                      <w:rFonts w:ascii="Verdana" w:hAnsi="Verdana" w:cs="Arial"/>
                      <w:b/>
                      <w:bCs/>
                      <w:lang w:val="es-CO" w:eastAsia="es-CO"/>
                    </w:rPr>
                    <w:t>Municipios</w:t>
                  </w:r>
                </w:p>
              </w:tc>
            </w:tr>
            <w:tr w:rsidR="000A5246" w:rsidRPr="000A5246" w14:paraId="24EB4582" w14:textId="77777777" w:rsidTr="00E40540">
              <w:trPr>
                <w:trHeight w:val="16"/>
                <w:jc w:val="center"/>
              </w:trPr>
              <w:tc>
                <w:tcPr>
                  <w:tcW w:w="3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D4E49" w14:textId="77777777" w:rsidR="000A5246" w:rsidRPr="000A5246" w:rsidRDefault="000A5246" w:rsidP="00E657D3">
                  <w:pPr>
                    <w:jc w:val="center"/>
                    <w:rPr>
                      <w:rFonts w:ascii="Verdana" w:hAnsi="Verdana" w:cs="Arial"/>
                      <w:lang w:val="es-CO" w:eastAsia="es-CO"/>
                    </w:rPr>
                  </w:pPr>
                  <w:r w:rsidRPr="000A5246">
                    <w:rPr>
                      <w:rFonts w:ascii="Verdana" w:hAnsi="Verdana" w:cs="Arial"/>
                      <w:lang w:val="es-CO" w:eastAsia="es-CO"/>
                    </w:rPr>
                    <w:t>Barranquilla</w:t>
                  </w:r>
                </w:p>
                <w:p w14:paraId="15F1235C" w14:textId="5EA36656" w:rsidR="000A5246" w:rsidRPr="000A5246" w:rsidRDefault="000A5246" w:rsidP="00E657D3">
                  <w:pPr>
                    <w:jc w:val="center"/>
                    <w:rPr>
                      <w:rFonts w:ascii="Verdana" w:hAnsi="Verdana" w:cs="Arial"/>
                      <w:lang w:val="es-CO" w:eastAsia="es-CO"/>
                    </w:rPr>
                  </w:pPr>
                  <w:r w:rsidRPr="000A5246">
                    <w:rPr>
                      <w:rFonts w:ascii="Verdana" w:hAnsi="Verdana" w:cs="Arial"/>
                      <w:lang w:val="es-CO" w:eastAsia="es-CO"/>
                    </w:rPr>
                    <w:t>(</w:t>
                  </w:r>
                  <w:r w:rsidR="00363180">
                    <w:rPr>
                      <w:rFonts w:ascii="Verdana" w:hAnsi="Verdana" w:cs="Arial"/>
                      <w:lang w:val="es-CO" w:eastAsia="es-CO"/>
                    </w:rPr>
                    <w:t>1</w:t>
                  </w:r>
                  <w:r w:rsidRPr="000A5246">
                    <w:rPr>
                      <w:rFonts w:ascii="Verdana" w:hAnsi="Verdana" w:cs="Arial"/>
                      <w:lang w:val="es-CO" w:eastAsia="es-CO"/>
                    </w:rPr>
                    <w:t xml:space="preserve"> municipio)</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F6CBC" w14:textId="6CA436BF" w:rsidR="000A5246" w:rsidRPr="000A5246" w:rsidRDefault="000A5246" w:rsidP="00E657D3">
                  <w:pPr>
                    <w:jc w:val="center"/>
                    <w:rPr>
                      <w:rFonts w:ascii="Verdana" w:hAnsi="Verdana" w:cs="Arial"/>
                      <w:lang w:val="es-CO" w:eastAsia="es-CO"/>
                    </w:rPr>
                  </w:pPr>
                  <w:r w:rsidRPr="000A5246">
                    <w:rPr>
                      <w:rFonts w:ascii="Verdana" w:hAnsi="Verdana" w:cs="Arial"/>
                      <w:lang w:val="es-CO" w:eastAsia="es-CO"/>
                    </w:rPr>
                    <w:t>Puerto Colombia</w:t>
                  </w:r>
                </w:p>
              </w:tc>
            </w:tr>
            <w:tr w:rsidR="000A5246" w:rsidRPr="000A5246" w14:paraId="3D0D59D9" w14:textId="77777777" w:rsidTr="00E40540">
              <w:trPr>
                <w:trHeight w:val="16"/>
                <w:jc w:val="center"/>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70D66490" w14:textId="77777777" w:rsidR="000A5246" w:rsidRPr="000A5246" w:rsidRDefault="000A5246" w:rsidP="00E657D3">
                  <w:pPr>
                    <w:jc w:val="center"/>
                    <w:rPr>
                      <w:rFonts w:ascii="Verdana" w:hAnsi="Verdana" w:cs="Arial"/>
                      <w:lang w:val="es-CO" w:eastAsia="es-CO"/>
                    </w:rPr>
                  </w:pPr>
                  <w:r w:rsidRPr="000A5246">
                    <w:rPr>
                      <w:rFonts w:ascii="Verdana" w:hAnsi="Verdana" w:cs="Arial"/>
                      <w:lang w:val="es-CO" w:eastAsia="es-CO"/>
                    </w:rPr>
                    <w:t>Bogotá</w:t>
                  </w:r>
                </w:p>
                <w:p w14:paraId="6BDCEE6F" w14:textId="54384673" w:rsidR="000A5246" w:rsidRPr="000A5246" w:rsidRDefault="000A5246" w:rsidP="00E657D3">
                  <w:pPr>
                    <w:jc w:val="center"/>
                    <w:rPr>
                      <w:rFonts w:ascii="Verdana" w:hAnsi="Verdana" w:cs="Arial"/>
                      <w:lang w:val="es-CO" w:eastAsia="es-CO"/>
                    </w:rPr>
                  </w:pPr>
                  <w:r w:rsidRPr="000A5246">
                    <w:rPr>
                      <w:rFonts w:ascii="Verdana" w:hAnsi="Verdana" w:cs="Arial"/>
                      <w:lang w:val="es-CO" w:eastAsia="es-CO"/>
                    </w:rPr>
                    <w:t>(</w:t>
                  </w:r>
                  <w:r w:rsidR="00363180">
                    <w:rPr>
                      <w:rFonts w:ascii="Verdana" w:hAnsi="Verdana" w:cs="Arial"/>
                      <w:lang w:val="es-CO" w:eastAsia="es-CO"/>
                    </w:rPr>
                    <w:t>2</w:t>
                  </w:r>
                  <w:r w:rsidRPr="000A5246">
                    <w:rPr>
                      <w:rFonts w:ascii="Verdana" w:hAnsi="Verdana" w:cs="Arial"/>
                      <w:lang w:val="es-CO" w:eastAsia="es-CO"/>
                    </w:rPr>
                    <w:t xml:space="preserve"> municipios)</w:t>
                  </w:r>
                </w:p>
              </w:tc>
              <w:tc>
                <w:tcPr>
                  <w:tcW w:w="5953" w:type="dxa"/>
                  <w:tcBorders>
                    <w:top w:val="nil"/>
                    <w:left w:val="single" w:sz="4" w:space="0" w:color="auto"/>
                    <w:bottom w:val="single" w:sz="4" w:space="0" w:color="auto"/>
                    <w:right w:val="single" w:sz="4" w:space="0" w:color="auto"/>
                  </w:tcBorders>
                  <w:shd w:val="clear" w:color="auto" w:fill="auto"/>
                  <w:noWrap/>
                  <w:vAlign w:val="center"/>
                  <w:hideMark/>
                </w:tcPr>
                <w:p w14:paraId="342CFDB2" w14:textId="4AAE55D4" w:rsidR="000A5246" w:rsidRPr="000A5246" w:rsidRDefault="000A5246" w:rsidP="00E657D3">
                  <w:pPr>
                    <w:jc w:val="center"/>
                    <w:rPr>
                      <w:rFonts w:ascii="Verdana" w:hAnsi="Verdana" w:cs="Arial"/>
                      <w:lang w:val="es-CO" w:eastAsia="es-CO"/>
                    </w:rPr>
                  </w:pPr>
                  <w:r w:rsidRPr="000A5246">
                    <w:rPr>
                      <w:rFonts w:ascii="Verdana" w:hAnsi="Verdana" w:cs="Arial"/>
                      <w:lang w:val="es-CO" w:eastAsia="es-CO"/>
                    </w:rPr>
                    <w:t>Nemocón, Sopó</w:t>
                  </w:r>
                </w:p>
              </w:tc>
            </w:tr>
            <w:tr w:rsidR="000A5246" w:rsidRPr="000A5246" w14:paraId="51FBFEEF" w14:textId="77777777" w:rsidTr="00E40540">
              <w:trPr>
                <w:trHeight w:val="16"/>
                <w:jc w:val="center"/>
              </w:trPr>
              <w:tc>
                <w:tcPr>
                  <w:tcW w:w="3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C7FBA" w14:textId="77777777" w:rsidR="000A5246" w:rsidRPr="000A5246" w:rsidRDefault="000A5246" w:rsidP="00E657D3">
                  <w:pPr>
                    <w:jc w:val="center"/>
                    <w:rPr>
                      <w:rFonts w:ascii="Verdana" w:hAnsi="Verdana" w:cs="Arial"/>
                      <w:lang w:val="es-CO"/>
                    </w:rPr>
                  </w:pPr>
                  <w:r w:rsidRPr="000A5246">
                    <w:rPr>
                      <w:rFonts w:ascii="Verdana" w:hAnsi="Verdana" w:cs="Arial"/>
                      <w:lang w:val="es-CO"/>
                    </w:rPr>
                    <w:t>Pereira</w:t>
                  </w:r>
                </w:p>
                <w:p w14:paraId="69ED0CF6" w14:textId="6B1DE336" w:rsidR="000A5246" w:rsidRPr="000A5246" w:rsidRDefault="000A5246" w:rsidP="00E657D3">
                  <w:pPr>
                    <w:jc w:val="center"/>
                    <w:rPr>
                      <w:rFonts w:ascii="Verdana" w:hAnsi="Verdana" w:cs="Arial"/>
                      <w:lang w:val="es-CO"/>
                    </w:rPr>
                  </w:pPr>
                  <w:r w:rsidRPr="000A5246">
                    <w:rPr>
                      <w:rFonts w:ascii="Verdana" w:hAnsi="Verdana" w:cs="Arial"/>
                      <w:lang w:val="es-CO" w:eastAsia="es-CO"/>
                    </w:rPr>
                    <w:t>(</w:t>
                  </w:r>
                  <w:r w:rsidR="0026695A">
                    <w:rPr>
                      <w:rFonts w:ascii="Verdana" w:hAnsi="Verdana" w:cs="Arial"/>
                      <w:lang w:val="es-CO" w:eastAsia="es-CO"/>
                    </w:rPr>
                    <w:t>1</w:t>
                  </w:r>
                  <w:r w:rsidRPr="000A5246">
                    <w:rPr>
                      <w:rFonts w:ascii="Verdana" w:hAnsi="Verdana" w:cs="Arial"/>
                      <w:lang w:val="es-CO" w:eastAsia="es-CO"/>
                    </w:rPr>
                    <w:t xml:space="preserve"> municipio)</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D0957" w14:textId="1F758579" w:rsidR="000A5246" w:rsidRPr="000A5246" w:rsidRDefault="000A5246" w:rsidP="00E657D3">
                  <w:pPr>
                    <w:jc w:val="center"/>
                    <w:rPr>
                      <w:rFonts w:ascii="Verdana" w:hAnsi="Verdana" w:cs="Arial"/>
                      <w:lang w:val="es-CO"/>
                    </w:rPr>
                  </w:pPr>
                  <w:r w:rsidRPr="000A5246">
                    <w:rPr>
                      <w:rFonts w:ascii="Verdana" w:hAnsi="Verdana" w:cs="Arial"/>
                      <w:lang w:val="es-CO"/>
                    </w:rPr>
                    <w:t>Santa Rosa de Cabal</w:t>
                  </w:r>
                </w:p>
              </w:tc>
            </w:tr>
            <w:tr w:rsidR="009A6A38" w:rsidRPr="000A5246" w14:paraId="07675359" w14:textId="77777777" w:rsidTr="00E40540">
              <w:trPr>
                <w:trHeight w:val="16"/>
                <w:jc w:val="center"/>
              </w:trPr>
              <w:tc>
                <w:tcPr>
                  <w:tcW w:w="3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F558A" w14:textId="77777777" w:rsidR="009A6A38" w:rsidRDefault="009A6A38" w:rsidP="00E657D3">
                  <w:pPr>
                    <w:jc w:val="center"/>
                    <w:rPr>
                      <w:rFonts w:ascii="Verdana" w:hAnsi="Verdana" w:cs="Arial"/>
                      <w:lang w:val="es-CO"/>
                    </w:rPr>
                  </w:pPr>
                  <w:r>
                    <w:rPr>
                      <w:rFonts w:ascii="Verdana" w:hAnsi="Verdana" w:cs="Arial"/>
                      <w:lang w:val="es-CO"/>
                    </w:rPr>
                    <w:t>Villavicencio</w:t>
                  </w:r>
                </w:p>
                <w:p w14:paraId="4CA2A3AB" w14:textId="48AFD058" w:rsidR="009A6A38" w:rsidRPr="000A5246" w:rsidRDefault="009A6A38" w:rsidP="00E657D3">
                  <w:pPr>
                    <w:jc w:val="center"/>
                    <w:rPr>
                      <w:rFonts w:ascii="Verdana" w:hAnsi="Verdana" w:cs="Arial"/>
                      <w:lang w:val="es-CO"/>
                    </w:rPr>
                  </w:pPr>
                  <w:r>
                    <w:rPr>
                      <w:rFonts w:ascii="Verdana" w:hAnsi="Verdana" w:cs="Arial"/>
                      <w:lang w:val="es-CO"/>
                    </w:rPr>
                    <w:t>(1 municipio)</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DA533" w14:textId="34A7D8BB" w:rsidR="009A6A38" w:rsidRPr="000A5246" w:rsidRDefault="009A6A38" w:rsidP="00E657D3">
                  <w:pPr>
                    <w:jc w:val="center"/>
                    <w:rPr>
                      <w:rFonts w:ascii="Verdana" w:hAnsi="Verdana" w:cs="Arial"/>
                      <w:lang w:val="es-CO"/>
                    </w:rPr>
                  </w:pPr>
                  <w:r>
                    <w:rPr>
                      <w:rFonts w:ascii="Verdana" w:hAnsi="Verdana" w:cs="Arial"/>
                      <w:lang w:val="es-CO"/>
                    </w:rPr>
                    <w:t>Villavicencio</w:t>
                  </w:r>
                </w:p>
              </w:tc>
            </w:tr>
            <w:tr w:rsidR="000A5246" w:rsidRPr="000A5246" w14:paraId="2C4C438D" w14:textId="77777777" w:rsidTr="00E40540">
              <w:trPr>
                <w:trHeight w:val="760"/>
                <w:jc w:val="center"/>
              </w:trPr>
              <w:tc>
                <w:tcPr>
                  <w:tcW w:w="3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F6BC" w14:textId="77777777" w:rsidR="000A5246" w:rsidRPr="000A5246" w:rsidRDefault="000A5246" w:rsidP="00E657D3">
                  <w:pPr>
                    <w:jc w:val="center"/>
                    <w:rPr>
                      <w:rFonts w:ascii="Verdana" w:hAnsi="Verdana" w:cs="Arial"/>
                      <w:lang w:val="es-CO"/>
                    </w:rPr>
                  </w:pPr>
                  <w:proofErr w:type="spellStart"/>
                  <w:r w:rsidRPr="000A5246">
                    <w:rPr>
                      <w:rFonts w:ascii="Verdana" w:hAnsi="Verdana" w:cs="Arial"/>
                      <w:lang w:val="es-CO"/>
                    </w:rPr>
                    <w:t>Uninodales</w:t>
                  </w:r>
                  <w:proofErr w:type="spellEnd"/>
                </w:p>
                <w:p w14:paraId="21595C6C" w14:textId="6E9B7057" w:rsidR="000A5246" w:rsidRPr="000A5246" w:rsidRDefault="000A5246" w:rsidP="00E657D3">
                  <w:pPr>
                    <w:jc w:val="center"/>
                    <w:rPr>
                      <w:rFonts w:ascii="Verdana" w:hAnsi="Verdana" w:cs="Arial"/>
                      <w:lang w:val="es-CO"/>
                    </w:rPr>
                  </w:pPr>
                  <w:r w:rsidRPr="000A5246">
                    <w:rPr>
                      <w:rFonts w:ascii="Verdana" w:hAnsi="Verdana" w:cs="Arial"/>
                      <w:lang w:val="es-CO"/>
                    </w:rPr>
                    <w:t>(</w:t>
                  </w:r>
                  <w:r w:rsidR="0026695A">
                    <w:rPr>
                      <w:rFonts w:ascii="Verdana" w:hAnsi="Verdana" w:cs="Arial"/>
                      <w:lang w:val="es-CO"/>
                    </w:rPr>
                    <w:t>6</w:t>
                  </w:r>
                  <w:r w:rsidRPr="000A5246">
                    <w:rPr>
                      <w:rFonts w:ascii="Verdana" w:hAnsi="Verdana" w:cs="Arial"/>
                      <w:lang w:val="es-CO"/>
                    </w:rPr>
                    <w:t xml:space="preserve"> municipios)</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A689F" w14:textId="03684C25" w:rsidR="000A5246" w:rsidRPr="000A5246" w:rsidRDefault="000A5246" w:rsidP="00E657D3">
                  <w:pPr>
                    <w:jc w:val="center"/>
                    <w:rPr>
                      <w:rFonts w:ascii="Verdana" w:hAnsi="Verdana" w:cs="Arial"/>
                      <w:lang w:val="es-CO"/>
                    </w:rPr>
                  </w:pPr>
                  <w:r w:rsidRPr="000A5246">
                    <w:rPr>
                      <w:rFonts w:ascii="Verdana" w:hAnsi="Verdana" w:cs="Arial"/>
                      <w:lang w:val="es-CO"/>
                    </w:rPr>
                    <w:t>Buenaventura, Montería, Neiva, Palmira, Sincelejo, Valledupar</w:t>
                  </w:r>
                </w:p>
              </w:tc>
            </w:tr>
          </w:tbl>
          <w:p w14:paraId="54E8EFDB" w14:textId="0362ABCC" w:rsidR="00FE1794" w:rsidRPr="00772028" w:rsidRDefault="00FE1794" w:rsidP="00692086">
            <w:pPr>
              <w:ind w:right="162"/>
              <w:jc w:val="both"/>
              <w:rPr>
                <w:rFonts w:ascii="Verdana" w:eastAsia="Calibri" w:hAnsi="Verdana" w:cs="Arial"/>
                <w:lang w:eastAsia="en-US"/>
              </w:rPr>
            </w:pPr>
          </w:p>
        </w:tc>
      </w:tr>
      <w:tr w:rsidR="005A2F1E" w:rsidRPr="00772028" w14:paraId="5755F4D4" w14:textId="77777777" w:rsidTr="00692086">
        <w:trPr>
          <w:trHeight w:val="100"/>
        </w:trPr>
        <w:tc>
          <w:tcPr>
            <w:tcW w:w="10774" w:type="dxa"/>
            <w:gridSpan w:val="3"/>
            <w:shd w:val="clear" w:color="auto" w:fill="FFFFFF"/>
            <w:vAlign w:val="center"/>
          </w:tcPr>
          <w:p w14:paraId="1BD09D67" w14:textId="77777777" w:rsidR="004D0829" w:rsidRDefault="004D0829" w:rsidP="00E657D3">
            <w:pPr>
              <w:jc w:val="both"/>
              <w:rPr>
                <w:rFonts w:ascii="Verdana" w:hAnsi="Verdana"/>
                <w:lang w:eastAsia="es-CO"/>
              </w:rPr>
            </w:pPr>
          </w:p>
          <w:p w14:paraId="391AE1D2" w14:textId="4768D56D" w:rsidR="00E80C58" w:rsidRPr="00772028" w:rsidRDefault="00E80C58" w:rsidP="00E657D3">
            <w:pPr>
              <w:jc w:val="both"/>
              <w:rPr>
                <w:rFonts w:ascii="Verdana" w:hAnsi="Verdana"/>
                <w:lang w:eastAsia="es-CO"/>
              </w:rPr>
            </w:pPr>
          </w:p>
        </w:tc>
      </w:tr>
      <w:tr w:rsidR="005A2F1E" w:rsidRPr="00772028" w14:paraId="0EB31F84" w14:textId="77777777" w:rsidTr="00692086">
        <w:trPr>
          <w:trHeight w:val="90"/>
        </w:trPr>
        <w:tc>
          <w:tcPr>
            <w:tcW w:w="10774" w:type="dxa"/>
            <w:gridSpan w:val="3"/>
            <w:tcBorders>
              <w:top w:val="single" w:sz="4" w:space="0" w:color="auto"/>
              <w:bottom w:val="single" w:sz="4" w:space="0" w:color="auto"/>
            </w:tcBorders>
            <w:shd w:val="clear" w:color="auto" w:fill="FFFFFF"/>
            <w:vAlign w:val="center"/>
          </w:tcPr>
          <w:p w14:paraId="179E440E" w14:textId="77777777" w:rsidR="004D0829" w:rsidRPr="00772028" w:rsidRDefault="004D0829" w:rsidP="00E657D3">
            <w:pPr>
              <w:numPr>
                <w:ilvl w:val="0"/>
                <w:numId w:val="1"/>
              </w:numPr>
              <w:ind w:left="494"/>
              <w:rPr>
                <w:rFonts w:ascii="Verdana" w:hAnsi="Verdana" w:cs="Arial"/>
                <w:b/>
                <w:color w:val="000000"/>
              </w:rPr>
            </w:pPr>
            <w:r w:rsidRPr="00772028">
              <w:rPr>
                <w:rFonts w:ascii="Verdana" w:hAnsi="Verdana" w:cs="Arial"/>
                <w:b/>
                <w:color w:val="000000"/>
              </w:rPr>
              <w:lastRenderedPageBreak/>
              <w:t>AMBITO DE APLICACIÓN Y SUJETOS A QUIENES VA DIRIGIDO</w:t>
            </w:r>
          </w:p>
          <w:p w14:paraId="2DA59B2A" w14:textId="77777777" w:rsidR="004D0829" w:rsidRPr="00772028" w:rsidRDefault="004D0829" w:rsidP="00E657D3">
            <w:pPr>
              <w:ind w:left="134"/>
              <w:jc w:val="both"/>
              <w:rPr>
                <w:rFonts w:ascii="Verdana" w:hAnsi="Verdana" w:cs="Arial"/>
                <w:i/>
                <w:color w:val="808080"/>
              </w:rPr>
            </w:pPr>
            <w:r w:rsidRPr="00772028">
              <w:rPr>
                <w:rFonts w:ascii="Verdana" w:hAnsi="Verdana" w:cs="Arial"/>
                <w:i/>
                <w:color w:val="808080"/>
              </w:rPr>
              <w:t xml:space="preserve"> (Por favor indique el ámbito de aplicación o sujetos obligados de la norma)</w:t>
            </w:r>
          </w:p>
          <w:p w14:paraId="453E5813" w14:textId="77777777" w:rsidR="004D0829" w:rsidRPr="00772028" w:rsidRDefault="004D0829" w:rsidP="00E657D3">
            <w:pPr>
              <w:jc w:val="both"/>
              <w:rPr>
                <w:rFonts w:ascii="Verdana" w:hAnsi="Verdana" w:cs="Arial"/>
                <w:bCs/>
                <w:color w:val="000000"/>
              </w:rPr>
            </w:pPr>
            <w:r w:rsidRPr="00772028">
              <w:rPr>
                <w:rFonts w:ascii="Verdana" w:hAnsi="Verdana" w:cs="Arial"/>
                <w:bCs/>
                <w:color w:val="000000"/>
              </w:rPr>
              <w:t>El presente proyecto normativo se aplicará en todo el territorio nacional y va dirigido a:</w:t>
            </w:r>
          </w:p>
          <w:p w14:paraId="03C5A520" w14:textId="77777777" w:rsidR="004D0829" w:rsidRPr="00772028" w:rsidRDefault="004D0829" w:rsidP="00E657D3">
            <w:pPr>
              <w:jc w:val="both"/>
              <w:rPr>
                <w:rFonts w:ascii="Verdana" w:hAnsi="Verdana" w:cs="Arial"/>
                <w:bCs/>
                <w:color w:val="000000"/>
              </w:rPr>
            </w:pPr>
          </w:p>
          <w:p w14:paraId="0636DC42" w14:textId="457A4E90" w:rsidR="004D0829" w:rsidRPr="00772028" w:rsidRDefault="004D0829" w:rsidP="00E657D3">
            <w:pPr>
              <w:jc w:val="both"/>
              <w:rPr>
                <w:rFonts w:ascii="Verdana" w:hAnsi="Verdana"/>
                <w:bCs/>
              </w:rPr>
            </w:pPr>
            <w:r w:rsidRPr="00772028">
              <w:rPr>
                <w:rFonts w:ascii="Verdana" w:hAnsi="Verdana"/>
                <w:bCs/>
              </w:rPr>
              <w:t>Empresas constructoras</w:t>
            </w:r>
            <w:r w:rsidR="00E03956">
              <w:rPr>
                <w:rFonts w:ascii="Verdana" w:hAnsi="Verdana"/>
                <w:bCs/>
              </w:rPr>
              <w:t xml:space="preserve"> desarrolladoras de VIS y VIP</w:t>
            </w:r>
          </w:p>
          <w:p w14:paraId="52080D24" w14:textId="77777777" w:rsidR="004D0829" w:rsidRPr="00E03956" w:rsidRDefault="004D0829" w:rsidP="00E657D3">
            <w:pPr>
              <w:jc w:val="both"/>
              <w:rPr>
                <w:rFonts w:ascii="Verdana" w:hAnsi="Verdana"/>
                <w:bCs/>
              </w:rPr>
            </w:pPr>
            <w:r w:rsidRPr="00772028">
              <w:rPr>
                <w:rFonts w:ascii="Verdana" w:hAnsi="Verdana"/>
                <w:bCs/>
              </w:rPr>
              <w:t>Entidades territoriales</w:t>
            </w:r>
          </w:p>
          <w:p w14:paraId="19ECF4ED" w14:textId="1DD6C20C" w:rsidR="004D0829" w:rsidRPr="00E03956" w:rsidRDefault="00E03956" w:rsidP="00E657D3">
            <w:pPr>
              <w:jc w:val="both"/>
              <w:rPr>
                <w:rFonts w:ascii="Verdana" w:hAnsi="Verdana"/>
                <w:bCs/>
              </w:rPr>
            </w:pPr>
            <w:r w:rsidRPr="00E03956">
              <w:rPr>
                <w:rFonts w:ascii="Verdana" w:hAnsi="Verdana"/>
                <w:bCs/>
              </w:rPr>
              <w:t>Beneficiarios del Subsidio Familiar de Vivienda</w:t>
            </w:r>
          </w:p>
          <w:p w14:paraId="7BB2A00D" w14:textId="77777777" w:rsidR="004D0829" w:rsidRPr="00772028" w:rsidRDefault="004D0829" w:rsidP="00E657D3">
            <w:pPr>
              <w:rPr>
                <w:rFonts w:ascii="Verdana" w:hAnsi="Verdana" w:cs="Arial"/>
                <w:iCs/>
                <w:color w:val="000000"/>
              </w:rPr>
            </w:pPr>
          </w:p>
        </w:tc>
      </w:tr>
      <w:tr w:rsidR="005A2F1E" w:rsidRPr="00A56436" w14:paraId="0B15B23D" w14:textId="77777777" w:rsidTr="007A22DE">
        <w:trPr>
          <w:trHeight w:val="77"/>
        </w:trPr>
        <w:tc>
          <w:tcPr>
            <w:tcW w:w="10774" w:type="dxa"/>
            <w:gridSpan w:val="3"/>
            <w:tcBorders>
              <w:bottom w:val="single" w:sz="4" w:space="0" w:color="auto"/>
            </w:tcBorders>
            <w:shd w:val="clear" w:color="auto" w:fill="FFFFFF"/>
            <w:vAlign w:val="center"/>
          </w:tcPr>
          <w:p w14:paraId="08CCCA1F" w14:textId="77777777" w:rsidR="004D0829" w:rsidRPr="00772028" w:rsidRDefault="004D0829" w:rsidP="00E657D3">
            <w:pPr>
              <w:numPr>
                <w:ilvl w:val="0"/>
                <w:numId w:val="1"/>
              </w:numPr>
              <w:ind w:left="494"/>
              <w:rPr>
                <w:rFonts w:ascii="Verdana" w:hAnsi="Verdana" w:cs="Arial"/>
                <w:b/>
                <w:color w:val="000000"/>
              </w:rPr>
            </w:pPr>
            <w:r w:rsidRPr="00772028">
              <w:rPr>
                <w:rFonts w:ascii="Verdana" w:hAnsi="Verdana" w:cs="Arial"/>
                <w:b/>
                <w:color w:val="000000"/>
              </w:rPr>
              <w:t>VIABILIDAD JURÍDICA</w:t>
            </w:r>
          </w:p>
          <w:p w14:paraId="3372BF76" w14:textId="77777777" w:rsidR="004D0829" w:rsidRPr="00772028" w:rsidRDefault="004D0829" w:rsidP="00E657D3">
            <w:pPr>
              <w:rPr>
                <w:rFonts w:ascii="Verdana" w:hAnsi="Verdana" w:cs="Arial"/>
                <w:i/>
                <w:color w:val="808080"/>
              </w:rPr>
            </w:pPr>
            <w:r w:rsidRPr="00772028">
              <w:rPr>
                <w:rFonts w:ascii="Verdana" w:hAnsi="Verdana" w:cs="Arial"/>
                <w:i/>
                <w:color w:val="808080"/>
              </w:rPr>
              <w:t>(Por favor desarrolle cada uno de los siguientes puntos)</w:t>
            </w:r>
          </w:p>
          <w:p w14:paraId="5427CE2F" w14:textId="77777777" w:rsidR="004D0829" w:rsidRPr="00772028" w:rsidRDefault="004D0829" w:rsidP="00E657D3">
            <w:pPr>
              <w:ind w:left="494" w:hanging="283"/>
              <w:rPr>
                <w:rFonts w:ascii="Verdana" w:hAnsi="Verdana" w:cs="Arial"/>
                <w:i/>
                <w:color w:val="808080"/>
              </w:rPr>
            </w:pPr>
          </w:p>
          <w:p w14:paraId="161DC362" w14:textId="77777777" w:rsidR="004D0829" w:rsidRPr="00772028" w:rsidRDefault="004D0829" w:rsidP="00E657D3">
            <w:pPr>
              <w:ind w:left="494" w:hanging="283"/>
              <w:jc w:val="both"/>
              <w:rPr>
                <w:rFonts w:ascii="Verdana" w:hAnsi="Verdana" w:cs="Arial"/>
                <w:lang w:val="es-CO" w:eastAsia="es-CO"/>
              </w:rPr>
            </w:pPr>
            <w:r w:rsidRPr="00E80C58">
              <w:rPr>
                <w:rFonts w:ascii="Verdana" w:hAnsi="Verdana" w:cs="Arial"/>
                <w:b/>
                <w:bCs/>
                <w:lang w:val="es-CO" w:eastAsia="es-CO"/>
              </w:rPr>
              <w:t>3.1</w:t>
            </w:r>
            <w:r w:rsidRPr="00772028">
              <w:rPr>
                <w:rFonts w:ascii="Verdana" w:hAnsi="Verdana" w:cs="Arial"/>
                <w:lang w:val="es-CO" w:eastAsia="es-CO"/>
              </w:rPr>
              <w:t xml:space="preserve"> </w:t>
            </w:r>
            <w:r w:rsidRPr="00E80C58">
              <w:rPr>
                <w:rFonts w:ascii="Verdana" w:hAnsi="Verdana" w:cs="Arial"/>
                <w:b/>
                <w:bCs/>
                <w:lang w:val="es-CO" w:eastAsia="es-CO"/>
              </w:rPr>
              <w:t>Análisis de las normas que otorgan la competencia para la expedición del proyecto normativo</w:t>
            </w:r>
          </w:p>
          <w:p w14:paraId="0EDD4612" w14:textId="77777777" w:rsidR="004D0829" w:rsidRPr="00772028" w:rsidRDefault="004D0829" w:rsidP="00E657D3">
            <w:pPr>
              <w:ind w:left="494" w:hanging="283"/>
              <w:jc w:val="both"/>
              <w:rPr>
                <w:rFonts w:ascii="Verdana" w:hAnsi="Verdana" w:cs="Arial"/>
                <w:lang w:val="es-CO" w:eastAsia="es-CO"/>
              </w:rPr>
            </w:pPr>
          </w:p>
          <w:p w14:paraId="59D5CE3E" w14:textId="77777777" w:rsidR="004D0829" w:rsidRPr="00E80C58" w:rsidRDefault="004D0829" w:rsidP="00E657D3">
            <w:pPr>
              <w:jc w:val="both"/>
              <w:rPr>
                <w:rFonts w:ascii="Verdana" w:hAnsi="Verdana"/>
                <w:b/>
              </w:rPr>
            </w:pPr>
            <w:r w:rsidRPr="00E80C58">
              <w:rPr>
                <w:rFonts w:ascii="Verdana" w:hAnsi="Verdana"/>
                <w:b/>
              </w:rPr>
              <w:t xml:space="preserve">Fundamento Constitucional </w:t>
            </w:r>
          </w:p>
          <w:p w14:paraId="7A561914" w14:textId="77777777" w:rsidR="004D0829" w:rsidRPr="00772028" w:rsidRDefault="004D0829" w:rsidP="00E657D3">
            <w:pPr>
              <w:jc w:val="both"/>
              <w:rPr>
                <w:rFonts w:ascii="Verdana" w:hAnsi="Verdana"/>
                <w:bCs/>
              </w:rPr>
            </w:pPr>
          </w:p>
          <w:p w14:paraId="540D1E6F" w14:textId="77777777" w:rsidR="004D0829" w:rsidRPr="00772028" w:rsidRDefault="004D0829" w:rsidP="00E657D3">
            <w:pPr>
              <w:jc w:val="both"/>
              <w:rPr>
                <w:rFonts w:ascii="Verdana" w:hAnsi="Verdana"/>
                <w:bCs/>
              </w:rPr>
            </w:pPr>
            <w:r w:rsidRPr="00772028">
              <w:rPr>
                <w:rFonts w:ascii="Verdana" w:hAnsi="Verdana"/>
                <w:bCs/>
              </w:rPr>
              <w:t>El artículo 51 de la Constitución Política de Colombia, en relación con el deber del Estado de promover el acceso a una vivienda establece que todos los colombianos tienen derecho a vivienda digna. También establece que el Estado fijará las condiciones necesarias para hacer efectivo este derecho y promoverá planes de vivienda de interés social, sistemas adecuados de financiación a largo plazo y formas asociativas de ejecución de estos programas de vivienda.</w:t>
            </w:r>
          </w:p>
          <w:p w14:paraId="16556011" w14:textId="77777777" w:rsidR="004D0829" w:rsidRPr="00772028" w:rsidRDefault="004D0829" w:rsidP="00E657D3">
            <w:pPr>
              <w:jc w:val="both"/>
              <w:rPr>
                <w:rFonts w:ascii="Verdana" w:hAnsi="Verdana"/>
                <w:bCs/>
              </w:rPr>
            </w:pPr>
          </w:p>
          <w:p w14:paraId="64533A8D" w14:textId="0068D4FA" w:rsidR="004D0829" w:rsidRPr="00772028" w:rsidRDefault="004D0829" w:rsidP="00E657D3">
            <w:pPr>
              <w:jc w:val="both"/>
              <w:rPr>
                <w:rFonts w:ascii="Verdana" w:hAnsi="Verdana"/>
                <w:bCs/>
              </w:rPr>
            </w:pPr>
            <w:r w:rsidRPr="00772028">
              <w:rPr>
                <w:rFonts w:ascii="Verdana" w:hAnsi="Verdana"/>
                <w:bCs/>
              </w:rPr>
              <w:t>Por su parte</w:t>
            </w:r>
            <w:r w:rsidR="00E80C58">
              <w:rPr>
                <w:rFonts w:ascii="Verdana" w:hAnsi="Verdana"/>
                <w:bCs/>
              </w:rPr>
              <w:t>,</w:t>
            </w:r>
            <w:r w:rsidRPr="00772028">
              <w:rPr>
                <w:rFonts w:ascii="Verdana" w:hAnsi="Verdana"/>
                <w:bCs/>
              </w:rPr>
              <w:t xml:space="preserve"> el numeral 11 del artículo 189 de la Constitución Política</w:t>
            </w:r>
            <w:r w:rsidR="00E80C58">
              <w:rPr>
                <w:rFonts w:ascii="Verdana" w:hAnsi="Verdana"/>
                <w:bCs/>
              </w:rPr>
              <w:t xml:space="preserve"> </w:t>
            </w:r>
            <w:r w:rsidRPr="00772028">
              <w:rPr>
                <w:rFonts w:ascii="Verdana" w:hAnsi="Verdana"/>
                <w:bCs/>
              </w:rPr>
              <w:t xml:space="preserve">dispone que corresponde al </w:t>
            </w:r>
            <w:proofErr w:type="gramStart"/>
            <w:r w:rsidRPr="00772028">
              <w:rPr>
                <w:rFonts w:ascii="Verdana" w:hAnsi="Verdana"/>
                <w:bCs/>
              </w:rPr>
              <w:t>Presidente</w:t>
            </w:r>
            <w:proofErr w:type="gramEnd"/>
            <w:r w:rsidRPr="00772028">
              <w:rPr>
                <w:rFonts w:ascii="Verdana" w:hAnsi="Verdana"/>
                <w:bCs/>
              </w:rPr>
              <w:t xml:space="preserve"> de la República como Jefe de Estado, Jefe de Gobierno y Suprema Autoridad Administrativa, ejercer la potestad reglamentaria, mediante la expedición de los decretos, resoluciones, y órdenes necesarios para la cumplida ejecución de las leyes.</w:t>
            </w:r>
          </w:p>
          <w:p w14:paraId="67FA0CE9" w14:textId="77777777" w:rsidR="004D0829" w:rsidRPr="00772028" w:rsidRDefault="004D0829" w:rsidP="00E657D3">
            <w:pPr>
              <w:jc w:val="both"/>
              <w:rPr>
                <w:rFonts w:ascii="Verdana" w:hAnsi="Verdana"/>
                <w:bCs/>
              </w:rPr>
            </w:pPr>
          </w:p>
          <w:p w14:paraId="7ECE30BD" w14:textId="77777777" w:rsidR="004D0829" w:rsidRPr="00772028" w:rsidRDefault="004D0829" w:rsidP="00E657D3">
            <w:pPr>
              <w:jc w:val="both"/>
              <w:rPr>
                <w:rFonts w:ascii="Verdana" w:hAnsi="Verdana"/>
                <w:bCs/>
              </w:rPr>
            </w:pPr>
            <w:r w:rsidRPr="00772028">
              <w:rPr>
                <w:rFonts w:ascii="Verdana" w:hAnsi="Verdana"/>
                <w:bCs/>
              </w:rPr>
              <w:t xml:space="preserve">Al respecto, la potestad reglamentaria es una facultad constitucional propia del </w:t>
            </w:r>
            <w:proofErr w:type="gramStart"/>
            <w:r w:rsidRPr="00772028">
              <w:rPr>
                <w:rFonts w:ascii="Verdana" w:hAnsi="Verdana"/>
                <w:bCs/>
              </w:rPr>
              <w:t>Presidente</w:t>
            </w:r>
            <w:proofErr w:type="gramEnd"/>
            <w:r w:rsidRPr="00772028">
              <w:rPr>
                <w:rFonts w:ascii="Verdana" w:hAnsi="Verdana"/>
                <w:bCs/>
              </w:rPr>
              <w:t xml:space="preserve"> de la República que lo autoriza para expedir normas de carácter general destinadas a la ejecución y cumplimiento de la ley. Esta facultad se caracteriza por ser una atribución constitucional inalienable, intransferible, inagotable, pues no tiene plazo y puede ejercerse en cualquier tiempo, e irrenunciable, porque es un atributo indispensable para que la administración cumpla con su función de ejecutar la ley.</w:t>
            </w:r>
          </w:p>
          <w:p w14:paraId="4730CAA8" w14:textId="77777777" w:rsidR="004D0829" w:rsidRPr="00772028" w:rsidRDefault="004D0829" w:rsidP="00E657D3">
            <w:pPr>
              <w:jc w:val="both"/>
              <w:rPr>
                <w:rFonts w:ascii="Verdana" w:hAnsi="Verdana"/>
                <w:bCs/>
              </w:rPr>
            </w:pPr>
          </w:p>
          <w:p w14:paraId="35DB5C95" w14:textId="4FC1FDE8" w:rsidR="004D0829" w:rsidRPr="00E80C58" w:rsidRDefault="004D0829" w:rsidP="00E657D3">
            <w:pPr>
              <w:jc w:val="both"/>
              <w:rPr>
                <w:rFonts w:ascii="Verdana" w:hAnsi="Verdana"/>
                <w:b/>
              </w:rPr>
            </w:pPr>
            <w:r w:rsidRPr="00E80C58">
              <w:rPr>
                <w:rFonts w:ascii="Verdana" w:hAnsi="Verdana"/>
                <w:b/>
              </w:rPr>
              <w:t>Fundamento legal y reglamentario</w:t>
            </w:r>
            <w:r w:rsidR="00E80C58">
              <w:rPr>
                <w:rFonts w:ascii="Verdana" w:hAnsi="Verdana"/>
                <w:b/>
              </w:rPr>
              <w:t>:</w:t>
            </w:r>
          </w:p>
          <w:p w14:paraId="3B7B99E5" w14:textId="77777777" w:rsidR="004D0829" w:rsidRPr="00772028" w:rsidRDefault="004D0829" w:rsidP="00E657D3">
            <w:pPr>
              <w:jc w:val="both"/>
              <w:rPr>
                <w:rFonts w:ascii="Verdana" w:hAnsi="Verdana"/>
                <w:bCs/>
              </w:rPr>
            </w:pPr>
          </w:p>
          <w:p w14:paraId="0FB26B70" w14:textId="03B35A70" w:rsidR="00E03956" w:rsidRPr="00E03956" w:rsidRDefault="00E03956" w:rsidP="00E657D3">
            <w:pPr>
              <w:pStyle w:val="Default"/>
              <w:ind w:right="-22"/>
              <w:jc w:val="both"/>
              <w:rPr>
                <w:rFonts w:ascii="Verdana" w:hAnsi="Verdana"/>
                <w:bCs/>
                <w:sz w:val="20"/>
                <w:szCs w:val="20"/>
              </w:rPr>
            </w:pPr>
            <w:r>
              <w:rPr>
                <w:rFonts w:ascii="Verdana" w:hAnsi="Verdana"/>
                <w:bCs/>
                <w:sz w:val="20"/>
                <w:szCs w:val="20"/>
              </w:rPr>
              <w:t xml:space="preserve">El </w:t>
            </w:r>
            <w:r w:rsidRPr="00E03956">
              <w:rPr>
                <w:rFonts w:ascii="Verdana" w:hAnsi="Verdana"/>
                <w:bCs/>
                <w:sz w:val="20"/>
                <w:szCs w:val="20"/>
              </w:rPr>
              <w:t>artículo 44 de la Ley 9 de 1989, modificado por el artículo 91 de la Ley 388 de 1997, defin</w:t>
            </w:r>
            <w:r>
              <w:rPr>
                <w:rFonts w:ascii="Verdana" w:hAnsi="Verdana"/>
                <w:bCs/>
                <w:sz w:val="20"/>
                <w:szCs w:val="20"/>
              </w:rPr>
              <w:t>ió</w:t>
            </w:r>
            <w:r w:rsidRPr="00E03956">
              <w:rPr>
                <w:rFonts w:ascii="Verdana" w:hAnsi="Verdana"/>
                <w:bCs/>
                <w:sz w:val="20"/>
                <w:szCs w:val="20"/>
              </w:rPr>
              <w:t xml:space="preserve"> a la vivienda de interés social como aquella que se desarrolla para garantizar el derecho a la vivienda de los hogares de menores ingresos.</w:t>
            </w:r>
          </w:p>
          <w:p w14:paraId="4AD0571E" w14:textId="77777777" w:rsidR="00E03956" w:rsidRPr="00E03956" w:rsidRDefault="00E03956" w:rsidP="00E657D3">
            <w:pPr>
              <w:pStyle w:val="Default"/>
              <w:ind w:right="-22"/>
              <w:jc w:val="both"/>
              <w:rPr>
                <w:rFonts w:ascii="Verdana" w:hAnsi="Verdana"/>
                <w:bCs/>
                <w:sz w:val="20"/>
                <w:szCs w:val="20"/>
              </w:rPr>
            </w:pPr>
          </w:p>
          <w:p w14:paraId="35AAF2EA" w14:textId="1AE8AD64" w:rsidR="00E03956" w:rsidRPr="00E03956" w:rsidRDefault="00E03956" w:rsidP="00E657D3">
            <w:pPr>
              <w:pStyle w:val="Default"/>
              <w:ind w:right="-22"/>
              <w:jc w:val="both"/>
              <w:rPr>
                <w:rFonts w:ascii="Verdana" w:hAnsi="Verdana"/>
                <w:bCs/>
                <w:sz w:val="20"/>
                <w:szCs w:val="20"/>
              </w:rPr>
            </w:pPr>
            <w:r>
              <w:rPr>
                <w:rFonts w:ascii="Verdana" w:hAnsi="Verdana"/>
                <w:bCs/>
                <w:sz w:val="20"/>
                <w:szCs w:val="20"/>
              </w:rPr>
              <w:t>E</w:t>
            </w:r>
            <w:r w:rsidRPr="00E03956">
              <w:rPr>
                <w:rFonts w:ascii="Verdana" w:hAnsi="Verdana"/>
                <w:bCs/>
                <w:sz w:val="20"/>
                <w:szCs w:val="20"/>
              </w:rPr>
              <w:t xml:space="preserve">sta misma norma </w:t>
            </w:r>
            <w:r>
              <w:rPr>
                <w:rFonts w:ascii="Verdana" w:hAnsi="Verdana"/>
                <w:bCs/>
                <w:sz w:val="20"/>
                <w:szCs w:val="20"/>
              </w:rPr>
              <w:t>indicó</w:t>
            </w:r>
            <w:r w:rsidRPr="00E03956">
              <w:rPr>
                <w:rFonts w:ascii="Verdana" w:hAnsi="Verdana"/>
                <w:bCs/>
                <w:sz w:val="20"/>
                <w:szCs w:val="20"/>
              </w:rPr>
              <w:t xml:space="preserve"> que en cada Plan Nacional de Desarrollo el Gobierno Nacional </w:t>
            </w:r>
            <w:r>
              <w:rPr>
                <w:rFonts w:ascii="Verdana" w:hAnsi="Verdana"/>
                <w:bCs/>
                <w:sz w:val="20"/>
                <w:szCs w:val="20"/>
              </w:rPr>
              <w:t xml:space="preserve">se </w:t>
            </w:r>
            <w:r w:rsidRPr="00E03956">
              <w:rPr>
                <w:rFonts w:ascii="Verdana" w:hAnsi="Verdana"/>
                <w:bCs/>
                <w:sz w:val="20"/>
                <w:szCs w:val="20"/>
              </w:rPr>
              <w:t xml:space="preserve">establecerá el tipo y </w:t>
            </w:r>
            <w:r w:rsidR="006746E5">
              <w:rPr>
                <w:rFonts w:ascii="Verdana" w:hAnsi="Verdana"/>
                <w:bCs/>
                <w:sz w:val="20"/>
                <w:szCs w:val="20"/>
              </w:rPr>
              <w:t>valor</w:t>
            </w:r>
            <w:r w:rsidRPr="00E03956">
              <w:rPr>
                <w:rFonts w:ascii="Verdana" w:hAnsi="Verdana"/>
                <w:bCs/>
                <w:sz w:val="20"/>
                <w:szCs w:val="20"/>
              </w:rPr>
              <w:t xml:space="preserve"> máximo de las soluciones destinadas a estos hogares teniendo en cuenta, entre otros aspectos, las características del déficit habitacional, las posibilidades de acceso al crédito de los hogares, las condiciones de la oferta de vivienda, el monto de recursos de crédito disponibles por parte del sector financiero y la suma de fondos del Estado destinados a los programas de vivienda.</w:t>
            </w:r>
          </w:p>
          <w:p w14:paraId="7A35CCC0" w14:textId="77777777" w:rsidR="00E03956" w:rsidRPr="00E03956" w:rsidRDefault="00E03956" w:rsidP="00E657D3">
            <w:pPr>
              <w:pStyle w:val="Default"/>
              <w:ind w:right="-22"/>
              <w:jc w:val="both"/>
              <w:rPr>
                <w:rFonts w:ascii="Verdana" w:hAnsi="Verdana"/>
                <w:bCs/>
                <w:sz w:val="20"/>
                <w:szCs w:val="20"/>
              </w:rPr>
            </w:pPr>
          </w:p>
          <w:p w14:paraId="7E32D5C1" w14:textId="188D9FE3" w:rsidR="00E03956" w:rsidRPr="00E03956" w:rsidRDefault="00E03956" w:rsidP="00E657D3">
            <w:pPr>
              <w:pStyle w:val="Default"/>
              <w:ind w:right="-22"/>
              <w:jc w:val="both"/>
              <w:rPr>
                <w:rFonts w:ascii="Verdana" w:hAnsi="Verdana"/>
                <w:bCs/>
                <w:sz w:val="20"/>
                <w:szCs w:val="20"/>
              </w:rPr>
            </w:pPr>
            <w:r>
              <w:rPr>
                <w:rFonts w:ascii="Verdana" w:hAnsi="Verdana"/>
                <w:bCs/>
                <w:sz w:val="20"/>
                <w:szCs w:val="20"/>
              </w:rPr>
              <w:t>E</w:t>
            </w:r>
            <w:r w:rsidRPr="00E03956">
              <w:rPr>
                <w:rFonts w:ascii="Verdana" w:hAnsi="Verdana"/>
                <w:bCs/>
                <w:sz w:val="20"/>
                <w:szCs w:val="20"/>
              </w:rPr>
              <w:t>l artículo 293 de la Ley 2294 de 2023, por la cual se expi</w:t>
            </w:r>
            <w:r>
              <w:rPr>
                <w:rFonts w:ascii="Verdana" w:hAnsi="Verdana"/>
                <w:bCs/>
                <w:sz w:val="20"/>
                <w:szCs w:val="20"/>
              </w:rPr>
              <w:t>dió</w:t>
            </w:r>
            <w:r w:rsidRPr="00E03956">
              <w:rPr>
                <w:rFonts w:ascii="Verdana" w:hAnsi="Verdana"/>
                <w:bCs/>
                <w:sz w:val="20"/>
                <w:szCs w:val="20"/>
              </w:rPr>
              <w:t xml:space="preserve"> el Plan Nacional de Desarrollo 2022-2026, disp</w:t>
            </w:r>
            <w:r>
              <w:rPr>
                <w:rFonts w:ascii="Verdana" w:hAnsi="Verdana"/>
                <w:bCs/>
                <w:sz w:val="20"/>
                <w:szCs w:val="20"/>
              </w:rPr>
              <w:t>uso</w:t>
            </w:r>
            <w:r w:rsidRPr="00E03956">
              <w:rPr>
                <w:rFonts w:ascii="Verdana" w:hAnsi="Verdana"/>
                <w:bCs/>
                <w:sz w:val="20"/>
                <w:szCs w:val="20"/>
              </w:rPr>
              <w:t xml:space="preserve"> que la vivienda de interés social es aquella que se desarrolla para garantizar el derecho a la vivienda de los hogares de menores ingresos, que cumple con los estándares de calidad en diseño urbanístico, arquitectónico y de construcción sostenible, y cuyo valor no exceda los ciento treinta y cinco salarios mínimos mensuales legales vigentes (135 SMMLV).</w:t>
            </w:r>
          </w:p>
          <w:p w14:paraId="7F3F3AA8" w14:textId="77777777" w:rsidR="00E03956" w:rsidRPr="00E03956" w:rsidRDefault="00E03956" w:rsidP="00E657D3">
            <w:pPr>
              <w:pStyle w:val="Default"/>
              <w:ind w:right="-22"/>
              <w:jc w:val="both"/>
              <w:rPr>
                <w:rFonts w:ascii="Verdana" w:hAnsi="Verdana"/>
                <w:bCs/>
                <w:sz w:val="20"/>
                <w:szCs w:val="20"/>
              </w:rPr>
            </w:pPr>
          </w:p>
          <w:p w14:paraId="37BA2E73" w14:textId="6B509ADC" w:rsidR="00E03956" w:rsidRPr="00E03956" w:rsidRDefault="00E03956" w:rsidP="00E657D3">
            <w:pPr>
              <w:pStyle w:val="Default"/>
              <w:ind w:right="-22"/>
              <w:jc w:val="both"/>
              <w:rPr>
                <w:rFonts w:ascii="Verdana" w:hAnsi="Verdana"/>
                <w:bCs/>
                <w:sz w:val="20"/>
                <w:szCs w:val="20"/>
              </w:rPr>
            </w:pPr>
            <w:r>
              <w:rPr>
                <w:rFonts w:ascii="Verdana" w:hAnsi="Verdana"/>
                <w:bCs/>
                <w:sz w:val="20"/>
                <w:szCs w:val="20"/>
              </w:rPr>
              <w:t>El citado artículo consideró que</w:t>
            </w:r>
            <w:r w:rsidR="006746E5">
              <w:rPr>
                <w:rFonts w:ascii="Verdana" w:hAnsi="Verdana"/>
                <w:bCs/>
                <w:sz w:val="20"/>
                <w:szCs w:val="20"/>
              </w:rPr>
              <w:t>,</w:t>
            </w:r>
            <w:r w:rsidRPr="00E03956">
              <w:rPr>
                <w:rFonts w:ascii="Verdana" w:hAnsi="Verdana"/>
                <w:bCs/>
                <w:sz w:val="20"/>
                <w:szCs w:val="20"/>
              </w:rPr>
              <w:t xml:space="preserve"> excepcionalmente, el Gobierno Nacional podrá establecer como precio máximo de la vivienda de interés social el valor de ciento cincuenta salarios mínimos mensuales legales vigentes (150 SMMLV) cuando se presente alguna o varias de las siguientes condiciones: </w:t>
            </w:r>
          </w:p>
          <w:p w14:paraId="7C94CF82" w14:textId="77777777" w:rsidR="00E03956" w:rsidRPr="00E03956" w:rsidRDefault="00E03956" w:rsidP="00E657D3">
            <w:pPr>
              <w:pStyle w:val="Default"/>
              <w:ind w:right="-22"/>
              <w:jc w:val="both"/>
              <w:rPr>
                <w:rFonts w:ascii="Verdana" w:hAnsi="Verdana"/>
                <w:bCs/>
                <w:i/>
                <w:iCs/>
                <w:sz w:val="20"/>
                <w:szCs w:val="20"/>
              </w:rPr>
            </w:pPr>
          </w:p>
          <w:p w14:paraId="73E9B758" w14:textId="77777777" w:rsidR="00E03956" w:rsidRPr="00E03956" w:rsidRDefault="00E03956" w:rsidP="00E657D3">
            <w:pPr>
              <w:pStyle w:val="Default"/>
              <w:ind w:left="274" w:right="-22"/>
              <w:jc w:val="both"/>
              <w:rPr>
                <w:rFonts w:ascii="Verdana" w:hAnsi="Verdana"/>
                <w:bCs/>
                <w:i/>
                <w:iCs/>
                <w:sz w:val="20"/>
                <w:szCs w:val="20"/>
              </w:rPr>
            </w:pPr>
            <w:r w:rsidRPr="00E03956">
              <w:rPr>
                <w:rFonts w:ascii="Verdana" w:hAnsi="Verdana"/>
                <w:bCs/>
                <w:i/>
                <w:iCs/>
                <w:sz w:val="20"/>
                <w:szCs w:val="20"/>
              </w:rPr>
              <w:t xml:space="preserve">“A) Cuando las viviendas incorporen criterios de sostenibilidad adicionales a los mínimos que defina el Gobierno nacional. </w:t>
            </w:r>
          </w:p>
          <w:p w14:paraId="682B9464" w14:textId="77777777" w:rsidR="00E03956" w:rsidRPr="00E03956" w:rsidRDefault="00E03956" w:rsidP="00E657D3">
            <w:pPr>
              <w:pStyle w:val="Default"/>
              <w:ind w:left="274" w:right="-22"/>
              <w:jc w:val="both"/>
              <w:rPr>
                <w:rFonts w:ascii="Verdana" w:hAnsi="Verdana"/>
                <w:bCs/>
                <w:i/>
                <w:iCs/>
                <w:sz w:val="20"/>
                <w:szCs w:val="20"/>
              </w:rPr>
            </w:pPr>
            <w:r w:rsidRPr="00E03956">
              <w:rPr>
                <w:rFonts w:ascii="Verdana" w:hAnsi="Verdana"/>
                <w:bCs/>
                <w:i/>
                <w:iCs/>
                <w:sz w:val="20"/>
                <w:szCs w:val="20"/>
              </w:rPr>
              <w:lastRenderedPageBreak/>
              <w:t xml:space="preserve">B) Cuando las viviendas </w:t>
            </w:r>
            <w:proofErr w:type="gramStart"/>
            <w:r w:rsidRPr="00E03956">
              <w:rPr>
                <w:rFonts w:ascii="Verdana" w:hAnsi="Verdana"/>
                <w:bCs/>
                <w:i/>
                <w:iCs/>
                <w:sz w:val="20"/>
                <w:szCs w:val="20"/>
              </w:rPr>
              <w:t>de acuerdo a</w:t>
            </w:r>
            <w:proofErr w:type="gramEnd"/>
            <w:r w:rsidRPr="00E03956">
              <w:rPr>
                <w:rFonts w:ascii="Verdana" w:hAnsi="Verdana"/>
                <w:bCs/>
                <w:i/>
                <w:iCs/>
                <w:sz w:val="20"/>
                <w:szCs w:val="20"/>
              </w:rPr>
              <w:t xml:space="preserve"> lo definido por el CONPES 3819 de 2014 o el que lo modifique, se encuentren ubicadas en ciudades </w:t>
            </w:r>
            <w:proofErr w:type="spellStart"/>
            <w:r w:rsidRPr="00E03956">
              <w:rPr>
                <w:rFonts w:ascii="Verdana" w:hAnsi="Verdana"/>
                <w:bCs/>
                <w:i/>
                <w:iCs/>
                <w:sz w:val="20"/>
                <w:szCs w:val="20"/>
              </w:rPr>
              <w:t>uninodales</w:t>
            </w:r>
            <w:proofErr w:type="spellEnd"/>
            <w:r w:rsidRPr="00E03956">
              <w:rPr>
                <w:rFonts w:ascii="Verdana" w:hAnsi="Verdana"/>
                <w:bCs/>
                <w:i/>
                <w:iCs/>
                <w:sz w:val="20"/>
                <w:szCs w:val="20"/>
              </w:rPr>
              <w:t xml:space="preserve"> cuya población supere los trescientos mil (300.000) habitantes, o en aglomeraciones urbanas cuya población supere quinientos mil (500.000) habitantes. </w:t>
            </w:r>
          </w:p>
          <w:p w14:paraId="6AE8B00B" w14:textId="77777777" w:rsidR="00E03956" w:rsidRPr="00E03956" w:rsidRDefault="00E03956" w:rsidP="00E657D3">
            <w:pPr>
              <w:pStyle w:val="Default"/>
              <w:ind w:left="274" w:right="-22"/>
              <w:jc w:val="both"/>
              <w:rPr>
                <w:rFonts w:ascii="Verdana" w:hAnsi="Verdana"/>
                <w:bCs/>
                <w:i/>
                <w:iCs/>
                <w:sz w:val="20"/>
                <w:szCs w:val="20"/>
              </w:rPr>
            </w:pPr>
            <w:r w:rsidRPr="00E03956">
              <w:rPr>
                <w:rFonts w:ascii="Verdana" w:hAnsi="Verdana"/>
                <w:bCs/>
                <w:i/>
                <w:iCs/>
                <w:sz w:val="20"/>
                <w:szCs w:val="20"/>
              </w:rPr>
              <w:t>C) Cuando las viviendas se encuentren en territorios de difícil acceso, o respondan a características culturales, geográficas, económicas o climáticas específicas, en las condiciones que defina el Gobierno nacional.”</w:t>
            </w:r>
          </w:p>
          <w:p w14:paraId="7BB68F87" w14:textId="77777777" w:rsidR="00E03956" w:rsidRPr="00E03956" w:rsidRDefault="00E03956" w:rsidP="00E657D3">
            <w:pPr>
              <w:pStyle w:val="Default"/>
              <w:ind w:right="-22"/>
              <w:jc w:val="both"/>
              <w:rPr>
                <w:rFonts w:ascii="Verdana" w:hAnsi="Verdana"/>
                <w:bCs/>
                <w:sz w:val="20"/>
                <w:szCs w:val="20"/>
              </w:rPr>
            </w:pPr>
          </w:p>
          <w:p w14:paraId="4979820E" w14:textId="20C32486" w:rsidR="00E03956" w:rsidRDefault="00E03956" w:rsidP="00E657D3">
            <w:pPr>
              <w:pStyle w:val="Default"/>
              <w:ind w:right="-22"/>
              <w:jc w:val="both"/>
              <w:rPr>
                <w:rFonts w:ascii="Verdana" w:hAnsi="Verdana"/>
                <w:bCs/>
                <w:sz w:val="20"/>
                <w:szCs w:val="20"/>
              </w:rPr>
            </w:pPr>
            <w:r>
              <w:rPr>
                <w:rFonts w:ascii="Verdana" w:hAnsi="Verdana"/>
                <w:bCs/>
                <w:sz w:val="20"/>
                <w:szCs w:val="20"/>
              </w:rPr>
              <w:t xml:space="preserve">Así mismo, el parágrafo </w:t>
            </w:r>
            <w:r w:rsidR="008F37A8">
              <w:rPr>
                <w:rFonts w:ascii="Verdana" w:hAnsi="Verdana"/>
                <w:bCs/>
                <w:sz w:val="20"/>
                <w:szCs w:val="20"/>
              </w:rPr>
              <w:t>primero</w:t>
            </w:r>
            <w:r>
              <w:rPr>
                <w:rFonts w:ascii="Verdana" w:hAnsi="Verdana"/>
                <w:bCs/>
                <w:sz w:val="20"/>
                <w:szCs w:val="20"/>
              </w:rPr>
              <w:t xml:space="preserve"> del artículo 293 estableció que </w:t>
            </w:r>
            <w:r w:rsidR="008F37A8">
              <w:rPr>
                <w:rFonts w:ascii="Verdana" w:hAnsi="Verdana"/>
                <w:bCs/>
                <w:sz w:val="20"/>
                <w:szCs w:val="20"/>
              </w:rPr>
              <w:t>e</w:t>
            </w:r>
            <w:r w:rsidR="008F37A8" w:rsidRPr="008F37A8">
              <w:rPr>
                <w:rFonts w:ascii="Verdana" w:hAnsi="Verdana"/>
                <w:bCs/>
                <w:sz w:val="20"/>
                <w:szCs w:val="20"/>
              </w:rPr>
              <w:t xml:space="preserve">l </w:t>
            </w:r>
            <w:r w:rsidR="006746E5">
              <w:rPr>
                <w:rFonts w:ascii="Verdana" w:hAnsi="Verdana"/>
                <w:bCs/>
                <w:sz w:val="20"/>
                <w:szCs w:val="20"/>
              </w:rPr>
              <w:t>valor</w:t>
            </w:r>
            <w:r w:rsidR="008F37A8" w:rsidRPr="008F37A8">
              <w:rPr>
                <w:rFonts w:ascii="Verdana" w:hAnsi="Verdana"/>
                <w:bCs/>
                <w:sz w:val="20"/>
                <w:szCs w:val="20"/>
              </w:rPr>
              <w:t xml:space="preserve"> máximo de la vivienda de interés social (VIS) será de ciento cincuenta (150) SMMLV, en los distritos y municipios para los cuales el Gobierno </w:t>
            </w:r>
            <w:r w:rsidR="006746E5">
              <w:rPr>
                <w:rFonts w:ascii="Verdana" w:hAnsi="Verdana"/>
                <w:bCs/>
                <w:sz w:val="20"/>
                <w:szCs w:val="20"/>
              </w:rPr>
              <w:t>N</w:t>
            </w:r>
            <w:r w:rsidR="008F37A8" w:rsidRPr="008F37A8">
              <w:rPr>
                <w:rFonts w:ascii="Verdana" w:hAnsi="Verdana"/>
                <w:bCs/>
                <w:sz w:val="20"/>
                <w:szCs w:val="20"/>
              </w:rPr>
              <w:t xml:space="preserve">acional, en vigencia del artículo 85 de la Ley 1955 de 2019, haya definido ese precio máximo. Lo anterior, sin perjuicio del </w:t>
            </w:r>
            <w:r w:rsidR="006746E5">
              <w:rPr>
                <w:rFonts w:ascii="Verdana" w:hAnsi="Verdana"/>
                <w:bCs/>
                <w:sz w:val="20"/>
                <w:szCs w:val="20"/>
              </w:rPr>
              <w:t>valor</w:t>
            </w:r>
            <w:r w:rsidR="008F37A8" w:rsidRPr="008F37A8">
              <w:rPr>
                <w:rFonts w:ascii="Verdana" w:hAnsi="Verdana"/>
                <w:bCs/>
                <w:sz w:val="20"/>
                <w:szCs w:val="20"/>
              </w:rPr>
              <w:t xml:space="preserve"> máximo dispuesto en este artículo para la VIS que se ejecute en el marco de programas y/o proyectos de renovación urbana.</w:t>
            </w:r>
          </w:p>
          <w:p w14:paraId="0FA1D44E" w14:textId="795CF567" w:rsidR="00692086" w:rsidRPr="00692086" w:rsidRDefault="00692086" w:rsidP="00692086">
            <w:pPr>
              <w:pStyle w:val="Default"/>
              <w:ind w:right="-22"/>
              <w:jc w:val="both"/>
              <w:rPr>
                <w:rFonts w:ascii="Verdana" w:hAnsi="Verdana"/>
                <w:bCs/>
                <w:sz w:val="20"/>
                <w:szCs w:val="20"/>
              </w:rPr>
            </w:pPr>
          </w:p>
          <w:p w14:paraId="4E5A688F" w14:textId="523C92E5" w:rsidR="00692086" w:rsidRPr="00692086" w:rsidRDefault="006746E5" w:rsidP="00692086">
            <w:pPr>
              <w:pStyle w:val="Default"/>
              <w:ind w:right="-22"/>
              <w:jc w:val="both"/>
              <w:rPr>
                <w:rFonts w:ascii="Verdana" w:hAnsi="Verdana"/>
                <w:bCs/>
                <w:sz w:val="20"/>
                <w:szCs w:val="20"/>
              </w:rPr>
            </w:pPr>
            <w:r>
              <w:rPr>
                <w:rFonts w:ascii="Verdana" w:hAnsi="Verdana"/>
                <w:bCs/>
                <w:sz w:val="20"/>
                <w:szCs w:val="20"/>
              </w:rPr>
              <w:t>Por otra parte, d</w:t>
            </w:r>
            <w:r w:rsidR="00692086" w:rsidRPr="00692086">
              <w:rPr>
                <w:rFonts w:ascii="Verdana" w:hAnsi="Verdana"/>
                <w:bCs/>
                <w:sz w:val="20"/>
                <w:szCs w:val="20"/>
              </w:rPr>
              <w:t>e acuerdo con el artículo 25 de la Ley 2079 de 2021, se podrá incentivar la inversión privada en vivienda de interés social rural, mediante los mecanismos de pago de obras por impuestos, pago de obras por regalías o a través de donaciones, para lo cual se reglamentará el uso de estos mecanismos.</w:t>
            </w:r>
          </w:p>
          <w:p w14:paraId="17E4FD66" w14:textId="77777777" w:rsidR="00692086" w:rsidRPr="00E03956" w:rsidRDefault="00692086" w:rsidP="00E657D3">
            <w:pPr>
              <w:pStyle w:val="Default"/>
              <w:ind w:right="-22"/>
              <w:jc w:val="both"/>
              <w:rPr>
                <w:rFonts w:ascii="Verdana" w:hAnsi="Verdana"/>
                <w:bCs/>
                <w:sz w:val="20"/>
                <w:szCs w:val="20"/>
              </w:rPr>
            </w:pPr>
          </w:p>
          <w:p w14:paraId="0EBE7F10" w14:textId="1CD112BB" w:rsidR="004D0829" w:rsidRPr="00772028" w:rsidRDefault="006746E5" w:rsidP="00E657D3">
            <w:pPr>
              <w:ind w:left="494" w:hanging="283"/>
              <w:jc w:val="both"/>
              <w:rPr>
                <w:rFonts w:ascii="Verdana" w:hAnsi="Verdana" w:cs="Arial"/>
                <w:lang w:val="es-CO" w:eastAsia="es-CO"/>
              </w:rPr>
            </w:pPr>
            <w:r>
              <w:rPr>
                <w:rFonts w:ascii="Verdana" w:hAnsi="Verdana" w:cs="Arial"/>
                <w:b/>
                <w:bCs/>
                <w:lang w:val="es-CO" w:eastAsia="es-CO"/>
              </w:rPr>
              <w:t xml:space="preserve">  </w:t>
            </w:r>
            <w:r w:rsidR="004D0829" w:rsidRPr="006746E5">
              <w:rPr>
                <w:rFonts w:ascii="Verdana" w:hAnsi="Verdana" w:cs="Arial"/>
                <w:b/>
                <w:bCs/>
                <w:lang w:val="es-CO" w:eastAsia="es-CO"/>
              </w:rPr>
              <w:t>3.2</w:t>
            </w:r>
            <w:r w:rsidR="004D0829" w:rsidRPr="00772028">
              <w:rPr>
                <w:rFonts w:ascii="Verdana" w:hAnsi="Verdana" w:cs="Arial"/>
                <w:lang w:val="es-CO" w:eastAsia="es-CO"/>
              </w:rPr>
              <w:t xml:space="preserve"> </w:t>
            </w:r>
            <w:r w:rsidR="004D0829" w:rsidRPr="006746E5">
              <w:rPr>
                <w:rFonts w:ascii="Verdana" w:hAnsi="Verdana" w:cs="Arial"/>
                <w:b/>
                <w:bCs/>
                <w:lang w:val="es-CO" w:eastAsia="es-CO"/>
              </w:rPr>
              <w:t>Vigencia de la ley o norma reglamentada o desarrollada</w:t>
            </w:r>
          </w:p>
          <w:p w14:paraId="3D1D2F07" w14:textId="77777777" w:rsidR="004D0829" w:rsidRPr="00772028" w:rsidRDefault="004D0829" w:rsidP="00E657D3">
            <w:pPr>
              <w:ind w:left="494" w:hanging="283"/>
              <w:jc w:val="both"/>
              <w:rPr>
                <w:rFonts w:ascii="Verdana" w:hAnsi="Verdana" w:cs="Arial"/>
                <w:lang w:val="es-CO" w:eastAsia="es-CO"/>
              </w:rPr>
            </w:pPr>
          </w:p>
          <w:p w14:paraId="23A1EB73" w14:textId="77777777" w:rsidR="004D0829" w:rsidRPr="00772028" w:rsidRDefault="004D0829" w:rsidP="00E657D3">
            <w:pPr>
              <w:jc w:val="both"/>
              <w:rPr>
                <w:rFonts w:ascii="Verdana" w:hAnsi="Verdana" w:cs="Arial"/>
                <w:lang w:val="es-CO" w:eastAsia="es-CO"/>
              </w:rPr>
            </w:pPr>
            <w:r w:rsidRPr="00772028">
              <w:rPr>
                <w:rFonts w:ascii="Verdana" w:hAnsi="Verdana" w:cs="Arial"/>
                <w:lang w:val="es-CO" w:eastAsia="es-CO"/>
              </w:rPr>
              <w:t>El Decreto 1077 de 2015 objeto de modificación con el presente proyecto normativo se encuentra vigente.</w:t>
            </w:r>
          </w:p>
          <w:p w14:paraId="15D24E55" w14:textId="77777777" w:rsidR="004D0829" w:rsidRPr="00772028" w:rsidRDefault="004D0829" w:rsidP="00E657D3">
            <w:pPr>
              <w:ind w:left="494" w:hanging="283"/>
              <w:jc w:val="both"/>
              <w:rPr>
                <w:rFonts w:ascii="Verdana" w:hAnsi="Verdana" w:cs="Arial"/>
                <w:lang w:val="es-CO" w:eastAsia="es-CO"/>
              </w:rPr>
            </w:pPr>
          </w:p>
          <w:p w14:paraId="4013C528" w14:textId="77777777" w:rsidR="004D0829" w:rsidRPr="006746E5" w:rsidRDefault="004D0829" w:rsidP="00E657D3">
            <w:pPr>
              <w:numPr>
                <w:ilvl w:val="1"/>
                <w:numId w:val="1"/>
              </w:numPr>
              <w:jc w:val="both"/>
              <w:rPr>
                <w:rFonts w:ascii="Verdana" w:hAnsi="Verdana" w:cs="Arial"/>
                <w:b/>
                <w:bCs/>
                <w:lang w:val="es-CO" w:eastAsia="es-CO"/>
              </w:rPr>
            </w:pPr>
            <w:r w:rsidRPr="006746E5">
              <w:rPr>
                <w:rFonts w:ascii="Verdana" w:hAnsi="Verdana" w:cs="Arial"/>
                <w:b/>
                <w:bCs/>
                <w:lang w:val="es-CO" w:eastAsia="es-CO"/>
              </w:rPr>
              <w:t xml:space="preserve">Disposiciones derogas, subrogadas, modificadas, adicionadas o sustituidas </w:t>
            </w:r>
          </w:p>
          <w:p w14:paraId="517F64CD" w14:textId="77777777" w:rsidR="004D0829" w:rsidRPr="00772028" w:rsidRDefault="004D0829" w:rsidP="00E657D3">
            <w:pPr>
              <w:jc w:val="both"/>
              <w:rPr>
                <w:rFonts w:ascii="Verdana" w:hAnsi="Verdana" w:cs="Arial"/>
                <w:lang w:val="es-CO" w:eastAsia="es-CO"/>
              </w:rPr>
            </w:pPr>
          </w:p>
          <w:p w14:paraId="1F4ADB13" w14:textId="1BC86295" w:rsidR="004D0829" w:rsidRPr="00772028" w:rsidRDefault="004D0829" w:rsidP="00E657D3">
            <w:pPr>
              <w:jc w:val="both"/>
              <w:rPr>
                <w:rFonts w:ascii="Verdana" w:hAnsi="Verdana" w:cs="Arial"/>
                <w:lang w:eastAsia="es-CO"/>
              </w:rPr>
            </w:pPr>
            <w:r w:rsidRPr="00772028">
              <w:rPr>
                <w:rFonts w:ascii="Verdana" w:hAnsi="Verdana" w:cs="Arial"/>
                <w:lang w:eastAsia="es-CO"/>
              </w:rPr>
              <w:t>El presente proyecto normativo modifica</w:t>
            </w:r>
            <w:r w:rsidR="00E03956">
              <w:rPr>
                <w:rFonts w:ascii="Verdana" w:hAnsi="Verdana" w:cs="Arial"/>
                <w:lang w:eastAsia="es-CO"/>
              </w:rPr>
              <w:t xml:space="preserve"> </w:t>
            </w:r>
            <w:r w:rsidR="00E03956" w:rsidRPr="00E03956">
              <w:rPr>
                <w:rFonts w:ascii="Verdana" w:hAnsi="Verdana" w:cs="Arial"/>
                <w:lang w:eastAsia="es-CO"/>
              </w:rPr>
              <w:t>el numeral 2.1 del artículo 2.1.1.1.1.1.2, el artículo 2.1.9.1. y adiciona los artículos 2.1.9.2, 2.1.9.3 y 2.1.9.4 del Decreto 1077 de 2015</w:t>
            </w:r>
            <w:r w:rsidR="006746E5">
              <w:rPr>
                <w:rFonts w:ascii="Verdana" w:hAnsi="Verdana" w:cs="Arial"/>
                <w:lang w:eastAsia="es-CO"/>
              </w:rPr>
              <w:t>.</w:t>
            </w:r>
          </w:p>
          <w:p w14:paraId="7C1A6615" w14:textId="77777777" w:rsidR="004D0829" w:rsidRPr="00772028" w:rsidRDefault="004D0829" w:rsidP="00E657D3">
            <w:pPr>
              <w:ind w:left="494" w:hanging="283"/>
              <w:jc w:val="both"/>
              <w:rPr>
                <w:rFonts w:ascii="Verdana" w:hAnsi="Verdana" w:cs="Arial"/>
                <w:lang w:val="es-CO" w:eastAsia="es-CO"/>
              </w:rPr>
            </w:pPr>
          </w:p>
          <w:p w14:paraId="1BCB3CC0" w14:textId="77777777" w:rsidR="004D0829" w:rsidRPr="006746E5" w:rsidRDefault="004D0829" w:rsidP="00E657D3">
            <w:pPr>
              <w:ind w:left="494" w:hanging="283"/>
              <w:jc w:val="both"/>
              <w:rPr>
                <w:rFonts w:ascii="Verdana" w:hAnsi="Verdana" w:cs="Arial"/>
                <w:b/>
                <w:bCs/>
                <w:lang w:val="es-CO" w:eastAsia="es-CO"/>
              </w:rPr>
            </w:pPr>
            <w:r w:rsidRPr="006746E5">
              <w:rPr>
                <w:rFonts w:ascii="Verdana" w:hAnsi="Verdana" w:cs="Arial"/>
                <w:b/>
                <w:bCs/>
                <w:lang w:val="es-CO" w:eastAsia="es-CO"/>
              </w:rPr>
              <w:t>3.4 Revisión y análisis de la jurisprudencia que tenga impacto o sea relevante para la expedición del proyecto normativo (órganos de cierre de cada jurisdicción)</w:t>
            </w:r>
          </w:p>
          <w:p w14:paraId="5EE654CF" w14:textId="77777777" w:rsidR="004D0829" w:rsidRPr="00772028" w:rsidRDefault="004D0829" w:rsidP="00E657D3">
            <w:pPr>
              <w:ind w:left="494" w:hanging="283"/>
              <w:jc w:val="both"/>
              <w:rPr>
                <w:rFonts w:ascii="Verdana" w:hAnsi="Verdana" w:cs="Arial"/>
                <w:lang w:val="es-CO" w:eastAsia="es-CO"/>
              </w:rPr>
            </w:pPr>
          </w:p>
          <w:p w14:paraId="3F3EAFF7" w14:textId="224F6A5A" w:rsidR="004D0829" w:rsidRPr="00D42927" w:rsidRDefault="004D0829" w:rsidP="00E657D3">
            <w:pPr>
              <w:shd w:val="clear" w:color="auto" w:fill="FFFFFF"/>
              <w:rPr>
                <w:rFonts w:ascii="Verdana" w:hAnsi="Verdana" w:cs="Arial"/>
                <w:color w:val="000000"/>
                <w:lang w:val="pt-PT"/>
              </w:rPr>
            </w:pPr>
            <w:r w:rsidRPr="00FE3080">
              <w:rPr>
                <w:rFonts w:ascii="Verdana" w:hAnsi="Verdana" w:cs="Arial"/>
                <w:color w:val="000000"/>
              </w:rPr>
              <w:t> </w:t>
            </w:r>
            <w:r w:rsidR="00085204" w:rsidRPr="00D42927">
              <w:rPr>
                <w:rFonts w:ascii="Verdana" w:hAnsi="Verdana" w:cs="Arial"/>
                <w:color w:val="000000"/>
                <w:lang w:val="pt-PT"/>
              </w:rPr>
              <w:t>N/A</w:t>
            </w:r>
          </w:p>
          <w:p w14:paraId="0207A8FC" w14:textId="77777777" w:rsidR="00085204" w:rsidRPr="00D42927" w:rsidRDefault="00085204" w:rsidP="00E657D3">
            <w:pPr>
              <w:shd w:val="clear" w:color="auto" w:fill="FFFFFF"/>
              <w:rPr>
                <w:rFonts w:ascii="Verdana" w:hAnsi="Verdana" w:cs="Arial"/>
                <w:lang w:val="pt-PT" w:eastAsia="es-CO"/>
              </w:rPr>
            </w:pPr>
          </w:p>
          <w:p w14:paraId="62F17E21" w14:textId="77777777" w:rsidR="004D0829" w:rsidRPr="00D42927" w:rsidRDefault="004D0829" w:rsidP="00E657D3">
            <w:pPr>
              <w:ind w:left="494" w:hanging="283"/>
              <w:jc w:val="both"/>
              <w:rPr>
                <w:rFonts w:ascii="Verdana" w:hAnsi="Verdana" w:cs="Arial"/>
                <w:b/>
                <w:bCs/>
                <w:lang w:val="pt-PT" w:eastAsia="es-CO"/>
              </w:rPr>
            </w:pPr>
            <w:r w:rsidRPr="00D42927">
              <w:rPr>
                <w:rFonts w:ascii="Verdana" w:hAnsi="Verdana" w:cs="Arial"/>
                <w:b/>
                <w:bCs/>
                <w:lang w:val="pt-PT" w:eastAsia="es-CO"/>
              </w:rPr>
              <w:t xml:space="preserve">3.5 Circunstancias jurídicas adicionales </w:t>
            </w:r>
          </w:p>
          <w:p w14:paraId="6580AB4D" w14:textId="77777777" w:rsidR="004D0829" w:rsidRPr="00D42927" w:rsidRDefault="004D0829" w:rsidP="00E657D3">
            <w:pPr>
              <w:ind w:left="494" w:hanging="283"/>
              <w:jc w:val="both"/>
              <w:rPr>
                <w:rFonts w:ascii="Verdana" w:hAnsi="Verdana" w:cs="Arial"/>
                <w:lang w:val="pt-PT" w:eastAsia="es-CO"/>
              </w:rPr>
            </w:pPr>
          </w:p>
          <w:p w14:paraId="2EF0A196" w14:textId="05F6427F" w:rsidR="00015820" w:rsidRPr="00D42927" w:rsidRDefault="00015820" w:rsidP="00E657D3">
            <w:pPr>
              <w:shd w:val="clear" w:color="auto" w:fill="FFFFFF"/>
              <w:rPr>
                <w:rFonts w:ascii="Verdana" w:hAnsi="Verdana" w:cs="Arial"/>
                <w:lang w:val="pt-PT" w:eastAsia="es-CO"/>
              </w:rPr>
            </w:pPr>
            <w:r w:rsidRPr="00D42927">
              <w:rPr>
                <w:rFonts w:ascii="Verdana" w:hAnsi="Verdana" w:cs="Arial"/>
                <w:lang w:val="pt-PT" w:eastAsia="es-CO"/>
              </w:rPr>
              <w:t>N/A</w:t>
            </w:r>
          </w:p>
          <w:p w14:paraId="039B7F5C" w14:textId="77777777" w:rsidR="00085204" w:rsidRPr="00D42927" w:rsidRDefault="00085204" w:rsidP="00E657D3">
            <w:pPr>
              <w:jc w:val="both"/>
              <w:rPr>
                <w:rFonts w:ascii="Verdana" w:hAnsi="Verdana" w:cs="Arial"/>
                <w:lang w:val="pt-PT" w:eastAsia="es-CO"/>
              </w:rPr>
            </w:pPr>
          </w:p>
          <w:p w14:paraId="46B439AE" w14:textId="77777777" w:rsidR="004D0829" w:rsidRPr="00D42927" w:rsidRDefault="004D0829" w:rsidP="00E657D3">
            <w:pPr>
              <w:pBdr>
                <w:top w:val="single" w:sz="4" w:space="1" w:color="auto"/>
                <w:left w:val="single" w:sz="4" w:space="4" w:color="auto"/>
                <w:bottom w:val="single" w:sz="4" w:space="1" w:color="auto"/>
                <w:right w:val="single" w:sz="4" w:space="4" w:color="auto"/>
              </w:pBdr>
              <w:jc w:val="both"/>
              <w:rPr>
                <w:rFonts w:ascii="Verdana" w:hAnsi="Verdana" w:cs="Arial"/>
                <w:lang w:val="pt-PT" w:eastAsia="es-CO"/>
              </w:rPr>
            </w:pPr>
          </w:p>
        </w:tc>
      </w:tr>
      <w:tr w:rsidR="005A2F1E" w:rsidRPr="00772028" w14:paraId="7BD45EB6" w14:textId="77777777" w:rsidTr="007A22DE">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638275" w14:textId="77777777" w:rsidR="004D0829" w:rsidRPr="00D42927" w:rsidRDefault="004D0829" w:rsidP="00E657D3">
            <w:pPr>
              <w:rPr>
                <w:rFonts w:ascii="Verdana" w:hAnsi="Verdana" w:cs="Arial"/>
                <w:b/>
                <w:color w:val="000000"/>
                <w:lang w:val="pt-PT"/>
              </w:rPr>
            </w:pPr>
          </w:p>
          <w:p w14:paraId="3690BA77" w14:textId="77777777" w:rsidR="004D0829" w:rsidRPr="00772028" w:rsidRDefault="004D0829" w:rsidP="00E657D3">
            <w:pPr>
              <w:numPr>
                <w:ilvl w:val="0"/>
                <w:numId w:val="1"/>
              </w:numPr>
              <w:ind w:left="494"/>
              <w:rPr>
                <w:rFonts w:ascii="Verdana" w:hAnsi="Verdana" w:cs="Arial"/>
                <w:b/>
                <w:color w:val="000000"/>
              </w:rPr>
            </w:pPr>
            <w:r w:rsidRPr="00772028">
              <w:rPr>
                <w:rFonts w:ascii="Verdana" w:hAnsi="Verdana" w:cs="Arial"/>
                <w:b/>
                <w:color w:val="000000"/>
              </w:rPr>
              <w:t xml:space="preserve">IMPACTO ECONÓMICO </w:t>
            </w:r>
            <w:r w:rsidRPr="00772028">
              <w:rPr>
                <w:rFonts w:ascii="Verdana" w:hAnsi="Verdana" w:cs="Arial"/>
                <w:color w:val="000000"/>
              </w:rPr>
              <w:t>(Si se requiere)</w:t>
            </w:r>
          </w:p>
          <w:p w14:paraId="694E39A6" w14:textId="77777777" w:rsidR="004D0829" w:rsidRPr="00772028" w:rsidRDefault="004D0829" w:rsidP="00E657D3">
            <w:pPr>
              <w:jc w:val="both"/>
              <w:rPr>
                <w:rFonts w:ascii="Verdana" w:hAnsi="Verdana" w:cs="Arial"/>
                <w:i/>
                <w:color w:val="808080"/>
              </w:rPr>
            </w:pPr>
            <w:r w:rsidRPr="00772028">
              <w:rPr>
                <w:rFonts w:ascii="Verdana" w:hAnsi="Verdana" w:cs="Arial"/>
                <w:i/>
                <w:color w:val="808080"/>
              </w:rPr>
              <w:t>(Por favor señale el costo o ahorro de la implementación del acto administrativo)</w:t>
            </w:r>
          </w:p>
          <w:p w14:paraId="79068E03" w14:textId="77777777" w:rsidR="004D0829" w:rsidRPr="00772028" w:rsidRDefault="004D0829" w:rsidP="00E657D3">
            <w:pPr>
              <w:jc w:val="both"/>
              <w:rPr>
                <w:rFonts w:ascii="Verdana" w:hAnsi="Verdana" w:cs="Arial"/>
                <w:i/>
                <w:color w:val="808080"/>
              </w:rPr>
            </w:pPr>
          </w:p>
          <w:p w14:paraId="0B82FAD6" w14:textId="489325A2" w:rsidR="004D0829" w:rsidRPr="00772028" w:rsidRDefault="004D0829" w:rsidP="00E657D3">
            <w:pPr>
              <w:jc w:val="both"/>
              <w:rPr>
                <w:rFonts w:ascii="Verdana" w:hAnsi="Verdana" w:cs="Arial"/>
                <w:i/>
                <w:color w:val="808080"/>
              </w:rPr>
            </w:pPr>
            <w:r w:rsidRPr="00772028">
              <w:rPr>
                <w:rFonts w:ascii="Verdana" w:hAnsi="Verdana" w:cs="Arial"/>
                <w:lang w:val="es-CO" w:eastAsia="es-CO"/>
              </w:rPr>
              <w:t>El presente proyecto normativo no tiene impacto económico</w:t>
            </w:r>
            <w:r w:rsidR="006746E5">
              <w:rPr>
                <w:rFonts w:ascii="Verdana" w:hAnsi="Verdana" w:cs="Arial"/>
                <w:lang w:val="es-CO" w:eastAsia="es-CO"/>
              </w:rPr>
              <w:t>,</w:t>
            </w:r>
            <w:r w:rsidRPr="00772028">
              <w:rPr>
                <w:rFonts w:ascii="Verdana" w:hAnsi="Verdana" w:cs="Arial"/>
                <w:lang w:val="es-CO" w:eastAsia="es-CO"/>
              </w:rPr>
              <w:t xml:space="preserve"> por cuanto </w:t>
            </w:r>
            <w:r w:rsidR="008F37A8">
              <w:rPr>
                <w:rFonts w:ascii="Verdana" w:hAnsi="Verdana" w:cs="Arial"/>
                <w:lang w:val="es-CO" w:eastAsia="es-CO"/>
              </w:rPr>
              <w:t xml:space="preserve">con la expedición de este decreto, se </w:t>
            </w:r>
            <w:r w:rsidR="008F37A8" w:rsidRPr="008F37A8">
              <w:rPr>
                <w:rFonts w:ascii="Verdana" w:hAnsi="Verdana" w:cs="Arial"/>
                <w:lang w:val="es-CO" w:eastAsia="es-CO"/>
              </w:rPr>
              <w:t>busca favorecer la disponibilidad de oferta de vivienda</w:t>
            </w:r>
            <w:r w:rsidR="006746E5">
              <w:rPr>
                <w:rFonts w:ascii="Verdana" w:hAnsi="Verdana" w:cs="Arial"/>
                <w:lang w:val="es-CO" w:eastAsia="es-CO"/>
              </w:rPr>
              <w:t xml:space="preserve"> de interés social</w:t>
            </w:r>
            <w:r w:rsidR="008F37A8" w:rsidRPr="008F37A8">
              <w:rPr>
                <w:rFonts w:ascii="Verdana" w:hAnsi="Verdana" w:cs="Arial"/>
                <w:lang w:val="es-CO" w:eastAsia="es-CO"/>
              </w:rPr>
              <w:t xml:space="preserve"> en </w:t>
            </w:r>
            <w:r w:rsidR="008F37A8">
              <w:rPr>
                <w:rFonts w:ascii="Verdana" w:hAnsi="Verdana" w:cs="Arial"/>
                <w:lang w:val="es-CO" w:eastAsia="es-CO"/>
              </w:rPr>
              <w:t>los distritos y municipios que cumplan con los criterios señalados</w:t>
            </w:r>
            <w:r w:rsidR="008F37A8" w:rsidRPr="008F37A8">
              <w:rPr>
                <w:rFonts w:ascii="Verdana" w:hAnsi="Verdana" w:cs="Arial"/>
                <w:lang w:val="es-CO" w:eastAsia="es-CO"/>
              </w:rPr>
              <w:t>, en l</w:t>
            </w:r>
            <w:r w:rsidR="003A0DAB">
              <w:rPr>
                <w:rFonts w:ascii="Verdana" w:hAnsi="Verdana" w:cs="Arial"/>
                <w:lang w:val="es-CO" w:eastAsia="es-CO"/>
              </w:rPr>
              <w:t>o</w:t>
            </w:r>
            <w:r w:rsidR="008F37A8" w:rsidRPr="008F37A8">
              <w:rPr>
                <w:rFonts w:ascii="Verdana" w:hAnsi="Verdana" w:cs="Arial"/>
                <w:lang w:val="es-CO" w:eastAsia="es-CO"/>
              </w:rPr>
              <w:t>s que hoy en día se dificulta la aplicación del subsidio</w:t>
            </w:r>
            <w:r w:rsidR="003A0DAB">
              <w:rPr>
                <w:rFonts w:ascii="Verdana" w:hAnsi="Verdana" w:cs="Arial"/>
                <w:lang w:val="es-CO" w:eastAsia="es-CO"/>
              </w:rPr>
              <w:t xml:space="preserve"> familiar de vivienda</w:t>
            </w:r>
            <w:r w:rsidR="008F37A8" w:rsidRPr="008F37A8">
              <w:rPr>
                <w:rFonts w:ascii="Verdana" w:hAnsi="Verdana" w:cs="Arial"/>
                <w:lang w:val="es-CO" w:eastAsia="es-CO"/>
              </w:rPr>
              <w:t xml:space="preserve"> por parte de quienes cumplen con las condiciones para su asignación, ante la ausencia o restricción en la oferta</w:t>
            </w:r>
            <w:r w:rsidR="006746E5">
              <w:rPr>
                <w:rFonts w:ascii="Verdana" w:hAnsi="Verdana" w:cs="Arial"/>
                <w:lang w:val="es-CO" w:eastAsia="es-CO"/>
              </w:rPr>
              <w:t xml:space="preserve"> de unidades habitacionales</w:t>
            </w:r>
            <w:r w:rsidR="008F37A8" w:rsidRPr="008F37A8">
              <w:rPr>
                <w:rFonts w:ascii="Verdana" w:hAnsi="Verdana" w:cs="Arial"/>
                <w:lang w:val="es-CO" w:eastAsia="es-CO"/>
              </w:rPr>
              <w:t>.</w:t>
            </w:r>
          </w:p>
          <w:p w14:paraId="6078229A" w14:textId="77777777" w:rsidR="004D0829" w:rsidRPr="00772028" w:rsidRDefault="004D0829" w:rsidP="00E657D3">
            <w:pPr>
              <w:jc w:val="both"/>
              <w:rPr>
                <w:rFonts w:ascii="Verdana" w:hAnsi="Verdana" w:cs="Arial"/>
                <w:lang w:val="es-CO"/>
              </w:rPr>
            </w:pPr>
          </w:p>
        </w:tc>
      </w:tr>
      <w:tr w:rsidR="005A2F1E" w:rsidRPr="00772028" w14:paraId="52BDCA5D" w14:textId="77777777" w:rsidTr="007A22DE">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2541F" w14:textId="77777777" w:rsidR="004D0829" w:rsidRPr="00772028" w:rsidRDefault="004D0829" w:rsidP="00E657D3">
            <w:pPr>
              <w:rPr>
                <w:rFonts w:ascii="Verdana" w:hAnsi="Verdana" w:cs="Arial"/>
                <w:b/>
                <w:color w:val="000000"/>
              </w:rPr>
            </w:pPr>
          </w:p>
          <w:p w14:paraId="14A1E13C" w14:textId="77777777" w:rsidR="004D0829" w:rsidRPr="00772028" w:rsidRDefault="004D0829" w:rsidP="00E657D3">
            <w:pPr>
              <w:numPr>
                <w:ilvl w:val="0"/>
                <w:numId w:val="1"/>
              </w:numPr>
              <w:ind w:left="494"/>
              <w:rPr>
                <w:rFonts w:ascii="Verdana" w:hAnsi="Verdana" w:cs="Arial"/>
                <w:b/>
                <w:color w:val="000000"/>
              </w:rPr>
            </w:pPr>
            <w:r w:rsidRPr="00772028">
              <w:rPr>
                <w:rFonts w:ascii="Verdana" w:hAnsi="Verdana" w:cs="Arial"/>
                <w:b/>
                <w:color w:val="000000"/>
              </w:rPr>
              <w:t xml:space="preserve">VIABILIDAD O DISPONIBILIDAD PRESUPUESTAL </w:t>
            </w:r>
            <w:r w:rsidRPr="00772028">
              <w:rPr>
                <w:rFonts w:ascii="Verdana" w:hAnsi="Verdana" w:cs="Arial"/>
                <w:color w:val="000000"/>
              </w:rPr>
              <w:t>(Si se requiere)</w:t>
            </w:r>
          </w:p>
          <w:p w14:paraId="214A8893" w14:textId="77777777" w:rsidR="004D0829" w:rsidRPr="00772028" w:rsidRDefault="004D0829" w:rsidP="00E657D3">
            <w:pPr>
              <w:jc w:val="both"/>
              <w:rPr>
                <w:rFonts w:ascii="Verdana" w:hAnsi="Verdana" w:cs="Arial"/>
                <w:i/>
                <w:color w:val="808080"/>
              </w:rPr>
            </w:pPr>
            <w:r w:rsidRPr="00772028">
              <w:rPr>
                <w:rFonts w:ascii="Verdana" w:hAnsi="Verdana" w:cs="Arial"/>
                <w:i/>
                <w:color w:val="808080"/>
              </w:rPr>
              <w:t xml:space="preserve">(Por favor indique si cuenta con los recursos presupuestales disponibles para la implementación del proyecto normativo) </w:t>
            </w:r>
          </w:p>
          <w:p w14:paraId="436637B5" w14:textId="77777777" w:rsidR="004D0829" w:rsidRPr="00772028" w:rsidRDefault="004D0829" w:rsidP="00E657D3">
            <w:pPr>
              <w:jc w:val="both"/>
              <w:rPr>
                <w:rFonts w:ascii="Verdana" w:hAnsi="Verdana" w:cs="Arial"/>
                <w:i/>
                <w:color w:val="808080"/>
              </w:rPr>
            </w:pPr>
          </w:p>
          <w:p w14:paraId="4373FF75" w14:textId="6F8C4475" w:rsidR="004D0829" w:rsidRPr="00772028" w:rsidRDefault="004D0829" w:rsidP="00E657D3">
            <w:pPr>
              <w:jc w:val="both"/>
              <w:rPr>
                <w:rFonts w:ascii="Verdana" w:hAnsi="Verdana"/>
                <w:lang w:eastAsia="es-CO"/>
              </w:rPr>
            </w:pPr>
            <w:r w:rsidRPr="00772028">
              <w:rPr>
                <w:rFonts w:ascii="Verdana" w:hAnsi="Verdana"/>
                <w:lang w:eastAsia="es-CO"/>
              </w:rPr>
              <w:t xml:space="preserve">El presente proyecto normativo no tiene impacto presupuestal distinto al establecido en el marco de gasto de mediano plazo del sector vivienda, ciudad y territorio, por lo </w:t>
            </w:r>
            <w:r w:rsidR="00692086" w:rsidRPr="00772028">
              <w:rPr>
                <w:rFonts w:ascii="Verdana" w:hAnsi="Verdana"/>
                <w:lang w:eastAsia="es-CO"/>
              </w:rPr>
              <w:t>tanto,</w:t>
            </w:r>
            <w:r w:rsidRPr="00772028">
              <w:rPr>
                <w:rFonts w:ascii="Verdana" w:hAnsi="Verdana"/>
                <w:lang w:eastAsia="es-CO"/>
              </w:rPr>
              <w:t xml:space="preserve"> el Ministerio de Vivienda, Ciudad y Territorio cuenta con los recursos presupuestales necesarios para la implementación del proyecto de decreto.</w:t>
            </w:r>
            <w:r w:rsidR="00085204">
              <w:rPr>
                <w:rFonts w:ascii="Verdana" w:hAnsi="Verdana"/>
                <w:lang w:eastAsia="es-CO"/>
              </w:rPr>
              <w:t xml:space="preserve"> </w:t>
            </w:r>
          </w:p>
          <w:p w14:paraId="541C0A23" w14:textId="77777777" w:rsidR="004D0829" w:rsidRPr="00772028" w:rsidRDefault="004D0829" w:rsidP="00E657D3">
            <w:pPr>
              <w:jc w:val="both"/>
              <w:rPr>
                <w:rFonts w:ascii="Verdana" w:hAnsi="Verdana"/>
                <w:lang w:eastAsia="es-CO"/>
              </w:rPr>
            </w:pPr>
          </w:p>
        </w:tc>
      </w:tr>
      <w:tr w:rsidR="005A2F1E" w:rsidRPr="00772028" w14:paraId="6DCE00B3" w14:textId="77777777" w:rsidTr="007A22DE">
        <w:trPr>
          <w:trHeight w:val="383"/>
        </w:trPr>
        <w:tc>
          <w:tcPr>
            <w:tcW w:w="10774" w:type="dxa"/>
            <w:gridSpan w:val="3"/>
            <w:tcBorders>
              <w:top w:val="single" w:sz="4" w:space="0" w:color="auto"/>
              <w:bottom w:val="single" w:sz="4" w:space="0" w:color="auto"/>
            </w:tcBorders>
            <w:shd w:val="clear" w:color="auto" w:fill="FFFFFF"/>
            <w:vAlign w:val="center"/>
          </w:tcPr>
          <w:p w14:paraId="56092FF8" w14:textId="77777777" w:rsidR="004D0829" w:rsidRPr="00772028" w:rsidRDefault="004D0829" w:rsidP="00E657D3">
            <w:pPr>
              <w:numPr>
                <w:ilvl w:val="0"/>
                <w:numId w:val="1"/>
              </w:numPr>
              <w:ind w:left="494"/>
              <w:rPr>
                <w:rFonts w:ascii="Verdana" w:hAnsi="Verdana" w:cs="Arial"/>
                <w:b/>
                <w:color w:val="000000"/>
              </w:rPr>
            </w:pPr>
            <w:r w:rsidRPr="00772028">
              <w:rPr>
                <w:rFonts w:ascii="Verdana" w:hAnsi="Verdana" w:cs="Arial"/>
                <w:b/>
                <w:color w:val="000000"/>
              </w:rPr>
              <w:t xml:space="preserve"> IMPACTO MEDIOAMBIENTAL O SOBRE EL PATRIMONIO CULTURAL DE LA NACIÓN </w:t>
            </w:r>
            <w:r w:rsidRPr="00772028">
              <w:rPr>
                <w:rFonts w:ascii="Verdana" w:hAnsi="Verdana" w:cs="Arial"/>
                <w:color w:val="000000"/>
              </w:rPr>
              <w:t>(Si se requiere)</w:t>
            </w:r>
          </w:p>
          <w:p w14:paraId="3982234C" w14:textId="77777777" w:rsidR="004D0829" w:rsidRPr="00772028" w:rsidRDefault="004D0829" w:rsidP="00E657D3">
            <w:pPr>
              <w:jc w:val="both"/>
              <w:rPr>
                <w:rFonts w:ascii="Verdana" w:hAnsi="Verdana" w:cs="Arial"/>
                <w:b/>
                <w:color w:val="000000"/>
              </w:rPr>
            </w:pPr>
            <w:r w:rsidRPr="00772028">
              <w:rPr>
                <w:rFonts w:ascii="Verdana" w:hAnsi="Verdana" w:cs="Arial"/>
                <w:i/>
                <w:color w:val="808080"/>
              </w:rPr>
              <w:t xml:space="preserve">(Por favor indique el proyecto normativo tiene impacto sobre el medio ambiente o el Patrimonio cultural de la Nación) </w:t>
            </w:r>
          </w:p>
          <w:p w14:paraId="5090EB28" w14:textId="77777777" w:rsidR="004D0829" w:rsidRPr="00772028" w:rsidRDefault="004D0829" w:rsidP="00E657D3">
            <w:pPr>
              <w:jc w:val="both"/>
              <w:rPr>
                <w:rFonts w:ascii="Verdana" w:hAnsi="Verdana" w:cs="Arial"/>
                <w:b/>
                <w:color w:val="000000"/>
              </w:rPr>
            </w:pPr>
          </w:p>
          <w:p w14:paraId="629A417C" w14:textId="77777777" w:rsidR="004D0829" w:rsidRDefault="004D0829" w:rsidP="00E657D3">
            <w:pPr>
              <w:jc w:val="both"/>
              <w:rPr>
                <w:rFonts w:ascii="Verdana" w:hAnsi="Verdana" w:cs="Arial"/>
                <w:iCs/>
              </w:rPr>
            </w:pPr>
            <w:r w:rsidRPr="00772028">
              <w:rPr>
                <w:rFonts w:ascii="Verdana" w:hAnsi="Verdana" w:cs="Arial"/>
                <w:iCs/>
              </w:rPr>
              <w:t>El presente proyecto normativo no tiene impacto sobre el medio ambiente o el patrimonio cultural de la Nación.</w:t>
            </w:r>
          </w:p>
          <w:p w14:paraId="52CF17B9" w14:textId="77777777" w:rsidR="004D0829" w:rsidRPr="009D32B9" w:rsidRDefault="004D0829" w:rsidP="00E657D3">
            <w:pPr>
              <w:jc w:val="both"/>
              <w:rPr>
                <w:rFonts w:ascii="Verdana" w:hAnsi="Verdana" w:cs="Arial"/>
                <w:iCs/>
              </w:rPr>
            </w:pPr>
          </w:p>
        </w:tc>
      </w:tr>
      <w:tr w:rsidR="005A2F1E" w:rsidRPr="00772028" w14:paraId="2EB44F26" w14:textId="77777777" w:rsidTr="007A22DE">
        <w:trPr>
          <w:trHeight w:val="317"/>
        </w:trPr>
        <w:tc>
          <w:tcPr>
            <w:tcW w:w="10774" w:type="dxa"/>
            <w:gridSpan w:val="3"/>
            <w:tcBorders>
              <w:top w:val="single" w:sz="4" w:space="0" w:color="auto"/>
              <w:bottom w:val="single" w:sz="4" w:space="0" w:color="auto"/>
            </w:tcBorders>
            <w:shd w:val="clear" w:color="auto" w:fill="FFFFFF"/>
            <w:vAlign w:val="center"/>
          </w:tcPr>
          <w:p w14:paraId="12FDD3D5" w14:textId="77777777" w:rsidR="004D0829" w:rsidRPr="00772028" w:rsidRDefault="004D0829" w:rsidP="00E657D3">
            <w:pPr>
              <w:numPr>
                <w:ilvl w:val="0"/>
                <w:numId w:val="1"/>
              </w:numPr>
              <w:ind w:left="494"/>
              <w:rPr>
                <w:rFonts w:ascii="Verdana" w:hAnsi="Verdana" w:cs="Arial"/>
              </w:rPr>
            </w:pPr>
            <w:r w:rsidRPr="00772028">
              <w:rPr>
                <w:rFonts w:ascii="Verdana" w:hAnsi="Verdana" w:cs="Arial"/>
                <w:b/>
              </w:rPr>
              <w:lastRenderedPageBreak/>
              <w:t>ESTUDIOS TÉCNICOS QUE SUSTENTEN EL PROYECTO NORMATIVO</w:t>
            </w:r>
            <w:r w:rsidRPr="00772028">
              <w:rPr>
                <w:rFonts w:ascii="Verdana" w:hAnsi="Verdana" w:cs="Arial"/>
              </w:rPr>
              <w:t xml:space="preserve"> (Si cuenta con ellos) </w:t>
            </w:r>
          </w:p>
        </w:tc>
      </w:tr>
      <w:tr w:rsidR="005A2F1E" w:rsidRPr="00772028" w14:paraId="68725F43"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564D2431" w14:textId="77777777" w:rsidR="004D0829" w:rsidRPr="00772028" w:rsidRDefault="004D0829" w:rsidP="00E657D3">
            <w:pPr>
              <w:rPr>
                <w:rFonts w:ascii="Verdana" w:hAnsi="Verdana" w:cs="Arial"/>
                <w:b/>
                <w:color w:val="000000"/>
              </w:rPr>
            </w:pPr>
          </w:p>
        </w:tc>
      </w:tr>
      <w:tr w:rsidR="005A2F1E" w:rsidRPr="00772028" w14:paraId="3064C53F"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06BD8A06" w14:textId="04538247" w:rsidR="004D0829" w:rsidRPr="00772028" w:rsidRDefault="00F73CDA" w:rsidP="00E657D3">
            <w:pPr>
              <w:jc w:val="both"/>
              <w:rPr>
                <w:rFonts w:ascii="Verdana" w:hAnsi="Verdana" w:cs="Arial"/>
              </w:rPr>
            </w:pPr>
            <w:r>
              <w:rPr>
                <w:rFonts w:ascii="Verdana" w:hAnsi="Verdana" w:cs="Arial"/>
              </w:rPr>
              <w:t xml:space="preserve">Los señalados en el numeral 1 del presente documento. </w:t>
            </w:r>
          </w:p>
        </w:tc>
      </w:tr>
      <w:tr w:rsidR="005A2F1E" w:rsidRPr="00772028" w14:paraId="2103DDCA"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24EFDD27" w14:textId="77777777" w:rsidR="004D0829" w:rsidRPr="00772028" w:rsidRDefault="004D0829" w:rsidP="00E657D3">
            <w:pPr>
              <w:rPr>
                <w:rFonts w:ascii="Verdana" w:hAnsi="Verdana" w:cs="Arial"/>
                <w:color w:val="996633"/>
              </w:rPr>
            </w:pPr>
          </w:p>
        </w:tc>
      </w:tr>
      <w:tr w:rsidR="005A2F1E" w:rsidRPr="00772028" w14:paraId="037DCA17"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2C603FD6" w14:textId="77777777" w:rsidR="004D0829" w:rsidRPr="00772028" w:rsidRDefault="004D0829" w:rsidP="00E657D3">
            <w:pPr>
              <w:jc w:val="both"/>
              <w:rPr>
                <w:rFonts w:ascii="Verdana" w:hAnsi="Verdana" w:cs="Arial"/>
              </w:rPr>
            </w:pPr>
          </w:p>
        </w:tc>
      </w:tr>
      <w:tr w:rsidR="005A2F1E" w:rsidRPr="00772028" w14:paraId="26C9EF6D"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0BBE8390" w14:textId="77777777" w:rsidR="004D0829" w:rsidRPr="00772028" w:rsidRDefault="004D0829" w:rsidP="00E657D3">
            <w:pPr>
              <w:jc w:val="center"/>
              <w:rPr>
                <w:rFonts w:ascii="Verdana" w:hAnsi="Verdana" w:cs="Arial"/>
              </w:rPr>
            </w:pPr>
          </w:p>
        </w:tc>
      </w:tr>
      <w:tr w:rsidR="005A2F1E" w:rsidRPr="00772028" w14:paraId="1F956F34"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2BF2E059" w14:textId="77777777" w:rsidR="004D0829" w:rsidRPr="00772028" w:rsidRDefault="004D0829" w:rsidP="00E657D3">
            <w:pPr>
              <w:jc w:val="center"/>
              <w:rPr>
                <w:rFonts w:ascii="Verdana" w:hAnsi="Verdana" w:cs="Arial"/>
                <w:u w:val="single"/>
              </w:rPr>
            </w:pPr>
          </w:p>
        </w:tc>
      </w:tr>
      <w:tr w:rsidR="005A2F1E" w:rsidRPr="00772028" w14:paraId="71813B87" w14:textId="77777777" w:rsidTr="007A22DE">
        <w:trPr>
          <w:trHeight w:val="416"/>
        </w:trPr>
        <w:tc>
          <w:tcPr>
            <w:tcW w:w="10774" w:type="dxa"/>
            <w:gridSpan w:val="3"/>
            <w:tcBorders>
              <w:top w:val="single" w:sz="4" w:space="0" w:color="auto"/>
              <w:bottom w:val="single" w:sz="4" w:space="0" w:color="auto"/>
            </w:tcBorders>
            <w:shd w:val="clear" w:color="auto" w:fill="C5E9F3"/>
            <w:vAlign w:val="center"/>
          </w:tcPr>
          <w:p w14:paraId="42D7F28F" w14:textId="77777777" w:rsidR="004D0829" w:rsidRPr="00772028" w:rsidRDefault="004D0829" w:rsidP="00E657D3">
            <w:pPr>
              <w:jc w:val="center"/>
              <w:rPr>
                <w:rFonts w:ascii="Verdana" w:hAnsi="Verdana" w:cs="Arial"/>
              </w:rPr>
            </w:pPr>
            <w:r w:rsidRPr="00772028">
              <w:rPr>
                <w:rFonts w:ascii="Verdana" w:hAnsi="Verdana" w:cs="Arial"/>
                <w:b/>
              </w:rPr>
              <w:t>ANEXOS:</w:t>
            </w:r>
            <w:r w:rsidRPr="00772028">
              <w:rPr>
                <w:rFonts w:ascii="Verdana" w:hAnsi="Verdana" w:cs="Arial"/>
              </w:rPr>
              <w:t xml:space="preserve"> </w:t>
            </w:r>
          </w:p>
        </w:tc>
      </w:tr>
      <w:tr w:rsidR="005A2F1E" w:rsidRPr="00772028" w14:paraId="31C398BB"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5D5933F" w14:textId="77777777" w:rsidR="004D0829" w:rsidRPr="00772028" w:rsidRDefault="004D0829" w:rsidP="00E657D3">
            <w:pPr>
              <w:jc w:val="both"/>
              <w:rPr>
                <w:rFonts w:ascii="Verdana" w:hAnsi="Verdana" w:cs="Arial"/>
              </w:rPr>
            </w:pPr>
            <w:r w:rsidRPr="00772028">
              <w:rPr>
                <w:rFonts w:ascii="Verdana" w:hAnsi="Verdana" w:cs="Arial"/>
              </w:rPr>
              <w:t xml:space="preserve">Certificación de cumplimiento de requisitos de consulta, publicidad y de incorporación en la agenda regulatoria </w:t>
            </w:r>
          </w:p>
          <w:p w14:paraId="6D7E8C42" w14:textId="77777777" w:rsidR="004D0829" w:rsidRPr="00772028" w:rsidRDefault="004D0829" w:rsidP="00E657D3">
            <w:pPr>
              <w:jc w:val="both"/>
              <w:rPr>
                <w:rFonts w:ascii="Verdana" w:hAnsi="Verdana" w:cs="Arial"/>
                <w:i/>
                <w:color w:val="808080"/>
              </w:rPr>
            </w:pPr>
            <w:r w:rsidRPr="00772028">
              <w:rPr>
                <w:rFonts w:ascii="Verdana" w:hAnsi="Verdana" w:cs="Arial"/>
                <w:i/>
                <w:color w:val="808080"/>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2AD7BEE8" w14:textId="77777777" w:rsidR="004D0829" w:rsidRPr="00772028" w:rsidRDefault="004D0829" w:rsidP="00E657D3">
            <w:pPr>
              <w:jc w:val="center"/>
              <w:rPr>
                <w:rFonts w:ascii="Verdana" w:hAnsi="Verdana" w:cs="Arial"/>
                <w:iCs/>
              </w:rPr>
            </w:pPr>
            <w:r w:rsidRPr="00772028">
              <w:rPr>
                <w:rFonts w:ascii="Verdana" w:hAnsi="Verdana" w:cs="Arial"/>
                <w:iCs/>
              </w:rPr>
              <w:t>X</w:t>
            </w:r>
          </w:p>
        </w:tc>
      </w:tr>
      <w:tr w:rsidR="005A2F1E" w:rsidRPr="00772028" w14:paraId="03F5E4EC"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7C71E98" w14:textId="77777777" w:rsidR="004D0829" w:rsidRPr="00772028" w:rsidRDefault="004D0829" w:rsidP="00E657D3">
            <w:pPr>
              <w:jc w:val="both"/>
              <w:rPr>
                <w:rFonts w:ascii="Verdana" w:hAnsi="Verdana" w:cs="Arial"/>
              </w:rPr>
            </w:pPr>
            <w:r w:rsidRPr="00772028">
              <w:rPr>
                <w:rFonts w:ascii="Verdana" w:hAnsi="Verdana" w:cs="Arial"/>
              </w:rPr>
              <w:t>Concepto(s) de Ministerio de Comercio, Industria y Turismo</w:t>
            </w:r>
          </w:p>
          <w:p w14:paraId="6CED6CD5" w14:textId="77777777" w:rsidR="004D0829" w:rsidRPr="00772028" w:rsidRDefault="004D0829" w:rsidP="00E657D3">
            <w:pPr>
              <w:jc w:val="both"/>
              <w:rPr>
                <w:rFonts w:ascii="Verdana" w:hAnsi="Verdana" w:cs="Arial"/>
                <w:i/>
                <w:color w:val="808080"/>
              </w:rPr>
            </w:pPr>
            <w:r w:rsidRPr="00772028">
              <w:rPr>
                <w:rFonts w:ascii="Verdana" w:hAnsi="Verdana" w:cs="Arial"/>
                <w:i/>
                <w:color w:val="808080"/>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6B750962" w14:textId="77777777" w:rsidR="004D0829" w:rsidRPr="00772028" w:rsidRDefault="004D0829" w:rsidP="00E657D3">
            <w:pPr>
              <w:jc w:val="center"/>
              <w:rPr>
                <w:rFonts w:ascii="Verdana" w:hAnsi="Verdana" w:cs="Arial"/>
              </w:rPr>
            </w:pPr>
            <w:r w:rsidRPr="00772028">
              <w:rPr>
                <w:rFonts w:ascii="Verdana" w:hAnsi="Verdana" w:cs="Arial"/>
                <w:iCs/>
              </w:rPr>
              <w:t>N/A</w:t>
            </w:r>
          </w:p>
        </w:tc>
      </w:tr>
      <w:tr w:rsidR="005A2F1E" w:rsidRPr="00772028" w14:paraId="287A02DB"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B5BF001" w14:textId="77777777" w:rsidR="004D0829" w:rsidRPr="00772028" w:rsidRDefault="004D0829" w:rsidP="00E657D3">
            <w:pPr>
              <w:jc w:val="both"/>
              <w:rPr>
                <w:rFonts w:ascii="Verdana" w:hAnsi="Verdana" w:cs="Arial"/>
              </w:rPr>
            </w:pPr>
            <w:r w:rsidRPr="00772028">
              <w:rPr>
                <w:rFonts w:ascii="Verdana" w:hAnsi="Verdana" w:cs="Arial"/>
              </w:rPr>
              <w:t xml:space="preserve">Informe de observaciones y respuestas </w:t>
            </w:r>
          </w:p>
          <w:p w14:paraId="611307AA" w14:textId="77777777" w:rsidR="004D0829" w:rsidRPr="00772028" w:rsidRDefault="004D0829" w:rsidP="00E657D3">
            <w:pPr>
              <w:jc w:val="both"/>
              <w:rPr>
                <w:rFonts w:ascii="Verdana" w:hAnsi="Verdana" w:cs="Arial"/>
                <w:i/>
                <w:color w:val="808080"/>
              </w:rPr>
            </w:pPr>
            <w:r w:rsidRPr="00772028">
              <w:rPr>
                <w:rFonts w:ascii="Verdana" w:hAnsi="Verdana" w:cs="Arial"/>
                <w:i/>
                <w:color w:val="808080"/>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3219F287" w14:textId="77777777" w:rsidR="004D0829" w:rsidRPr="00772028" w:rsidRDefault="004D0829" w:rsidP="00E657D3">
            <w:pPr>
              <w:jc w:val="center"/>
              <w:rPr>
                <w:rFonts w:ascii="Verdana" w:hAnsi="Verdana" w:cs="Arial"/>
              </w:rPr>
            </w:pPr>
            <w:r w:rsidRPr="00772028">
              <w:rPr>
                <w:rFonts w:ascii="Verdana" w:hAnsi="Verdana" w:cs="Arial"/>
                <w:iCs/>
              </w:rPr>
              <w:t>X</w:t>
            </w:r>
          </w:p>
        </w:tc>
      </w:tr>
      <w:tr w:rsidR="005A2F1E" w:rsidRPr="00772028" w14:paraId="1E0CA982"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BCC4EEB" w14:textId="77777777" w:rsidR="004D0829" w:rsidRPr="00772028" w:rsidRDefault="004D0829" w:rsidP="00E657D3">
            <w:pPr>
              <w:jc w:val="both"/>
              <w:rPr>
                <w:rFonts w:ascii="Verdana" w:hAnsi="Verdana" w:cs="Arial"/>
              </w:rPr>
            </w:pPr>
            <w:r w:rsidRPr="00772028">
              <w:rPr>
                <w:rFonts w:ascii="Verdana" w:hAnsi="Verdana" w:cs="Arial"/>
              </w:rPr>
              <w:t>Concepto de Abogacía de la Competencia de la Superintendencia de Industria y Comercio</w:t>
            </w:r>
          </w:p>
          <w:p w14:paraId="17FC7287" w14:textId="77777777" w:rsidR="004D0829" w:rsidRPr="00772028" w:rsidRDefault="004D0829" w:rsidP="00E657D3">
            <w:pPr>
              <w:jc w:val="both"/>
              <w:rPr>
                <w:rFonts w:ascii="Verdana" w:hAnsi="Verdana" w:cs="Arial"/>
                <w:i/>
                <w:color w:val="808080"/>
              </w:rPr>
            </w:pPr>
            <w:r w:rsidRPr="00772028">
              <w:rPr>
                <w:rFonts w:ascii="Verdana" w:hAnsi="Verdana" w:cs="Arial"/>
                <w:i/>
                <w:color w:val="808080"/>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cPr>
          <w:p w14:paraId="4AC260E9" w14:textId="77777777" w:rsidR="004D0829" w:rsidRPr="00772028" w:rsidRDefault="004D0829" w:rsidP="00E657D3">
            <w:pPr>
              <w:jc w:val="center"/>
              <w:rPr>
                <w:rFonts w:ascii="Verdana" w:hAnsi="Verdana" w:cs="Arial"/>
              </w:rPr>
            </w:pPr>
            <w:r w:rsidRPr="00772028">
              <w:rPr>
                <w:rFonts w:ascii="Verdana" w:hAnsi="Verdana" w:cs="Arial"/>
                <w:iCs/>
              </w:rPr>
              <w:t>N/A</w:t>
            </w:r>
          </w:p>
        </w:tc>
      </w:tr>
      <w:tr w:rsidR="005A2F1E" w:rsidRPr="00772028" w14:paraId="686CD9A7"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6CF920D" w14:textId="77777777" w:rsidR="004D0829" w:rsidRPr="00772028" w:rsidRDefault="004D0829" w:rsidP="00E657D3">
            <w:pPr>
              <w:jc w:val="both"/>
              <w:rPr>
                <w:rFonts w:ascii="Verdana" w:hAnsi="Verdana" w:cs="Arial"/>
              </w:rPr>
            </w:pPr>
            <w:r w:rsidRPr="00772028">
              <w:rPr>
                <w:rFonts w:ascii="Verdana" w:hAnsi="Verdana" w:cs="Arial"/>
              </w:rPr>
              <w:t>Concepto de aprobación nuevos trámites del Departamento Administrativo de la Función Pública</w:t>
            </w:r>
          </w:p>
          <w:p w14:paraId="4422F4E8" w14:textId="77777777" w:rsidR="004D0829" w:rsidRPr="00772028" w:rsidRDefault="004D0829" w:rsidP="00E657D3">
            <w:pPr>
              <w:jc w:val="both"/>
              <w:rPr>
                <w:rFonts w:ascii="Verdana" w:hAnsi="Verdana" w:cs="Arial"/>
              </w:rPr>
            </w:pPr>
            <w:r w:rsidRPr="00772028">
              <w:rPr>
                <w:rFonts w:ascii="Verdana" w:hAnsi="Verdana" w:cs="Arial"/>
                <w:i/>
                <w:color w:val="808080"/>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cPr>
          <w:p w14:paraId="0C1A4F9C" w14:textId="77777777" w:rsidR="004D0829" w:rsidRPr="00772028" w:rsidRDefault="004D0829" w:rsidP="00E657D3">
            <w:pPr>
              <w:jc w:val="center"/>
              <w:rPr>
                <w:rFonts w:ascii="Verdana" w:hAnsi="Verdana" w:cs="Arial"/>
              </w:rPr>
            </w:pPr>
            <w:r w:rsidRPr="00772028">
              <w:rPr>
                <w:rFonts w:ascii="Verdana" w:hAnsi="Verdana" w:cs="Arial"/>
                <w:iCs/>
              </w:rPr>
              <w:t>N/A</w:t>
            </w:r>
          </w:p>
        </w:tc>
      </w:tr>
      <w:tr w:rsidR="005A2F1E" w:rsidRPr="00772028" w14:paraId="1232FADE"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2E6CE89" w14:textId="77777777" w:rsidR="004D0829" w:rsidRPr="00772028" w:rsidRDefault="004D0829" w:rsidP="00E657D3">
            <w:pPr>
              <w:jc w:val="both"/>
              <w:rPr>
                <w:rFonts w:ascii="Verdana" w:hAnsi="Verdana" w:cs="Arial"/>
              </w:rPr>
            </w:pPr>
            <w:r w:rsidRPr="00772028">
              <w:rPr>
                <w:rFonts w:ascii="Verdana" w:hAnsi="Verdana" w:cs="Arial"/>
              </w:rPr>
              <w:t xml:space="preserve">Otro </w:t>
            </w:r>
          </w:p>
          <w:p w14:paraId="5B8E22B4" w14:textId="77777777" w:rsidR="004D0829" w:rsidRPr="00772028" w:rsidRDefault="004D0829" w:rsidP="00E657D3">
            <w:pPr>
              <w:jc w:val="both"/>
              <w:rPr>
                <w:rFonts w:ascii="Verdana" w:hAnsi="Verdana" w:cs="Arial"/>
              </w:rPr>
            </w:pPr>
            <w:r w:rsidRPr="00772028">
              <w:rPr>
                <w:rFonts w:ascii="Verdana" w:hAnsi="Verdana" w:cs="Arial"/>
                <w:i/>
                <w:color w:val="808080"/>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cPr>
          <w:p w14:paraId="76D6316C" w14:textId="77777777" w:rsidR="004D0829" w:rsidRPr="00772028" w:rsidRDefault="004D0829" w:rsidP="00E657D3">
            <w:pPr>
              <w:jc w:val="center"/>
              <w:rPr>
                <w:rFonts w:ascii="Verdana" w:hAnsi="Verdana" w:cs="Arial"/>
              </w:rPr>
            </w:pPr>
            <w:r w:rsidRPr="00772028">
              <w:rPr>
                <w:rFonts w:ascii="Verdana" w:hAnsi="Verdana" w:cs="Arial"/>
                <w:iCs/>
              </w:rPr>
              <w:t>N/A</w:t>
            </w:r>
          </w:p>
        </w:tc>
      </w:tr>
    </w:tbl>
    <w:p w14:paraId="48CEC93A" w14:textId="77777777" w:rsidR="004D0829" w:rsidRPr="00772028" w:rsidRDefault="004D0829" w:rsidP="00E657D3">
      <w:pPr>
        <w:ind w:right="-377"/>
        <w:jc w:val="both"/>
        <w:rPr>
          <w:rFonts w:ascii="Verdana" w:hAnsi="Verdana" w:cs="Arial"/>
        </w:rPr>
      </w:pPr>
    </w:p>
    <w:p w14:paraId="400A80D9" w14:textId="77777777" w:rsidR="004D0829" w:rsidRPr="00772028" w:rsidRDefault="004D0829" w:rsidP="00E657D3">
      <w:pPr>
        <w:ind w:left="-1276" w:right="-377" w:firstLine="283"/>
        <w:jc w:val="both"/>
        <w:rPr>
          <w:rFonts w:ascii="Verdana" w:hAnsi="Verdana" w:cs="Arial"/>
          <w:b/>
        </w:rPr>
      </w:pPr>
      <w:r w:rsidRPr="00772028">
        <w:rPr>
          <w:rFonts w:ascii="Verdana" w:hAnsi="Verdana" w:cs="Arial"/>
          <w:b/>
        </w:rPr>
        <w:t>Aprobó:</w:t>
      </w:r>
    </w:p>
    <w:p w14:paraId="48F01A65" w14:textId="77777777" w:rsidR="004D0829" w:rsidRPr="00772028" w:rsidRDefault="004D0829" w:rsidP="002433E5">
      <w:pPr>
        <w:ind w:right="-377"/>
        <w:jc w:val="both"/>
        <w:rPr>
          <w:rFonts w:ascii="Verdana" w:hAnsi="Verdana" w:cs="Arial"/>
          <w:b/>
        </w:rPr>
      </w:pPr>
    </w:p>
    <w:p w14:paraId="3E3171C1" w14:textId="77777777" w:rsidR="004D0829" w:rsidRPr="00772028" w:rsidRDefault="004D0829" w:rsidP="00E657D3">
      <w:pPr>
        <w:ind w:left="-1276" w:right="-377" w:firstLine="283"/>
        <w:jc w:val="both"/>
        <w:rPr>
          <w:rFonts w:ascii="Verdana" w:hAnsi="Verdana" w:cs="Arial"/>
          <w:b/>
        </w:rPr>
      </w:pPr>
    </w:p>
    <w:p w14:paraId="09E5C385" w14:textId="77777777" w:rsidR="004D0829" w:rsidRPr="00772028" w:rsidRDefault="004D0829" w:rsidP="00E657D3">
      <w:pPr>
        <w:jc w:val="both"/>
        <w:rPr>
          <w:rFonts w:ascii="Verdana" w:hAnsi="Verdana" w:cs="Arial"/>
          <w:b/>
        </w:rPr>
      </w:pPr>
      <w:r w:rsidRPr="00772028">
        <w:rPr>
          <w:rFonts w:ascii="Verdana" w:hAnsi="Verdana" w:cs="Arial"/>
          <w:b/>
        </w:rPr>
        <w:t>__________________________________</w:t>
      </w:r>
    </w:p>
    <w:p w14:paraId="4E8A86F4" w14:textId="77777777" w:rsidR="004D0829" w:rsidRPr="00772028" w:rsidRDefault="004D0829" w:rsidP="00E657D3">
      <w:pPr>
        <w:rPr>
          <w:rFonts w:ascii="Verdana" w:hAnsi="Verdana" w:cs="Arial"/>
          <w:b/>
        </w:rPr>
      </w:pPr>
      <w:r w:rsidRPr="00772028">
        <w:rPr>
          <w:rFonts w:ascii="Verdana" w:hAnsi="Verdana" w:cs="Arial"/>
          <w:b/>
        </w:rPr>
        <w:t>NELSON ALIRIO MUÑOZ LEGUIZAMON</w:t>
      </w:r>
    </w:p>
    <w:p w14:paraId="33681CFA" w14:textId="77777777" w:rsidR="004D0829" w:rsidRPr="00772028" w:rsidRDefault="004D0829" w:rsidP="00E657D3">
      <w:pPr>
        <w:rPr>
          <w:rFonts w:ascii="Verdana" w:hAnsi="Verdana" w:cs="Arial"/>
          <w:bCs/>
        </w:rPr>
      </w:pPr>
      <w:r w:rsidRPr="00772028">
        <w:rPr>
          <w:rFonts w:ascii="Verdana" w:hAnsi="Verdana" w:cs="Arial"/>
          <w:bCs/>
        </w:rPr>
        <w:t>Jefe Oficina Asesora Jurídica</w:t>
      </w:r>
    </w:p>
    <w:p w14:paraId="3C2C7099" w14:textId="77777777" w:rsidR="004D0829" w:rsidRPr="00772028" w:rsidRDefault="004D0829" w:rsidP="00E657D3">
      <w:pPr>
        <w:rPr>
          <w:rFonts w:ascii="Verdana" w:hAnsi="Verdana" w:cs="Arial"/>
          <w:bCs/>
        </w:rPr>
      </w:pPr>
      <w:r w:rsidRPr="00772028">
        <w:rPr>
          <w:rFonts w:ascii="Verdana" w:hAnsi="Verdana" w:cs="Arial"/>
          <w:bCs/>
        </w:rPr>
        <w:t>Ministerio de Vivienda, Ciudad y Territorio</w:t>
      </w:r>
    </w:p>
    <w:p w14:paraId="0FE865E4" w14:textId="77777777" w:rsidR="004D0829" w:rsidRDefault="004D0829" w:rsidP="00E657D3">
      <w:pPr>
        <w:rPr>
          <w:rFonts w:ascii="Verdana" w:hAnsi="Verdana" w:cs="Arial"/>
          <w:b/>
        </w:rPr>
      </w:pPr>
    </w:p>
    <w:p w14:paraId="321E4B8D" w14:textId="77777777" w:rsidR="00692086" w:rsidRPr="00772028" w:rsidRDefault="00692086" w:rsidP="00E657D3">
      <w:pPr>
        <w:rPr>
          <w:rFonts w:ascii="Verdana" w:hAnsi="Verdana" w:cs="Arial"/>
          <w:b/>
        </w:rPr>
      </w:pPr>
    </w:p>
    <w:p w14:paraId="61999A2B" w14:textId="77777777" w:rsidR="004D0829" w:rsidRPr="00772028" w:rsidRDefault="004D0829" w:rsidP="00E657D3">
      <w:pPr>
        <w:rPr>
          <w:rFonts w:ascii="Verdana" w:hAnsi="Verdana" w:cs="Arial"/>
          <w:b/>
        </w:rPr>
      </w:pPr>
    </w:p>
    <w:p w14:paraId="3D46A143" w14:textId="77777777" w:rsidR="004D0829" w:rsidRPr="00772028" w:rsidRDefault="004D0829" w:rsidP="00E657D3">
      <w:pPr>
        <w:jc w:val="both"/>
        <w:rPr>
          <w:rFonts w:ascii="Verdana" w:hAnsi="Verdana" w:cs="Arial"/>
          <w:b/>
        </w:rPr>
      </w:pPr>
      <w:r w:rsidRPr="00772028">
        <w:rPr>
          <w:rFonts w:ascii="Verdana" w:hAnsi="Verdana" w:cs="Arial"/>
          <w:b/>
        </w:rPr>
        <w:t>__________________________________</w:t>
      </w:r>
    </w:p>
    <w:p w14:paraId="59A56586" w14:textId="4E1EA998" w:rsidR="004D0829" w:rsidRPr="00772028" w:rsidRDefault="00620DCE" w:rsidP="00E657D3">
      <w:pPr>
        <w:rPr>
          <w:rFonts w:ascii="Verdana" w:hAnsi="Verdana" w:cs="Arial"/>
          <w:b/>
        </w:rPr>
      </w:pPr>
      <w:r>
        <w:rPr>
          <w:rFonts w:ascii="Verdana" w:hAnsi="Verdana" w:cs="Arial"/>
          <w:b/>
        </w:rPr>
        <w:t>ARTURO GALEANO ÁVILA</w:t>
      </w:r>
    </w:p>
    <w:p w14:paraId="3934ABE2" w14:textId="6A4267BC" w:rsidR="004D0829" w:rsidRPr="00772028" w:rsidRDefault="00620DCE" w:rsidP="00E657D3">
      <w:pPr>
        <w:rPr>
          <w:rFonts w:ascii="Verdana" w:hAnsi="Verdana" w:cs="Arial"/>
          <w:bCs/>
        </w:rPr>
      </w:pPr>
      <w:r>
        <w:rPr>
          <w:rFonts w:ascii="Verdana" w:hAnsi="Verdana" w:cs="Arial"/>
          <w:bCs/>
        </w:rPr>
        <w:t>Director</w:t>
      </w:r>
      <w:r w:rsidR="004D0829" w:rsidRPr="00772028">
        <w:rPr>
          <w:rFonts w:ascii="Verdana" w:hAnsi="Verdana" w:cs="Arial"/>
          <w:bCs/>
        </w:rPr>
        <w:t xml:space="preserve"> del Sistema Habitacional </w:t>
      </w:r>
      <w:r>
        <w:rPr>
          <w:rFonts w:ascii="Verdana" w:hAnsi="Verdana" w:cs="Arial"/>
          <w:bCs/>
        </w:rPr>
        <w:t>(E)</w:t>
      </w:r>
    </w:p>
    <w:p w14:paraId="34B2CDA7" w14:textId="77777777" w:rsidR="004D0829" w:rsidRPr="00772028" w:rsidRDefault="004D0829" w:rsidP="00E657D3">
      <w:pPr>
        <w:rPr>
          <w:rFonts w:ascii="Verdana" w:hAnsi="Verdana" w:cs="Arial"/>
          <w:bCs/>
        </w:rPr>
      </w:pPr>
      <w:r w:rsidRPr="00772028">
        <w:rPr>
          <w:rFonts w:ascii="Verdana" w:hAnsi="Verdana" w:cs="Arial"/>
          <w:bCs/>
        </w:rPr>
        <w:t>Ministerio de Vivienda, Ciudad y Territorio</w:t>
      </w:r>
    </w:p>
    <w:p w14:paraId="4158C9E0" w14:textId="77777777" w:rsidR="00692086" w:rsidRDefault="00692086" w:rsidP="00E657D3">
      <w:pPr>
        <w:rPr>
          <w:rFonts w:ascii="Verdana" w:hAnsi="Verdana" w:cs="Arial"/>
          <w:b/>
        </w:rPr>
      </w:pPr>
    </w:p>
    <w:p w14:paraId="2C785901" w14:textId="77777777" w:rsidR="00692086" w:rsidRDefault="00692086" w:rsidP="00E657D3">
      <w:pPr>
        <w:rPr>
          <w:rFonts w:ascii="Verdana" w:hAnsi="Verdana" w:cs="Arial"/>
          <w:b/>
        </w:rPr>
      </w:pPr>
    </w:p>
    <w:p w14:paraId="53886EB2" w14:textId="77777777" w:rsidR="004D0829" w:rsidRDefault="004D0829" w:rsidP="00E657D3">
      <w:pPr>
        <w:jc w:val="both"/>
        <w:rPr>
          <w:rFonts w:ascii="Verdana" w:hAnsi="Verdana" w:cs="Arial"/>
          <w:b/>
        </w:rPr>
      </w:pPr>
      <w:r w:rsidRPr="00772028">
        <w:rPr>
          <w:rFonts w:ascii="Verdana" w:hAnsi="Verdana" w:cs="Arial"/>
          <w:b/>
        </w:rPr>
        <w:t>__________________________________</w:t>
      </w:r>
    </w:p>
    <w:p w14:paraId="340B85CC" w14:textId="77777777" w:rsidR="004D0829" w:rsidRPr="00772028" w:rsidRDefault="004D0829" w:rsidP="00E657D3">
      <w:pPr>
        <w:rPr>
          <w:rFonts w:ascii="Verdana" w:hAnsi="Verdana" w:cs="Arial"/>
          <w:b/>
        </w:rPr>
      </w:pPr>
      <w:r>
        <w:rPr>
          <w:rFonts w:ascii="Verdana" w:hAnsi="Verdana" w:cs="Arial"/>
          <w:b/>
        </w:rPr>
        <w:t>DANIEL EDUARDO CONTRERAS CASTRO</w:t>
      </w:r>
    </w:p>
    <w:p w14:paraId="3918A280" w14:textId="77777777" w:rsidR="004D0829" w:rsidRPr="00772028" w:rsidRDefault="004D0829" w:rsidP="00E657D3">
      <w:pPr>
        <w:rPr>
          <w:rFonts w:ascii="Verdana" w:hAnsi="Verdana" w:cs="Arial"/>
          <w:bCs/>
        </w:rPr>
      </w:pPr>
      <w:r>
        <w:rPr>
          <w:rFonts w:ascii="Verdana" w:hAnsi="Verdana" w:cs="Arial"/>
          <w:bCs/>
        </w:rPr>
        <w:t>Director de Vivienda Rural</w:t>
      </w:r>
    </w:p>
    <w:p w14:paraId="011ED59B" w14:textId="77777777" w:rsidR="004D0829" w:rsidRDefault="004D0829" w:rsidP="00E657D3">
      <w:pPr>
        <w:rPr>
          <w:rFonts w:ascii="Verdana" w:hAnsi="Verdana" w:cs="Arial"/>
          <w:bCs/>
        </w:rPr>
      </w:pPr>
      <w:r w:rsidRPr="00772028">
        <w:rPr>
          <w:rFonts w:ascii="Verdana" w:hAnsi="Verdana" w:cs="Arial"/>
          <w:bCs/>
        </w:rPr>
        <w:t>Ministerio de Vivienda, Ciudad y Territorio</w:t>
      </w:r>
    </w:p>
    <w:p w14:paraId="01CA8803" w14:textId="77777777" w:rsidR="00D1267C" w:rsidRDefault="00D1267C" w:rsidP="00E657D3">
      <w:pPr>
        <w:rPr>
          <w:rFonts w:ascii="Verdana" w:hAnsi="Verdana" w:cs="Arial"/>
          <w:bCs/>
        </w:rPr>
      </w:pPr>
    </w:p>
    <w:p w14:paraId="074E4596" w14:textId="77777777" w:rsidR="00692086" w:rsidRDefault="00692086" w:rsidP="00E657D3">
      <w:pPr>
        <w:rPr>
          <w:rFonts w:ascii="Verdana" w:hAnsi="Verdana" w:cs="Arial"/>
          <w:bCs/>
        </w:rPr>
      </w:pPr>
    </w:p>
    <w:p w14:paraId="1B9FA792" w14:textId="77777777" w:rsidR="00AE584C" w:rsidRDefault="00AE584C" w:rsidP="00E657D3">
      <w:pPr>
        <w:rPr>
          <w:rFonts w:ascii="Verdana" w:hAnsi="Verdana" w:cs="Arial"/>
          <w:bCs/>
        </w:rPr>
      </w:pPr>
    </w:p>
    <w:p w14:paraId="7A7D48EF" w14:textId="77777777" w:rsidR="006E2EF9" w:rsidRDefault="006E2EF9" w:rsidP="00E657D3">
      <w:pPr>
        <w:jc w:val="both"/>
        <w:rPr>
          <w:rFonts w:ascii="Verdana" w:hAnsi="Verdana" w:cs="Arial"/>
          <w:b/>
        </w:rPr>
      </w:pPr>
      <w:r w:rsidRPr="00772028">
        <w:rPr>
          <w:rFonts w:ascii="Verdana" w:hAnsi="Verdana" w:cs="Arial"/>
          <w:b/>
        </w:rPr>
        <w:t>__________________________________</w:t>
      </w:r>
    </w:p>
    <w:p w14:paraId="73C421D5" w14:textId="1A425DF2" w:rsidR="00D1267C" w:rsidRDefault="00620DCE" w:rsidP="00E657D3">
      <w:pPr>
        <w:rPr>
          <w:rFonts w:ascii="Verdana" w:hAnsi="Verdana" w:cs="Arial"/>
          <w:b/>
        </w:rPr>
      </w:pPr>
      <w:r>
        <w:rPr>
          <w:rFonts w:ascii="Verdana" w:hAnsi="Verdana" w:cs="Arial"/>
          <w:b/>
        </w:rPr>
        <w:t>RODOLFO BELTRÁN CUBILLOS</w:t>
      </w:r>
    </w:p>
    <w:p w14:paraId="2755C811" w14:textId="3F37DCF7" w:rsidR="006E2EF9" w:rsidRPr="006E2EF9" w:rsidRDefault="00620DCE" w:rsidP="00E657D3">
      <w:pPr>
        <w:rPr>
          <w:rFonts w:ascii="Verdana" w:hAnsi="Verdana" w:cs="Arial"/>
          <w:bCs/>
        </w:rPr>
      </w:pPr>
      <w:r>
        <w:rPr>
          <w:rFonts w:ascii="Verdana" w:hAnsi="Verdana" w:cs="Arial"/>
          <w:bCs/>
        </w:rPr>
        <w:t>Director</w:t>
      </w:r>
      <w:r w:rsidR="006E2EF9" w:rsidRPr="006E2EF9">
        <w:rPr>
          <w:rFonts w:ascii="Verdana" w:hAnsi="Verdana" w:cs="Arial"/>
          <w:bCs/>
        </w:rPr>
        <w:t xml:space="preserve"> de Espacio Urbano y Territorial </w:t>
      </w:r>
      <w:r>
        <w:rPr>
          <w:rFonts w:ascii="Verdana" w:hAnsi="Verdana" w:cs="Arial"/>
          <w:bCs/>
        </w:rPr>
        <w:t>(E)</w:t>
      </w:r>
    </w:p>
    <w:p w14:paraId="3D8533DB" w14:textId="77777777" w:rsidR="006E2EF9" w:rsidRPr="006E2EF9" w:rsidRDefault="006E2EF9" w:rsidP="00E657D3">
      <w:pPr>
        <w:rPr>
          <w:rFonts w:ascii="Verdana" w:hAnsi="Verdana" w:cs="Arial"/>
          <w:bCs/>
        </w:rPr>
      </w:pPr>
      <w:r w:rsidRPr="006E2EF9">
        <w:rPr>
          <w:rFonts w:ascii="Verdana" w:hAnsi="Verdana" w:cs="Arial"/>
          <w:bCs/>
        </w:rPr>
        <w:t>Ministerio de Vivienda, Ciudad y Territorio</w:t>
      </w:r>
    </w:p>
    <w:sectPr w:rsidR="006E2EF9" w:rsidRPr="006E2EF9" w:rsidSect="00ED079E">
      <w:headerReference w:type="default" r:id="rId22"/>
      <w:footerReference w:type="default" r:id="rId23"/>
      <w:headerReference w:type="first" r:id="rId24"/>
      <w:pgSz w:w="12240" w:h="18720" w:code="14"/>
      <w:pgMar w:top="1417" w:right="1701" w:bottom="1417" w:left="1701" w:header="5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9D70" w14:textId="77777777" w:rsidR="00ED079E" w:rsidRDefault="00ED079E">
      <w:r>
        <w:separator/>
      </w:r>
    </w:p>
  </w:endnote>
  <w:endnote w:type="continuationSeparator" w:id="0">
    <w:p w14:paraId="39B70121" w14:textId="77777777" w:rsidR="00ED079E" w:rsidRDefault="00ED079E">
      <w:r>
        <w:continuationSeparator/>
      </w:r>
    </w:p>
  </w:endnote>
  <w:endnote w:type="continuationNotice" w:id="1">
    <w:p w14:paraId="3C7AA97F" w14:textId="77777777" w:rsidR="00ED079E" w:rsidRDefault="00ED0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887B" w14:textId="34408B5D" w:rsidR="00015820" w:rsidRPr="00F600DB" w:rsidRDefault="00015820">
    <w:pPr>
      <w:pStyle w:val="Piedepgina"/>
      <w:jc w:val="right"/>
      <w:rPr>
        <w:sz w:val="16"/>
        <w:szCs w:val="16"/>
      </w:rPr>
    </w:pPr>
    <w:r w:rsidRPr="00F600DB">
      <w:rPr>
        <w:sz w:val="16"/>
        <w:szCs w:val="16"/>
      </w:rPr>
      <w:t xml:space="preserve">Página </w:t>
    </w:r>
    <w:r w:rsidRPr="00F600DB">
      <w:rPr>
        <w:b/>
        <w:bCs/>
        <w:sz w:val="16"/>
        <w:szCs w:val="16"/>
      </w:rPr>
      <w:fldChar w:fldCharType="begin"/>
    </w:r>
    <w:r w:rsidRPr="00F600DB">
      <w:rPr>
        <w:b/>
        <w:bCs/>
        <w:sz w:val="16"/>
        <w:szCs w:val="16"/>
      </w:rPr>
      <w:instrText>PAGE</w:instrText>
    </w:r>
    <w:r w:rsidRPr="00F600DB">
      <w:rPr>
        <w:b/>
        <w:bCs/>
        <w:sz w:val="16"/>
        <w:szCs w:val="16"/>
      </w:rPr>
      <w:fldChar w:fldCharType="separate"/>
    </w:r>
    <w:r w:rsidR="00B075D3">
      <w:rPr>
        <w:b/>
        <w:bCs/>
        <w:noProof/>
        <w:sz w:val="16"/>
        <w:szCs w:val="16"/>
      </w:rPr>
      <w:t>10</w:t>
    </w:r>
    <w:r w:rsidRPr="00F600DB">
      <w:rPr>
        <w:b/>
        <w:bCs/>
        <w:sz w:val="16"/>
        <w:szCs w:val="16"/>
      </w:rPr>
      <w:fldChar w:fldCharType="end"/>
    </w:r>
    <w:r w:rsidRPr="00F600DB">
      <w:rPr>
        <w:sz w:val="16"/>
        <w:szCs w:val="16"/>
      </w:rPr>
      <w:t xml:space="preserve"> de </w:t>
    </w:r>
    <w:r w:rsidRPr="00F600DB">
      <w:rPr>
        <w:b/>
        <w:bCs/>
        <w:sz w:val="16"/>
        <w:szCs w:val="16"/>
      </w:rPr>
      <w:fldChar w:fldCharType="begin"/>
    </w:r>
    <w:r w:rsidRPr="00F600DB">
      <w:rPr>
        <w:b/>
        <w:bCs/>
        <w:sz w:val="16"/>
        <w:szCs w:val="16"/>
      </w:rPr>
      <w:instrText>NUMPAGES</w:instrText>
    </w:r>
    <w:r w:rsidRPr="00F600DB">
      <w:rPr>
        <w:b/>
        <w:bCs/>
        <w:sz w:val="16"/>
        <w:szCs w:val="16"/>
      </w:rPr>
      <w:fldChar w:fldCharType="separate"/>
    </w:r>
    <w:r w:rsidR="00B075D3">
      <w:rPr>
        <w:b/>
        <w:bCs/>
        <w:noProof/>
        <w:sz w:val="16"/>
        <w:szCs w:val="16"/>
      </w:rPr>
      <w:t>10</w:t>
    </w:r>
    <w:r w:rsidRPr="00F600DB">
      <w:rPr>
        <w:b/>
        <w:bCs/>
        <w:sz w:val="16"/>
        <w:szCs w:val="16"/>
      </w:rPr>
      <w:fldChar w:fldCharType="end"/>
    </w:r>
  </w:p>
  <w:p w14:paraId="16129C12" w14:textId="77777777" w:rsidR="00015820" w:rsidRPr="0084294E" w:rsidRDefault="00015820">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17B8" w14:textId="77777777" w:rsidR="00ED079E" w:rsidRDefault="00ED079E">
      <w:r>
        <w:separator/>
      </w:r>
    </w:p>
  </w:footnote>
  <w:footnote w:type="continuationSeparator" w:id="0">
    <w:p w14:paraId="1929766F" w14:textId="77777777" w:rsidR="00ED079E" w:rsidRDefault="00ED079E">
      <w:r>
        <w:continuationSeparator/>
      </w:r>
    </w:p>
  </w:footnote>
  <w:footnote w:type="continuationNotice" w:id="1">
    <w:p w14:paraId="3A5902E7" w14:textId="77777777" w:rsidR="00ED079E" w:rsidRDefault="00ED0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027F" w14:textId="77777777" w:rsidR="00015820" w:rsidRDefault="00015820">
    <w:pPr>
      <w:pStyle w:val="Encabezado"/>
    </w:pPr>
  </w:p>
  <w:p w14:paraId="360C8B91" w14:textId="77777777" w:rsidR="00015820" w:rsidRDefault="00015820">
    <w:pPr>
      <w:pStyle w:val="Encabezado"/>
      <w:rPr>
        <w:noProof/>
      </w:rPr>
    </w:pPr>
    <w:r>
      <w:rPr>
        <w:noProof/>
        <w:lang w:val="en-US" w:eastAsia="en-US"/>
      </w:rPr>
      <w:drawing>
        <wp:anchor distT="0" distB="0" distL="114300" distR="114300" simplePos="0" relativeHeight="251658243" behindDoc="0" locked="0" layoutInCell="1" allowOverlap="1" wp14:anchorId="7A4BD07D" wp14:editId="498A3403">
          <wp:simplePos x="0" y="0"/>
          <wp:positionH relativeFrom="page">
            <wp:posOffset>5080</wp:posOffset>
          </wp:positionH>
          <wp:positionV relativeFrom="paragraph">
            <wp:posOffset>-311785</wp:posOffset>
          </wp:positionV>
          <wp:extent cx="5612130" cy="720725"/>
          <wp:effectExtent l="0" t="0" r="0" b="3175"/>
          <wp:wrapNone/>
          <wp:docPr id="60075178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561213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313D1" w14:textId="77777777" w:rsidR="00015820" w:rsidRDefault="00015820">
    <w:pPr>
      <w:pStyle w:val="Encabezado"/>
      <w:rPr>
        <w:noProof/>
      </w:rPr>
    </w:pPr>
  </w:p>
  <w:p w14:paraId="002C001D" w14:textId="77777777" w:rsidR="00015820" w:rsidRDefault="00015820">
    <w:pPr>
      <w:pStyle w:val="Encabezado"/>
      <w:rPr>
        <w:noProof/>
      </w:rPr>
    </w:pPr>
  </w:p>
  <w:p w14:paraId="330CFB14" w14:textId="77777777" w:rsidR="00015820" w:rsidRDefault="00015820">
    <w:pPr>
      <w:pStyle w:val="TableParagraph"/>
      <w:spacing w:before="89" w:line="237" w:lineRule="auto"/>
      <w:ind w:right="57"/>
      <w:jc w:val="center"/>
      <w:rPr>
        <w:rFonts w:ascii="Verdana" w:hAnsi="Verdana"/>
        <w:bCs/>
        <w:spacing w:val="-1"/>
      </w:rPr>
    </w:pPr>
    <w:r>
      <w:rPr>
        <w:noProof/>
        <w:lang w:val="en-US"/>
      </w:rPr>
      <mc:AlternateContent>
        <mc:Choice Requires="wps">
          <w:drawing>
            <wp:anchor distT="4294967295" distB="4294967295" distL="114300" distR="114300" simplePos="0" relativeHeight="251658242" behindDoc="0" locked="0" layoutInCell="1" allowOverlap="1" wp14:anchorId="55FA2072" wp14:editId="77BB8895">
              <wp:simplePos x="0" y="0"/>
              <wp:positionH relativeFrom="column">
                <wp:posOffset>-118110</wp:posOffset>
              </wp:positionH>
              <wp:positionV relativeFrom="paragraph">
                <wp:posOffset>266699</wp:posOffset>
              </wp:positionV>
              <wp:extent cx="5937885" cy="0"/>
              <wp:effectExtent l="0" t="0" r="0" b="0"/>
              <wp:wrapNone/>
              <wp:docPr id="1838437741"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859AB3" id="Conector recto 6"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1408FDFE" w14:textId="77777777" w:rsidR="00015820" w:rsidRPr="00A34631" w:rsidRDefault="00015820">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3804C554" w14:textId="77777777" w:rsidR="00015820" w:rsidRPr="00A34631" w:rsidRDefault="00015820">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Pr>
        <w:rFonts w:ascii="Verdana" w:hAnsi="Verdana"/>
        <w:spacing w:val="1"/>
        <w:sz w:val="22"/>
        <w:szCs w:val="22"/>
      </w:rPr>
      <w:t>VIVIENDA</w:t>
    </w:r>
  </w:p>
  <w:p w14:paraId="2A12E901" w14:textId="77777777" w:rsidR="00015820" w:rsidRPr="006512F3" w:rsidRDefault="00015820">
    <w:pPr>
      <w:widowControl w:val="0"/>
      <w:autoSpaceDE w:val="0"/>
      <w:autoSpaceDN w:val="0"/>
      <w:ind w:left="118"/>
      <w:jc w:val="center"/>
      <w:rPr>
        <w:rFonts w:ascii="Verdana" w:hAnsi="Verdana"/>
        <w:sz w:val="22"/>
        <w:szCs w:val="22"/>
      </w:rPr>
    </w:pPr>
    <w:r w:rsidRPr="00BA6D7F">
      <w:rPr>
        <w:rFonts w:ascii="Verdana" w:hAnsi="Verdana"/>
        <w:sz w:val="22"/>
        <w:szCs w:val="22"/>
      </w:rPr>
      <w:t>Versión: 6.0, Fecha: 05/06/2023, Código: GPV-F-</w:t>
    </w:r>
    <w:r w:rsidRPr="006512F3">
      <w:rPr>
        <w:rFonts w:ascii="Verdana" w:hAnsi="Verdana"/>
        <w:sz w:val="22"/>
        <w:szCs w:val="22"/>
      </w:rPr>
      <w:t>1</w:t>
    </w:r>
    <w:r>
      <w:rPr>
        <w:rFonts w:ascii="Verdana" w:hAnsi="Verdana"/>
        <w:sz w:val="22"/>
        <w:szCs w:val="22"/>
      </w:rPr>
      <w:t>9</w:t>
    </w:r>
  </w:p>
  <w:p w14:paraId="32819BC3" w14:textId="77777777" w:rsidR="00015820" w:rsidRDefault="00015820">
    <w:pPr>
      <w:pStyle w:val="Encabezado"/>
      <w:tabs>
        <w:tab w:val="clear" w:pos="4252"/>
        <w:tab w:val="clear" w:pos="8504"/>
        <w:tab w:val="center" w:pos="4394"/>
      </w:tabs>
      <w:ind w:left="-1701" w:right="-1652"/>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27EF" w14:textId="77777777" w:rsidR="00015820" w:rsidRDefault="00015820">
    <w:pPr>
      <w:pStyle w:val="Encabezado"/>
      <w:rPr>
        <w:noProof/>
      </w:rPr>
    </w:pPr>
    <w:r>
      <w:rPr>
        <w:noProof/>
        <w:lang w:val="en-US" w:eastAsia="en-US"/>
      </w:rPr>
      <w:drawing>
        <wp:anchor distT="0" distB="0" distL="114300" distR="114300" simplePos="0" relativeHeight="251658241" behindDoc="0" locked="0" layoutInCell="1" allowOverlap="1" wp14:anchorId="7073ADCB" wp14:editId="20DF33B8">
          <wp:simplePos x="0" y="0"/>
          <wp:positionH relativeFrom="page">
            <wp:posOffset>5080</wp:posOffset>
          </wp:positionH>
          <wp:positionV relativeFrom="paragraph">
            <wp:posOffset>-311785</wp:posOffset>
          </wp:positionV>
          <wp:extent cx="5612130" cy="720725"/>
          <wp:effectExtent l="0" t="0" r="0" b="3175"/>
          <wp:wrapNone/>
          <wp:docPr id="941154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561213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83D6DD" w14:textId="77777777" w:rsidR="00015820" w:rsidRDefault="00015820">
    <w:pPr>
      <w:pStyle w:val="Encabezado"/>
      <w:rPr>
        <w:noProof/>
      </w:rPr>
    </w:pPr>
  </w:p>
  <w:p w14:paraId="7CD6AA5B" w14:textId="77777777" w:rsidR="00015820" w:rsidRDefault="00015820">
    <w:pPr>
      <w:pStyle w:val="Encabezado"/>
      <w:rPr>
        <w:noProof/>
      </w:rPr>
    </w:pPr>
  </w:p>
  <w:p w14:paraId="52526F9A" w14:textId="77777777" w:rsidR="00015820" w:rsidRDefault="00015820">
    <w:pPr>
      <w:pStyle w:val="TableParagraph"/>
      <w:spacing w:before="89" w:line="237" w:lineRule="auto"/>
      <w:ind w:right="57"/>
      <w:jc w:val="center"/>
      <w:rPr>
        <w:rFonts w:ascii="Verdana" w:hAnsi="Verdana"/>
        <w:bCs/>
        <w:spacing w:val="-1"/>
      </w:rPr>
    </w:pPr>
    <w:r>
      <w:rPr>
        <w:noProof/>
        <w:lang w:val="en-US"/>
      </w:rPr>
      <mc:AlternateContent>
        <mc:Choice Requires="wps">
          <w:drawing>
            <wp:anchor distT="4294967295" distB="4294967295" distL="114300" distR="114300" simplePos="0" relativeHeight="251658240" behindDoc="0" locked="0" layoutInCell="1" allowOverlap="1" wp14:anchorId="2DCFCDC5" wp14:editId="1815D3B0">
              <wp:simplePos x="0" y="0"/>
              <wp:positionH relativeFrom="column">
                <wp:posOffset>-118110</wp:posOffset>
              </wp:positionH>
              <wp:positionV relativeFrom="paragraph">
                <wp:posOffset>266699</wp:posOffset>
              </wp:positionV>
              <wp:extent cx="5937885" cy="0"/>
              <wp:effectExtent l="0" t="0" r="0" b="0"/>
              <wp:wrapNone/>
              <wp:docPr id="203428286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55FFDB" id="Conector recto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3F903B3D" w14:textId="77777777" w:rsidR="00015820" w:rsidRPr="00A34631" w:rsidRDefault="00015820">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1B3D7A44" w14:textId="77777777" w:rsidR="00015820" w:rsidRPr="00A34631" w:rsidRDefault="00015820">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Pr>
        <w:rFonts w:ascii="Verdana" w:hAnsi="Verdana"/>
        <w:spacing w:val="1"/>
        <w:sz w:val="22"/>
        <w:szCs w:val="22"/>
      </w:rPr>
      <w:t>VIVIENDA</w:t>
    </w:r>
  </w:p>
  <w:p w14:paraId="208833C9" w14:textId="77777777" w:rsidR="00015820" w:rsidRPr="006512F3" w:rsidRDefault="00015820">
    <w:pPr>
      <w:widowControl w:val="0"/>
      <w:autoSpaceDE w:val="0"/>
      <w:autoSpaceDN w:val="0"/>
      <w:ind w:left="118"/>
      <w:jc w:val="center"/>
      <w:rPr>
        <w:rFonts w:ascii="Verdana" w:hAnsi="Verdana"/>
        <w:sz w:val="22"/>
        <w:szCs w:val="22"/>
      </w:rPr>
    </w:pPr>
    <w:r w:rsidRPr="00C254DA">
      <w:rPr>
        <w:rFonts w:ascii="Verdana" w:hAnsi="Verdana"/>
        <w:sz w:val="22"/>
        <w:szCs w:val="22"/>
      </w:rPr>
      <w:t>Versión: 6.0, Fecha: 05/06/2023, Código:</w:t>
    </w:r>
    <w:r w:rsidRPr="00A34631">
      <w:rPr>
        <w:rFonts w:ascii="Verdana" w:hAnsi="Verdana"/>
        <w:sz w:val="22"/>
        <w:szCs w:val="22"/>
      </w:rPr>
      <w:t xml:space="preserve"> </w:t>
    </w:r>
    <w:r w:rsidRPr="006512F3">
      <w:rPr>
        <w:rFonts w:ascii="Verdana" w:hAnsi="Verdana"/>
        <w:sz w:val="22"/>
        <w:szCs w:val="22"/>
      </w:rPr>
      <w:t>GP</w:t>
    </w:r>
    <w:r>
      <w:rPr>
        <w:rFonts w:ascii="Verdana" w:hAnsi="Verdana"/>
        <w:sz w:val="22"/>
        <w:szCs w:val="22"/>
      </w:rPr>
      <w:t>V</w:t>
    </w:r>
    <w:r w:rsidRPr="006512F3">
      <w:rPr>
        <w:rFonts w:ascii="Verdana" w:hAnsi="Verdana"/>
        <w:sz w:val="22"/>
        <w:szCs w:val="22"/>
      </w:rPr>
      <w:t>-F-1</w:t>
    </w:r>
    <w:r>
      <w:rPr>
        <w:rFonts w:ascii="Verdana" w:hAnsi="Verdana"/>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59C"/>
    <w:multiLevelType w:val="hybridMultilevel"/>
    <w:tmpl w:val="B3009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8D575C"/>
    <w:multiLevelType w:val="multilevel"/>
    <w:tmpl w:val="9CB2F022"/>
    <w:lvl w:ilvl="0">
      <w:start w:val="1"/>
      <w:numFmt w:val="decimal"/>
      <w:lvlText w:val="%1."/>
      <w:lvlJc w:val="left"/>
      <w:pPr>
        <w:ind w:left="720" w:hanging="360"/>
      </w:pPr>
      <w:rPr>
        <w:rFonts w:hint="default"/>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1E85EEF"/>
    <w:multiLevelType w:val="hybridMultilevel"/>
    <w:tmpl w:val="39CA6E56"/>
    <w:lvl w:ilvl="0" w:tplc="1388CBD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4997851">
    <w:abstractNumId w:val="1"/>
  </w:num>
  <w:num w:numId="2" w16cid:durableId="705564632">
    <w:abstractNumId w:val="0"/>
  </w:num>
  <w:num w:numId="3" w16cid:durableId="579601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29"/>
    <w:rsid w:val="0001210D"/>
    <w:rsid w:val="00012523"/>
    <w:rsid w:val="00015820"/>
    <w:rsid w:val="0003112B"/>
    <w:rsid w:val="00052496"/>
    <w:rsid w:val="00053C65"/>
    <w:rsid w:val="000550EB"/>
    <w:rsid w:val="00055505"/>
    <w:rsid w:val="000631E0"/>
    <w:rsid w:val="000647BE"/>
    <w:rsid w:val="00070319"/>
    <w:rsid w:val="00071B77"/>
    <w:rsid w:val="00082DBA"/>
    <w:rsid w:val="00083FFD"/>
    <w:rsid w:val="00084599"/>
    <w:rsid w:val="00085204"/>
    <w:rsid w:val="000908E2"/>
    <w:rsid w:val="000A40A8"/>
    <w:rsid w:val="000A4BB3"/>
    <w:rsid w:val="000A5246"/>
    <w:rsid w:val="000A63C0"/>
    <w:rsid w:val="000B22C7"/>
    <w:rsid w:val="000C7D09"/>
    <w:rsid w:val="000D63F1"/>
    <w:rsid w:val="000E4D85"/>
    <w:rsid w:val="000E71B7"/>
    <w:rsid w:val="000E7571"/>
    <w:rsid w:val="000F0D7A"/>
    <w:rsid w:val="001111E0"/>
    <w:rsid w:val="00111DCA"/>
    <w:rsid w:val="0011218A"/>
    <w:rsid w:val="00116358"/>
    <w:rsid w:val="00120E3D"/>
    <w:rsid w:val="00122E5A"/>
    <w:rsid w:val="00127679"/>
    <w:rsid w:val="001312A8"/>
    <w:rsid w:val="00134CD7"/>
    <w:rsid w:val="00137A8E"/>
    <w:rsid w:val="001513A9"/>
    <w:rsid w:val="001535A4"/>
    <w:rsid w:val="00157BC9"/>
    <w:rsid w:val="00171EB9"/>
    <w:rsid w:val="0017603A"/>
    <w:rsid w:val="001830B7"/>
    <w:rsid w:val="001965AE"/>
    <w:rsid w:val="001B29A4"/>
    <w:rsid w:val="001B5D91"/>
    <w:rsid w:val="001B6EEB"/>
    <w:rsid w:val="001E3E05"/>
    <w:rsid w:val="001E5CEA"/>
    <w:rsid w:val="0020292C"/>
    <w:rsid w:val="002134E4"/>
    <w:rsid w:val="00237069"/>
    <w:rsid w:val="002433E5"/>
    <w:rsid w:val="00250015"/>
    <w:rsid w:val="00260736"/>
    <w:rsid w:val="0026695A"/>
    <w:rsid w:val="00280A3B"/>
    <w:rsid w:val="002903B3"/>
    <w:rsid w:val="00294512"/>
    <w:rsid w:val="00295F23"/>
    <w:rsid w:val="002A117A"/>
    <w:rsid w:val="002D32A4"/>
    <w:rsid w:val="002D59AF"/>
    <w:rsid w:val="002D7406"/>
    <w:rsid w:val="002F0128"/>
    <w:rsid w:val="003016FF"/>
    <w:rsid w:val="0030627C"/>
    <w:rsid w:val="00306933"/>
    <w:rsid w:val="003077C1"/>
    <w:rsid w:val="00307F63"/>
    <w:rsid w:val="00311EB5"/>
    <w:rsid w:val="003363F9"/>
    <w:rsid w:val="00336C93"/>
    <w:rsid w:val="00362A22"/>
    <w:rsid w:val="00363180"/>
    <w:rsid w:val="003638A1"/>
    <w:rsid w:val="003678B6"/>
    <w:rsid w:val="003832B8"/>
    <w:rsid w:val="00385103"/>
    <w:rsid w:val="00395566"/>
    <w:rsid w:val="003A0DAB"/>
    <w:rsid w:val="003A1E1A"/>
    <w:rsid w:val="003A3CD9"/>
    <w:rsid w:val="003A41E7"/>
    <w:rsid w:val="003C6FF8"/>
    <w:rsid w:val="003D04EF"/>
    <w:rsid w:val="003D2465"/>
    <w:rsid w:val="003F2FB8"/>
    <w:rsid w:val="0041127D"/>
    <w:rsid w:val="004112A1"/>
    <w:rsid w:val="00417F82"/>
    <w:rsid w:val="00430ED9"/>
    <w:rsid w:val="004357B2"/>
    <w:rsid w:val="00453D4E"/>
    <w:rsid w:val="00457DBE"/>
    <w:rsid w:val="00466C74"/>
    <w:rsid w:val="00472916"/>
    <w:rsid w:val="004B0509"/>
    <w:rsid w:val="004B63F3"/>
    <w:rsid w:val="004C5C43"/>
    <w:rsid w:val="004C6EF8"/>
    <w:rsid w:val="004D0829"/>
    <w:rsid w:val="004E0E63"/>
    <w:rsid w:val="004F5C99"/>
    <w:rsid w:val="004F66E7"/>
    <w:rsid w:val="00500A69"/>
    <w:rsid w:val="005247A4"/>
    <w:rsid w:val="0053688A"/>
    <w:rsid w:val="00537502"/>
    <w:rsid w:val="00550297"/>
    <w:rsid w:val="005600DD"/>
    <w:rsid w:val="00560A23"/>
    <w:rsid w:val="00562411"/>
    <w:rsid w:val="00577E9A"/>
    <w:rsid w:val="00591B74"/>
    <w:rsid w:val="00596FD5"/>
    <w:rsid w:val="005A2F1E"/>
    <w:rsid w:val="005E32A9"/>
    <w:rsid w:val="005E3723"/>
    <w:rsid w:val="005E68BE"/>
    <w:rsid w:val="005F1FAB"/>
    <w:rsid w:val="005F6BD9"/>
    <w:rsid w:val="00604273"/>
    <w:rsid w:val="00604C1C"/>
    <w:rsid w:val="006130D5"/>
    <w:rsid w:val="00620DCE"/>
    <w:rsid w:val="00630142"/>
    <w:rsid w:val="00632927"/>
    <w:rsid w:val="00634AE4"/>
    <w:rsid w:val="00646D57"/>
    <w:rsid w:val="00651A1B"/>
    <w:rsid w:val="0065701B"/>
    <w:rsid w:val="00670EDF"/>
    <w:rsid w:val="00672E9D"/>
    <w:rsid w:val="006739E3"/>
    <w:rsid w:val="0067436F"/>
    <w:rsid w:val="006746E5"/>
    <w:rsid w:val="00674C99"/>
    <w:rsid w:val="006754D8"/>
    <w:rsid w:val="00684128"/>
    <w:rsid w:val="00684660"/>
    <w:rsid w:val="00692086"/>
    <w:rsid w:val="006A4970"/>
    <w:rsid w:val="006C4186"/>
    <w:rsid w:val="006D1C62"/>
    <w:rsid w:val="006D1CB4"/>
    <w:rsid w:val="006D3AC1"/>
    <w:rsid w:val="006E103D"/>
    <w:rsid w:val="006E1863"/>
    <w:rsid w:val="006E2EF9"/>
    <w:rsid w:val="006F1418"/>
    <w:rsid w:val="007009ED"/>
    <w:rsid w:val="00700D6A"/>
    <w:rsid w:val="00702969"/>
    <w:rsid w:val="007078FA"/>
    <w:rsid w:val="007139EF"/>
    <w:rsid w:val="00716FF2"/>
    <w:rsid w:val="0073354A"/>
    <w:rsid w:val="0074146E"/>
    <w:rsid w:val="00751BF3"/>
    <w:rsid w:val="00757FB7"/>
    <w:rsid w:val="00762203"/>
    <w:rsid w:val="00764BFB"/>
    <w:rsid w:val="007671AD"/>
    <w:rsid w:val="00782650"/>
    <w:rsid w:val="00783426"/>
    <w:rsid w:val="007834DD"/>
    <w:rsid w:val="007A1639"/>
    <w:rsid w:val="007A22DE"/>
    <w:rsid w:val="007A4E31"/>
    <w:rsid w:val="007B568E"/>
    <w:rsid w:val="007B616F"/>
    <w:rsid w:val="007C4786"/>
    <w:rsid w:val="007C4A46"/>
    <w:rsid w:val="007D1AE8"/>
    <w:rsid w:val="007E15B2"/>
    <w:rsid w:val="007F04B7"/>
    <w:rsid w:val="007F2970"/>
    <w:rsid w:val="007F78EE"/>
    <w:rsid w:val="008104EF"/>
    <w:rsid w:val="008147F0"/>
    <w:rsid w:val="008241A4"/>
    <w:rsid w:val="00824D31"/>
    <w:rsid w:val="00826A3F"/>
    <w:rsid w:val="008447BC"/>
    <w:rsid w:val="0085085E"/>
    <w:rsid w:val="00851F8F"/>
    <w:rsid w:val="00856F73"/>
    <w:rsid w:val="008639E5"/>
    <w:rsid w:val="00870B4D"/>
    <w:rsid w:val="00897026"/>
    <w:rsid w:val="008A7092"/>
    <w:rsid w:val="008A75A4"/>
    <w:rsid w:val="008B21A9"/>
    <w:rsid w:val="008C0827"/>
    <w:rsid w:val="008D3C92"/>
    <w:rsid w:val="008E68D5"/>
    <w:rsid w:val="008E6B20"/>
    <w:rsid w:val="008E7F7C"/>
    <w:rsid w:val="008F33BB"/>
    <w:rsid w:val="008F37A8"/>
    <w:rsid w:val="008F68BC"/>
    <w:rsid w:val="00904CFF"/>
    <w:rsid w:val="009055EF"/>
    <w:rsid w:val="00932992"/>
    <w:rsid w:val="00932D1F"/>
    <w:rsid w:val="00936459"/>
    <w:rsid w:val="00945C87"/>
    <w:rsid w:val="009624B4"/>
    <w:rsid w:val="00963513"/>
    <w:rsid w:val="009745B5"/>
    <w:rsid w:val="00974B53"/>
    <w:rsid w:val="009829D7"/>
    <w:rsid w:val="0098606F"/>
    <w:rsid w:val="00997277"/>
    <w:rsid w:val="009A1143"/>
    <w:rsid w:val="009A6A38"/>
    <w:rsid w:val="009C0417"/>
    <w:rsid w:val="009C10D3"/>
    <w:rsid w:val="009D3CEF"/>
    <w:rsid w:val="009D5568"/>
    <w:rsid w:val="009E3CB2"/>
    <w:rsid w:val="009E4A90"/>
    <w:rsid w:val="009F1E49"/>
    <w:rsid w:val="00A111A0"/>
    <w:rsid w:val="00A11288"/>
    <w:rsid w:val="00A15AE4"/>
    <w:rsid w:val="00A174D0"/>
    <w:rsid w:val="00A339C6"/>
    <w:rsid w:val="00A41BB7"/>
    <w:rsid w:val="00A44F90"/>
    <w:rsid w:val="00A54486"/>
    <w:rsid w:val="00A554F8"/>
    <w:rsid w:val="00A56436"/>
    <w:rsid w:val="00A7020D"/>
    <w:rsid w:val="00A75E4E"/>
    <w:rsid w:val="00A837AE"/>
    <w:rsid w:val="00A93751"/>
    <w:rsid w:val="00AA6F63"/>
    <w:rsid w:val="00AB1EA1"/>
    <w:rsid w:val="00AB31A9"/>
    <w:rsid w:val="00AB7BE3"/>
    <w:rsid w:val="00AC12CE"/>
    <w:rsid w:val="00AC179F"/>
    <w:rsid w:val="00AC1868"/>
    <w:rsid w:val="00AC463C"/>
    <w:rsid w:val="00AC6936"/>
    <w:rsid w:val="00AD1F70"/>
    <w:rsid w:val="00AD2767"/>
    <w:rsid w:val="00AD3B37"/>
    <w:rsid w:val="00AE3522"/>
    <w:rsid w:val="00AE584C"/>
    <w:rsid w:val="00AE6AAA"/>
    <w:rsid w:val="00AF053F"/>
    <w:rsid w:val="00AF21B8"/>
    <w:rsid w:val="00B014A1"/>
    <w:rsid w:val="00B075D3"/>
    <w:rsid w:val="00B22D65"/>
    <w:rsid w:val="00B42EFB"/>
    <w:rsid w:val="00B438F5"/>
    <w:rsid w:val="00B44B96"/>
    <w:rsid w:val="00B45246"/>
    <w:rsid w:val="00B50CA0"/>
    <w:rsid w:val="00B56BE3"/>
    <w:rsid w:val="00B67611"/>
    <w:rsid w:val="00B86171"/>
    <w:rsid w:val="00B967C7"/>
    <w:rsid w:val="00BA5F3B"/>
    <w:rsid w:val="00BB1809"/>
    <w:rsid w:val="00BC1BEB"/>
    <w:rsid w:val="00BC72CD"/>
    <w:rsid w:val="00BD7A00"/>
    <w:rsid w:val="00BE1BE7"/>
    <w:rsid w:val="00BF0B77"/>
    <w:rsid w:val="00C01605"/>
    <w:rsid w:val="00C02715"/>
    <w:rsid w:val="00C046FC"/>
    <w:rsid w:val="00C05D62"/>
    <w:rsid w:val="00C060E8"/>
    <w:rsid w:val="00C10623"/>
    <w:rsid w:val="00C21639"/>
    <w:rsid w:val="00C21935"/>
    <w:rsid w:val="00C27DE3"/>
    <w:rsid w:val="00C37B27"/>
    <w:rsid w:val="00C539F8"/>
    <w:rsid w:val="00C54B01"/>
    <w:rsid w:val="00C55936"/>
    <w:rsid w:val="00C56152"/>
    <w:rsid w:val="00C64BF8"/>
    <w:rsid w:val="00C679E5"/>
    <w:rsid w:val="00C7313A"/>
    <w:rsid w:val="00C7363A"/>
    <w:rsid w:val="00C774B8"/>
    <w:rsid w:val="00C81AC0"/>
    <w:rsid w:val="00C8677A"/>
    <w:rsid w:val="00C87171"/>
    <w:rsid w:val="00C94C2B"/>
    <w:rsid w:val="00C971F0"/>
    <w:rsid w:val="00CA190F"/>
    <w:rsid w:val="00CA5FA8"/>
    <w:rsid w:val="00CB3624"/>
    <w:rsid w:val="00CB3D58"/>
    <w:rsid w:val="00CB4CF7"/>
    <w:rsid w:val="00CC7AEB"/>
    <w:rsid w:val="00CD27F9"/>
    <w:rsid w:val="00CD3A08"/>
    <w:rsid w:val="00CD59DC"/>
    <w:rsid w:val="00CF2AB2"/>
    <w:rsid w:val="00CF4A65"/>
    <w:rsid w:val="00CF5A0E"/>
    <w:rsid w:val="00D04EF3"/>
    <w:rsid w:val="00D1267C"/>
    <w:rsid w:val="00D127E0"/>
    <w:rsid w:val="00D20354"/>
    <w:rsid w:val="00D23310"/>
    <w:rsid w:val="00D24460"/>
    <w:rsid w:val="00D27828"/>
    <w:rsid w:val="00D34CA4"/>
    <w:rsid w:val="00D35752"/>
    <w:rsid w:val="00D428B8"/>
    <w:rsid w:val="00D42927"/>
    <w:rsid w:val="00D4539B"/>
    <w:rsid w:val="00D55B92"/>
    <w:rsid w:val="00D714E0"/>
    <w:rsid w:val="00D7219F"/>
    <w:rsid w:val="00D745F5"/>
    <w:rsid w:val="00D804FE"/>
    <w:rsid w:val="00D94E4A"/>
    <w:rsid w:val="00D95935"/>
    <w:rsid w:val="00D961FB"/>
    <w:rsid w:val="00DA0105"/>
    <w:rsid w:val="00DA1C24"/>
    <w:rsid w:val="00DA3F86"/>
    <w:rsid w:val="00DA7243"/>
    <w:rsid w:val="00DB152A"/>
    <w:rsid w:val="00DB187A"/>
    <w:rsid w:val="00DE0CA2"/>
    <w:rsid w:val="00DF7107"/>
    <w:rsid w:val="00E03956"/>
    <w:rsid w:val="00E15B0A"/>
    <w:rsid w:val="00E21059"/>
    <w:rsid w:val="00E30B79"/>
    <w:rsid w:val="00E40540"/>
    <w:rsid w:val="00E50EE4"/>
    <w:rsid w:val="00E50F25"/>
    <w:rsid w:val="00E657D3"/>
    <w:rsid w:val="00E80C3A"/>
    <w:rsid w:val="00E80C58"/>
    <w:rsid w:val="00EA1DD8"/>
    <w:rsid w:val="00EA4B33"/>
    <w:rsid w:val="00EB194D"/>
    <w:rsid w:val="00EC66FC"/>
    <w:rsid w:val="00ED079E"/>
    <w:rsid w:val="00ED55A1"/>
    <w:rsid w:val="00EE1E8D"/>
    <w:rsid w:val="00EE2A91"/>
    <w:rsid w:val="00EE2BB5"/>
    <w:rsid w:val="00EE35B2"/>
    <w:rsid w:val="00F001E7"/>
    <w:rsid w:val="00F0042C"/>
    <w:rsid w:val="00F05140"/>
    <w:rsid w:val="00F22892"/>
    <w:rsid w:val="00F240FE"/>
    <w:rsid w:val="00F34B46"/>
    <w:rsid w:val="00F357ED"/>
    <w:rsid w:val="00F45610"/>
    <w:rsid w:val="00F61035"/>
    <w:rsid w:val="00F6366E"/>
    <w:rsid w:val="00F7177A"/>
    <w:rsid w:val="00F72529"/>
    <w:rsid w:val="00F73CDA"/>
    <w:rsid w:val="00F7589E"/>
    <w:rsid w:val="00F76C05"/>
    <w:rsid w:val="00F9268B"/>
    <w:rsid w:val="00F94448"/>
    <w:rsid w:val="00F9711E"/>
    <w:rsid w:val="00F97D1F"/>
    <w:rsid w:val="00FA6DFB"/>
    <w:rsid w:val="00FB4164"/>
    <w:rsid w:val="00FC4915"/>
    <w:rsid w:val="00FC698A"/>
    <w:rsid w:val="00FD6BFA"/>
    <w:rsid w:val="00FE1794"/>
    <w:rsid w:val="00FE3476"/>
    <w:rsid w:val="00FF29AF"/>
    <w:rsid w:val="00FF4B5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2E2A"/>
  <w15:chartTrackingRefBased/>
  <w15:docId w15:val="{BFF6691B-9926-4EA9-B92B-31F91098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29"/>
    <w:pPr>
      <w:spacing w:after="0" w:line="240" w:lineRule="auto"/>
    </w:pPr>
    <w:rPr>
      <w:rFonts w:ascii="Arial" w:eastAsia="Times New Roman" w:hAnsi="Arial" w:cs="Times New Roman"/>
      <w:kern w:val="0"/>
      <w:sz w:val="20"/>
      <w:szCs w:val="20"/>
      <w:lang w:eastAsia="es-ES"/>
      <w14:ligatures w14:val="none"/>
    </w:rPr>
  </w:style>
  <w:style w:type="paragraph" w:styleId="Ttulo2">
    <w:name w:val="heading 2"/>
    <w:basedOn w:val="Normal"/>
    <w:next w:val="Normal"/>
    <w:link w:val="Ttulo2Car"/>
    <w:qFormat/>
    <w:rsid w:val="004D0829"/>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D0829"/>
    <w:rPr>
      <w:rFonts w:ascii="Arial" w:eastAsia="Times New Roman" w:hAnsi="Arial" w:cs="Times New Roman"/>
      <w:b/>
      <w:kern w:val="0"/>
      <w:sz w:val="20"/>
      <w:szCs w:val="20"/>
      <w:lang w:eastAsia="es-ES"/>
      <w14:ligatures w14:val="none"/>
    </w:rPr>
  </w:style>
  <w:style w:type="paragraph" w:styleId="Encabezado">
    <w:name w:val="header"/>
    <w:aliases w:val="Encabezado1,encabezado,Encabezado Car Car Car Car Car,Encabezado Car Car Car"/>
    <w:basedOn w:val="Normal"/>
    <w:link w:val="EncabezadoCar1"/>
    <w:uiPriority w:val="99"/>
    <w:rsid w:val="004D0829"/>
    <w:pPr>
      <w:tabs>
        <w:tab w:val="center" w:pos="4252"/>
        <w:tab w:val="right" w:pos="8504"/>
      </w:tabs>
    </w:pPr>
  </w:style>
  <w:style w:type="character" w:customStyle="1" w:styleId="EncabezadoCar">
    <w:name w:val="Encabezado Car"/>
    <w:basedOn w:val="Fuentedeprrafopredeter"/>
    <w:uiPriority w:val="99"/>
    <w:semiHidden/>
    <w:rsid w:val="004D0829"/>
    <w:rPr>
      <w:rFonts w:ascii="Arial" w:eastAsia="Times New Roman" w:hAnsi="Arial" w:cs="Times New Roman"/>
      <w:kern w:val="0"/>
      <w:sz w:val="20"/>
      <w:szCs w:val="20"/>
      <w:lang w:eastAsia="es-ES"/>
      <w14:ligatures w14:val="none"/>
    </w:rPr>
  </w:style>
  <w:style w:type="paragraph" w:styleId="Piedepgina">
    <w:name w:val="footer"/>
    <w:basedOn w:val="Normal"/>
    <w:link w:val="PiedepginaCar"/>
    <w:uiPriority w:val="99"/>
    <w:rsid w:val="004D0829"/>
    <w:pPr>
      <w:tabs>
        <w:tab w:val="center" w:pos="4252"/>
        <w:tab w:val="right" w:pos="8504"/>
      </w:tabs>
    </w:pPr>
  </w:style>
  <w:style w:type="character" w:customStyle="1" w:styleId="PiedepginaCar">
    <w:name w:val="Pie de página Car"/>
    <w:basedOn w:val="Fuentedeprrafopredeter"/>
    <w:link w:val="Piedepgina"/>
    <w:uiPriority w:val="99"/>
    <w:rsid w:val="004D0829"/>
    <w:rPr>
      <w:rFonts w:ascii="Arial" w:eastAsia="Times New Roman" w:hAnsi="Arial" w:cs="Times New Roman"/>
      <w:kern w:val="0"/>
      <w:sz w:val="20"/>
      <w:szCs w:val="20"/>
      <w:lang w:eastAsia="es-ES"/>
      <w14:ligatures w14:val="none"/>
    </w:rPr>
  </w:style>
  <w:style w:type="paragraph" w:customStyle="1" w:styleId="Default">
    <w:name w:val="Default"/>
    <w:rsid w:val="004D0829"/>
    <w:pPr>
      <w:autoSpaceDE w:val="0"/>
      <w:autoSpaceDN w:val="0"/>
      <w:adjustRightInd w:val="0"/>
      <w:spacing w:after="0" w:line="240" w:lineRule="auto"/>
    </w:pPr>
    <w:rPr>
      <w:rFonts w:ascii="Arial" w:eastAsia="Times New Roman" w:hAnsi="Arial" w:cs="Arial"/>
      <w:color w:val="000000"/>
      <w:kern w:val="0"/>
      <w:sz w:val="24"/>
      <w:szCs w:val="24"/>
      <w:lang w:val="es-CO" w:eastAsia="es-CO"/>
      <w14:ligatures w14:val="none"/>
    </w:rPr>
  </w:style>
  <w:style w:type="character" w:customStyle="1" w:styleId="EncabezadoCar1">
    <w:name w:val="Encabezado Car1"/>
    <w:aliases w:val="Encabezado1 Car,encabezado Car,Encabezado Car Car Car Car Car Car,Encabezado Car Car Car Car"/>
    <w:link w:val="Encabezado"/>
    <w:uiPriority w:val="99"/>
    <w:locked/>
    <w:rsid w:val="004D0829"/>
    <w:rPr>
      <w:rFonts w:ascii="Arial" w:eastAsia="Times New Roman" w:hAnsi="Arial" w:cs="Times New Roman"/>
      <w:kern w:val="0"/>
      <w:sz w:val="20"/>
      <w:szCs w:val="20"/>
      <w:lang w:eastAsia="es-ES"/>
      <w14:ligatures w14:val="none"/>
    </w:rPr>
  </w:style>
  <w:style w:type="paragraph" w:customStyle="1" w:styleId="TableParagraph">
    <w:name w:val="Table Paragraph"/>
    <w:basedOn w:val="Normal"/>
    <w:uiPriority w:val="1"/>
    <w:qFormat/>
    <w:rsid w:val="004D0829"/>
    <w:pPr>
      <w:widowControl w:val="0"/>
      <w:autoSpaceDE w:val="0"/>
      <w:autoSpaceDN w:val="0"/>
    </w:pPr>
    <w:rPr>
      <w:rFonts w:ascii="Arial MT" w:eastAsia="Arial MT" w:hAnsi="Arial MT" w:cs="Arial MT"/>
      <w:sz w:val="22"/>
      <w:szCs w:val="22"/>
      <w:lang w:eastAsia="en-US"/>
    </w:rPr>
  </w:style>
  <w:style w:type="paragraph" w:styleId="Prrafodelista">
    <w:name w:val="List Paragraph"/>
    <w:aliases w:val="List,titulo 3,Párrafo de lista1,HOJA,Bolita,Párrafo de lista3,Guión,Párrafo de lista31,BOLA,Párrafo de lista21,BOLADEF,Párrafo de lista2,Titulo 8,Párrafo de lista5,Colorful List - Accent 11,Colorful List - Accent 12,Bullets,Ha,Fluvia"/>
    <w:basedOn w:val="Normal"/>
    <w:link w:val="PrrafodelistaCar"/>
    <w:uiPriority w:val="34"/>
    <w:qFormat/>
    <w:rsid w:val="004D0829"/>
    <w:pPr>
      <w:spacing w:after="160" w:line="259" w:lineRule="auto"/>
      <w:ind w:left="720"/>
      <w:contextualSpacing/>
    </w:pPr>
    <w:rPr>
      <w:rFonts w:ascii="Calibri" w:eastAsia="Calibri" w:hAnsi="Calibri" w:cs="Calibri"/>
      <w:sz w:val="22"/>
      <w:szCs w:val="22"/>
      <w:lang w:val="es-CO" w:eastAsia="en-US"/>
    </w:rPr>
  </w:style>
  <w:style w:type="paragraph" w:styleId="Descripcin">
    <w:name w:val="caption"/>
    <w:basedOn w:val="Normal"/>
    <w:next w:val="Normal"/>
    <w:link w:val="DescripcinCar"/>
    <w:uiPriority w:val="35"/>
    <w:unhideWhenUsed/>
    <w:qFormat/>
    <w:rsid w:val="004D0829"/>
    <w:pPr>
      <w:spacing w:after="200"/>
    </w:pPr>
    <w:rPr>
      <w:rFonts w:ascii="Calibri" w:eastAsia="Calibri" w:hAnsi="Calibri" w:cs="Arial"/>
      <w:i/>
      <w:iCs/>
      <w:color w:val="44546A"/>
      <w:sz w:val="18"/>
      <w:szCs w:val="18"/>
      <w:lang w:val="es-CO" w:eastAsia="en-US"/>
    </w:rPr>
  </w:style>
  <w:style w:type="character" w:customStyle="1" w:styleId="DescripcinCar">
    <w:name w:val="Descripción Car"/>
    <w:link w:val="Descripcin"/>
    <w:uiPriority w:val="35"/>
    <w:rsid w:val="004D0829"/>
    <w:rPr>
      <w:rFonts w:ascii="Calibri" w:eastAsia="Calibri" w:hAnsi="Calibri" w:cs="Arial"/>
      <w:i/>
      <w:iCs/>
      <w:color w:val="44546A"/>
      <w:kern w:val="0"/>
      <w:sz w:val="18"/>
      <w:szCs w:val="18"/>
      <w:lang w:val="es-CO"/>
      <w14:ligatures w14:val="none"/>
    </w:rPr>
  </w:style>
  <w:style w:type="character" w:customStyle="1" w:styleId="PrrafodelistaCar">
    <w:name w:val="Párrafo de lista Car"/>
    <w:aliases w:val="List Car,titulo 3 Car,Párrafo de lista1 Car,HOJA Car,Bolita Car,Párrafo de lista3 Car,Guión Car,Párrafo de lista31 Car,BOLA Car,Párrafo de lista21 Car,BOLADEF Car,Párrafo de lista2 Car,Titulo 8 Car,Párrafo de lista5 Car,Bullets Car"/>
    <w:link w:val="Prrafodelista"/>
    <w:uiPriority w:val="34"/>
    <w:qFormat/>
    <w:locked/>
    <w:rsid w:val="004D0829"/>
    <w:rPr>
      <w:rFonts w:ascii="Calibri" w:eastAsia="Calibri" w:hAnsi="Calibri" w:cs="Calibri"/>
      <w:kern w:val="0"/>
      <w:lang w:val="es-CO"/>
      <w14:ligatures w14:val="none"/>
    </w:rPr>
  </w:style>
  <w:style w:type="character" w:customStyle="1" w:styleId="normaltextrun">
    <w:name w:val="normaltextrun"/>
    <w:basedOn w:val="Fuentedeprrafopredeter"/>
    <w:rsid w:val="004D0829"/>
  </w:style>
  <w:style w:type="paragraph" w:styleId="Textonotapie">
    <w:name w:val="footnote text"/>
    <w:basedOn w:val="Normal"/>
    <w:link w:val="TextonotapieCar"/>
    <w:uiPriority w:val="99"/>
    <w:semiHidden/>
    <w:unhideWhenUsed/>
    <w:rsid w:val="0067436F"/>
  </w:style>
  <w:style w:type="character" w:customStyle="1" w:styleId="TextonotapieCar">
    <w:name w:val="Texto nota pie Car"/>
    <w:basedOn w:val="Fuentedeprrafopredeter"/>
    <w:link w:val="Textonotapie"/>
    <w:uiPriority w:val="99"/>
    <w:semiHidden/>
    <w:rsid w:val="0067436F"/>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7436F"/>
    <w:rPr>
      <w:vertAlign w:val="superscript"/>
    </w:rPr>
  </w:style>
  <w:style w:type="table" w:styleId="Tablaconcuadrcula">
    <w:name w:val="Table Grid"/>
    <w:basedOn w:val="Tablanormal"/>
    <w:uiPriority w:val="59"/>
    <w:rsid w:val="007A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2992"/>
    <w:rPr>
      <w:color w:val="0563C1" w:themeColor="hyperlink"/>
      <w:u w:val="single"/>
    </w:rPr>
  </w:style>
  <w:style w:type="character" w:customStyle="1" w:styleId="Mencinsinresolver1">
    <w:name w:val="Mención sin resolver1"/>
    <w:basedOn w:val="Fuentedeprrafopredeter"/>
    <w:uiPriority w:val="99"/>
    <w:semiHidden/>
    <w:unhideWhenUsed/>
    <w:rsid w:val="00932992"/>
    <w:rPr>
      <w:color w:val="605E5C"/>
      <w:shd w:val="clear" w:color="auto" w:fill="E1DFDD"/>
    </w:rPr>
  </w:style>
  <w:style w:type="paragraph" w:customStyle="1" w:styleId="s18">
    <w:name w:val="s18"/>
    <w:basedOn w:val="Normal"/>
    <w:rsid w:val="00FE1794"/>
    <w:pPr>
      <w:spacing w:before="100" w:beforeAutospacing="1" w:after="100" w:afterAutospacing="1"/>
    </w:pPr>
    <w:rPr>
      <w:rFonts w:ascii="Times New Roman" w:hAnsi="Times New Roman"/>
      <w:sz w:val="24"/>
      <w:szCs w:val="24"/>
      <w:lang w:val="es-CO" w:eastAsia="es-ES_tradnl"/>
    </w:rPr>
  </w:style>
  <w:style w:type="character" w:customStyle="1" w:styleId="bumpedfont15">
    <w:name w:val="bumpedfont15"/>
    <w:basedOn w:val="Fuentedeprrafopredeter"/>
    <w:rsid w:val="00FE1794"/>
  </w:style>
  <w:style w:type="character" w:customStyle="1" w:styleId="apple-converted-space">
    <w:name w:val="apple-converted-space"/>
    <w:basedOn w:val="Fuentedeprrafopredeter"/>
    <w:rsid w:val="00FE1794"/>
  </w:style>
  <w:style w:type="paragraph" w:styleId="Revisin">
    <w:name w:val="Revision"/>
    <w:hidden/>
    <w:uiPriority w:val="99"/>
    <w:semiHidden/>
    <w:rsid w:val="00C046FC"/>
    <w:pPr>
      <w:spacing w:after="0" w:line="240" w:lineRule="auto"/>
    </w:pPr>
    <w:rPr>
      <w:rFonts w:ascii="Arial" w:eastAsia="Times New Roman" w:hAnsi="Arial"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0624">
      <w:bodyDiv w:val="1"/>
      <w:marLeft w:val="0"/>
      <w:marRight w:val="0"/>
      <w:marTop w:val="0"/>
      <w:marBottom w:val="0"/>
      <w:divBdr>
        <w:top w:val="none" w:sz="0" w:space="0" w:color="auto"/>
        <w:left w:val="none" w:sz="0" w:space="0" w:color="auto"/>
        <w:bottom w:val="none" w:sz="0" w:space="0" w:color="auto"/>
        <w:right w:val="none" w:sz="0" w:space="0" w:color="auto"/>
      </w:divBdr>
    </w:div>
    <w:div w:id="1732532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ivienda.gov.co/publicacion/estudio-sobre-los-precios-tope-de-la-vivienda-de-interes-social-en-colombia"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minviviendagovco-my.sharepoint.com/personal/ngalvis_minvivienda_gov_co/Documents/MVCT/LTV%20-%20LTI,%20Topes/20231003%20Ejercicio%20presi&#243;n%20en%20valor%20del%20suelo%20municipios%20tope%20VIS%20art%20293%20PND.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minviviendagovco-my.sharepoint.com/personal/ngalvis_minvivienda_gov_co/Documents/MVCT/LTV%20-%20LTI,%20Topes/20231003%20Ejercicio%20presi&#243;n%20en%20valor%20del%20suelo%20municipios%20tope%20VIS%20art%20293%20PN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minviviendagovco-my.sharepoint.com/personal/ngalvis_minvivienda_gov_co/Documents/MVCT/LTV%20-%20LTI,%20Topes/20231003%20Ejercicio%20presi&#243;n%20en%20valor%20del%20suelo%20municipios%20tope%20VIS%20art%20293%20PND.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minviviendagovco-my.sharepoint.com/personal/ngalvis_minvivienda_gov_co/Documents/MVCT/LTV%20-%20LTI,%20Topes/20231003%20Ejercicio%20presi&#243;n%20en%20valor%20del%20suelo%20municipios%20tope%20VIS%20art%20293%20PND.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minviviendagovco-my.sharepoint.com/personal/ngalvis_minvivienda_gov_co/Documents/MVCT/LTV%20-%20LTI,%20Topes/20231003%20Ejercicio%20presi&#243;n%20en%20valor%20del%20suelo%20municipios%20tope%20VIS%20art%20293%20PN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ICCV-ICOCED residencial</c:v>
                </c:pt>
              </c:strCache>
            </c:strRef>
          </c:tx>
          <c:spPr>
            <a:ln w="28575" cap="rnd">
              <a:solidFill>
                <a:srgbClr val="1A8EB2"/>
              </a:solidFill>
              <a:round/>
            </a:ln>
            <a:effectLst/>
          </c:spPr>
          <c:marker>
            <c:symbol val="circle"/>
            <c:size val="5"/>
            <c:spPr>
              <a:solidFill>
                <a:srgbClr val="1A8EB2"/>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EB-4D0E-864C-C28C495349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Hoja1!$B$2:$B$19</c:f>
              <c:numCache>
                <c:formatCode>0.0</c:formatCode>
                <c:ptCount val="18"/>
                <c:pt idx="0" formatCode="General">
                  <c:v>100</c:v>
                </c:pt>
                <c:pt idx="1">
                  <c:v>104.23</c:v>
                </c:pt>
                <c:pt idx="2">
                  <c:v>109.74611918967901</c:v>
                </c:pt>
                <c:pt idx="3">
                  <c:v>108.51696265475461</c:v>
                </c:pt>
                <c:pt idx="4">
                  <c:v>110.43771289374376</c:v>
                </c:pt>
                <c:pt idx="5">
                  <c:v>118.02478376954396</c:v>
                </c:pt>
                <c:pt idx="6">
                  <c:v>120.9872058421595</c:v>
                </c:pt>
                <c:pt idx="7">
                  <c:v>124.19336679697672</c:v>
                </c:pt>
                <c:pt idx="8">
                  <c:v>126.44126673600199</c:v>
                </c:pt>
                <c:pt idx="9">
                  <c:v>133.0794332396421</c:v>
                </c:pt>
                <c:pt idx="10">
                  <c:v>137.28474333001481</c:v>
                </c:pt>
                <c:pt idx="11">
                  <c:v>143.83322558685651</c:v>
                </c:pt>
                <c:pt idx="12">
                  <c:v>147.41467290396923</c:v>
                </c:pt>
                <c:pt idx="13">
                  <c:v>151.60124961444197</c:v>
                </c:pt>
                <c:pt idx="14">
                  <c:v>158.24138434755454</c:v>
                </c:pt>
                <c:pt idx="15">
                  <c:v>169.11256745223153</c:v>
                </c:pt>
                <c:pt idx="16">
                  <c:v>185.94095903940308</c:v>
                </c:pt>
                <c:pt idx="17">
                  <c:v>199.365896282048</c:v>
                </c:pt>
              </c:numCache>
            </c:numRef>
          </c:val>
          <c:smooth val="0"/>
          <c:extLst>
            <c:ext xmlns:c16="http://schemas.microsoft.com/office/drawing/2014/chart" uri="{C3380CC4-5D6E-409C-BE32-E72D297353CC}">
              <c16:uniqueId val="{00000000-E8D9-425D-9B1B-BE843DBCBC18}"/>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EB-4D0E-864C-C28C495349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Hoja1!$C$2:$C$19</c:f>
              <c:numCache>
                <c:formatCode>0.0</c:formatCode>
                <c:ptCount val="18"/>
                <c:pt idx="0" formatCode="General">
                  <c:v>100</c:v>
                </c:pt>
                <c:pt idx="1">
                  <c:v>117.96</c:v>
                </c:pt>
                <c:pt idx="2">
                  <c:v>134.74570800000001</c:v>
                </c:pt>
                <c:pt idx="3">
                  <c:v>142.089349086</c:v>
                </c:pt>
                <c:pt idx="4">
                  <c:v>155.23261387645499</c:v>
                </c:pt>
                <c:pt idx="5">
                  <c:v>170.35227046802169</c:v>
                </c:pt>
                <c:pt idx="6">
                  <c:v>189.65318271204853</c:v>
                </c:pt>
                <c:pt idx="7">
                  <c:v>209.7374547612545</c:v>
                </c:pt>
                <c:pt idx="8">
                  <c:v>229.59959172714531</c:v>
                </c:pt>
                <c:pt idx="9">
                  <c:v>245.4190035971456</c:v>
                </c:pt>
                <c:pt idx="10">
                  <c:v>265.86240659678782</c:v>
                </c:pt>
                <c:pt idx="11">
                  <c:v>282.0534271585322</c:v>
                </c:pt>
                <c:pt idx="12">
                  <c:v>304.92796010108913</c:v>
                </c:pt>
                <c:pt idx="13">
                  <c:v>322.58328899094221</c:v>
                </c:pt>
                <c:pt idx="14">
                  <c:v>332.09949601617501</c:v>
                </c:pt>
                <c:pt idx="15">
                  <c:v>354.54942194686845</c:v>
                </c:pt>
                <c:pt idx="16">
                  <c:v>385.67886119380353</c:v>
                </c:pt>
                <c:pt idx="17">
                  <c:v>433.50303998183523</c:v>
                </c:pt>
              </c:numCache>
            </c:numRef>
          </c:val>
          <c:smooth val="0"/>
          <c:extLst>
            <c:ext xmlns:c16="http://schemas.microsoft.com/office/drawing/2014/chart" uri="{C3380CC4-5D6E-409C-BE32-E72D297353CC}">
              <c16:uniqueId val="{00000001-E8D9-425D-9B1B-BE843DBCBC18}"/>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es-CO" sz="900" b="0">
                <a:solidFill>
                  <a:schemeClr val="tx1"/>
                </a:solidFill>
                <a:latin typeface="Verdana" panose="020B0604030504040204" pitchFamily="34" charset="0"/>
                <a:ea typeface="Verdana" panose="020B0604030504040204" pitchFamily="34" charset="0"/>
                <a:cs typeface="Verdana" panose="020B0604030504040204" pitchFamily="34" charset="0"/>
              </a:rPr>
              <a:t>Manizales y Villamaría</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title>
    <c:autoTitleDeleted val="0"/>
    <c:plotArea>
      <c:layout/>
      <c:lineChart>
        <c:grouping val="standard"/>
        <c:varyColors val="0"/>
        <c:ser>
          <c:idx val="0"/>
          <c:order val="0"/>
          <c:tx>
            <c:strRef>
              <c:f>'IPVN-IP vs ICOCED'!$F$2</c:f>
              <c:strCache>
                <c:ptCount val="1"/>
                <c:pt idx="0">
                  <c:v>ICOCED residencial</c:v>
                </c:pt>
              </c:strCache>
            </c:strRef>
          </c:tx>
          <c:spPr>
            <a:ln w="28575" cap="rnd">
              <a:solidFill>
                <a:srgbClr val="1A8EB2"/>
              </a:solidFill>
              <a:round/>
            </a:ln>
            <a:effectLst/>
          </c:spPr>
          <c:marker>
            <c:symbol val="circle"/>
            <c:size val="4"/>
            <c:spPr>
              <a:solidFill>
                <a:srgbClr val="1A8EB2"/>
              </a:solidFill>
              <a:ln w="9525">
                <a:noFill/>
              </a:ln>
              <a:effectLst/>
            </c:spPr>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56-7F43-85A5-314B5FE2ED4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1A8EB2"/>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ICOCED'!$F$3:$F$34</c:f>
              <c:numCache>
                <c:formatCode>0</c:formatCode>
                <c:ptCount val="32"/>
                <c:pt idx="0">
                  <c:v>100</c:v>
                </c:pt>
                <c:pt idx="1">
                  <c:v>100.79498915923872</c:v>
                </c:pt>
                <c:pt idx="2">
                  <c:v>100.6905966433791</c:v>
                </c:pt>
                <c:pt idx="3">
                  <c:v>100.28507187023206</c:v>
                </c:pt>
                <c:pt idx="4">
                  <c:v>104.97470489038784</c:v>
                </c:pt>
                <c:pt idx="5">
                  <c:v>104.63342166546212</c:v>
                </c:pt>
                <c:pt idx="6">
                  <c:v>105.20356540592626</c:v>
                </c:pt>
                <c:pt idx="7">
                  <c:v>106.22741508070342</c:v>
                </c:pt>
                <c:pt idx="8">
                  <c:v>109.60009636232232</c:v>
                </c:pt>
                <c:pt idx="9">
                  <c:v>110.08592307074598</c:v>
                </c:pt>
                <c:pt idx="10">
                  <c:v>110.45932706978238</c:v>
                </c:pt>
                <c:pt idx="11">
                  <c:v>110.71629326266762</c:v>
                </c:pt>
                <c:pt idx="12">
                  <c:v>113.12535132096681</c:v>
                </c:pt>
                <c:pt idx="13">
                  <c:v>113.14141170802215</c:v>
                </c:pt>
                <c:pt idx="14">
                  <c:v>113.44655906207338</c:v>
                </c:pt>
                <c:pt idx="15">
                  <c:v>113.92435557696939</c:v>
                </c:pt>
                <c:pt idx="16">
                  <c:v>119.38488717578089</c:v>
                </c:pt>
                <c:pt idx="17">
                  <c:v>120.28732144864686</c:v>
                </c:pt>
                <c:pt idx="18">
                  <c:v>120.77009555930293</c:v>
                </c:pt>
                <c:pt idx="19">
                  <c:v>122.46446639364002</c:v>
                </c:pt>
                <c:pt idx="20">
                  <c:v>125.51192483738855</c:v>
                </c:pt>
                <c:pt idx="21">
                  <c:v>129.14157231189267</c:v>
                </c:pt>
                <c:pt idx="22">
                  <c:v>130.23367863165498</c:v>
                </c:pt>
                <c:pt idx="23">
                  <c:v>130.83995824299362</c:v>
                </c:pt>
                <c:pt idx="24">
                  <c:v>136.24757371717652</c:v>
                </c:pt>
                <c:pt idx="25">
                  <c:v>141.17762334377252</c:v>
                </c:pt>
                <c:pt idx="26">
                  <c:v>142.41667774833368</c:v>
                </c:pt>
                <c:pt idx="27">
                  <c:v>143.409753031398</c:v>
                </c:pt>
                <c:pt idx="28">
                  <c:v>155.05843451377172</c:v>
                </c:pt>
                <c:pt idx="29">
                  <c:v>155.66029832168948</c:v>
                </c:pt>
                <c:pt idx="30">
                  <c:v>155.29394643860911</c:v>
                </c:pt>
                <c:pt idx="31">
                  <c:v>154.59826736150268</c:v>
                </c:pt>
              </c:numCache>
            </c:numRef>
          </c:val>
          <c:smooth val="0"/>
          <c:extLst>
            <c:ext xmlns:c16="http://schemas.microsoft.com/office/drawing/2014/chart" uri="{C3380CC4-5D6E-409C-BE32-E72D297353CC}">
              <c16:uniqueId val="{00000001-9F56-7F43-85A5-314B5FE2ED49}"/>
            </c:ext>
          </c:extLst>
        </c:ser>
        <c:ser>
          <c:idx val="1"/>
          <c:order val="1"/>
          <c:tx>
            <c:strRef>
              <c:f>'IPVN-IP vs ICOCED'!$G$2</c:f>
              <c:strCache>
                <c:ptCount val="1"/>
                <c:pt idx="0">
                  <c:v>IPVN</c:v>
                </c:pt>
              </c:strCache>
            </c:strRef>
          </c:tx>
          <c:spPr>
            <a:ln w="28575" cap="rnd">
              <a:solidFill>
                <a:srgbClr val="62C8E8"/>
              </a:solidFill>
              <a:round/>
            </a:ln>
            <a:effectLst/>
          </c:spPr>
          <c:marker>
            <c:symbol val="circle"/>
            <c:size val="4"/>
            <c:spPr>
              <a:solidFill>
                <a:srgbClr val="62C8E8"/>
              </a:solidFill>
              <a:ln w="9525">
                <a:noFill/>
              </a:ln>
              <a:effectLst/>
            </c:spPr>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56-7F43-85A5-314B5FE2ED4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62C8E8"/>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ICOCED'!$G$3:$G$34</c:f>
              <c:numCache>
                <c:formatCode>0</c:formatCode>
                <c:ptCount val="32"/>
                <c:pt idx="0">
                  <c:v>100</c:v>
                </c:pt>
                <c:pt idx="1">
                  <c:v>101.56719817767652</c:v>
                </c:pt>
                <c:pt idx="2">
                  <c:v>103.74487471526194</c:v>
                </c:pt>
                <c:pt idx="3">
                  <c:v>106.30523917995444</c:v>
                </c:pt>
                <c:pt idx="4">
                  <c:v>108.66514806378133</c:v>
                </c:pt>
                <c:pt idx="5">
                  <c:v>110.74259681093395</c:v>
                </c:pt>
                <c:pt idx="6">
                  <c:v>116.24601366742597</c:v>
                </c:pt>
                <c:pt idx="7">
                  <c:v>118.62414578587699</c:v>
                </c:pt>
                <c:pt idx="8">
                  <c:v>121.12072892938495</c:v>
                </c:pt>
                <c:pt idx="9">
                  <c:v>124.66514806378132</c:v>
                </c:pt>
                <c:pt idx="10">
                  <c:v>126.61503416856495</c:v>
                </c:pt>
                <c:pt idx="11">
                  <c:v>128.6469248291572</c:v>
                </c:pt>
                <c:pt idx="12">
                  <c:v>131.28929384965835</c:v>
                </c:pt>
                <c:pt idx="13">
                  <c:v>131.33485193621868</c:v>
                </c:pt>
                <c:pt idx="14">
                  <c:v>134.75170842824599</c:v>
                </c:pt>
                <c:pt idx="15">
                  <c:v>139.03416856492026</c:v>
                </c:pt>
                <c:pt idx="16">
                  <c:v>139.96355353075171</c:v>
                </c:pt>
                <c:pt idx="17">
                  <c:v>143.13439635535306</c:v>
                </c:pt>
                <c:pt idx="18">
                  <c:v>142.09567198177675</c:v>
                </c:pt>
                <c:pt idx="19">
                  <c:v>143.93621867881549</c:v>
                </c:pt>
                <c:pt idx="20">
                  <c:v>147.34750706150342</c:v>
                </c:pt>
                <c:pt idx="21">
                  <c:v>146.85812391799544</c:v>
                </c:pt>
                <c:pt idx="22">
                  <c:v>147.88007107061503</c:v>
                </c:pt>
                <c:pt idx="23">
                  <c:v>151.69438086560365</c:v>
                </c:pt>
                <c:pt idx="24">
                  <c:v>157.6677339407745</c:v>
                </c:pt>
                <c:pt idx="25">
                  <c:v>164.14486378132119</c:v>
                </c:pt>
                <c:pt idx="26">
                  <c:v>165.98724738041003</c:v>
                </c:pt>
                <c:pt idx="27">
                  <c:v>167.7288756264237</c:v>
                </c:pt>
                <c:pt idx="28">
                  <c:v>177.04154897494305</c:v>
                </c:pt>
                <c:pt idx="29">
                  <c:v>186.48376492027336</c:v>
                </c:pt>
                <c:pt idx="30">
                  <c:v>192.80256492027334</c:v>
                </c:pt>
                <c:pt idx="31">
                  <c:v>197.94108792710708</c:v>
                </c:pt>
              </c:numCache>
            </c:numRef>
          </c:val>
          <c:smooth val="0"/>
          <c:extLst>
            <c:ext xmlns:c16="http://schemas.microsoft.com/office/drawing/2014/chart" uri="{C3380CC4-5D6E-409C-BE32-E72D297353CC}">
              <c16:uniqueId val="{00000003-9F56-7F43-85A5-314B5FE2ED49}"/>
            </c:ext>
          </c:extLst>
        </c:ser>
        <c:dLbls>
          <c:showLegendKey val="0"/>
          <c:showVal val="0"/>
          <c:showCatName val="0"/>
          <c:showSerName val="0"/>
          <c:showPercent val="0"/>
          <c:showBubbleSize val="0"/>
        </c:dLbls>
        <c:marker val="1"/>
        <c:smooth val="0"/>
        <c:axId val="1719126400"/>
        <c:axId val="1544274560"/>
      </c:lineChart>
      <c:catAx>
        <c:axId val="171912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544274560"/>
        <c:crosses val="autoZero"/>
        <c:auto val="1"/>
        <c:lblAlgn val="ctr"/>
        <c:lblOffset val="100"/>
        <c:noMultiLvlLbl val="0"/>
      </c:catAx>
      <c:valAx>
        <c:axId val="1544274560"/>
        <c:scaling>
          <c:orientation val="minMax"/>
          <c:min val="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7191264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es-CO" sz="900" b="0">
                <a:solidFill>
                  <a:schemeClr val="tx1"/>
                </a:solidFill>
                <a:latin typeface="Verdana" panose="020B0604030504040204" pitchFamily="34" charset="0"/>
                <a:ea typeface="Verdana" panose="020B0604030504040204" pitchFamily="34" charset="0"/>
                <a:cs typeface="Verdana" panose="020B0604030504040204" pitchFamily="34" charset="0"/>
              </a:rPr>
              <a:t>Ibagué</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title>
    <c:autoTitleDeleted val="0"/>
    <c:plotArea>
      <c:layout/>
      <c:lineChart>
        <c:grouping val="standard"/>
        <c:varyColors val="0"/>
        <c:ser>
          <c:idx val="0"/>
          <c:order val="0"/>
          <c:tx>
            <c:strRef>
              <c:f>'IPVN-IP vs ICOCED'!$J$2</c:f>
              <c:strCache>
                <c:ptCount val="1"/>
                <c:pt idx="0">
                  <c:v>ICOCED residencial</c:v>
                </c:pt>
              </c:strCache>
            </c:strRef>
          </c:tx>
          <c:spPr>
            <a:ln w="28575" cap="rnd">
              <a:solidFill>
                <a:srgbClr val="1A8EB2"/>
              </a:solidFill>
              <a:round/>
            </a:ln>
            <a:effectLst/>
          </c:spPr>
          <c:marker>
            <c:symbol val="circle"/>
            <c:size val="4"/>
            <c:spPr>
              <a:solidFill>
                <a:srgbClr val="1A8EB2"/>
              </a:solidFill>
              <a:ln w="9525">
                <a:noFill/>
              </a:ln>
              <a:effectLst/>
            </c:spPr>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75-D94A-A34C-BC9BD9913A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1A8EB2"/>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ICOCED'!$J$3:$J$34</c:f>
              <c:numCache>
                <c:formatCode>0</c:formatCode>
                <c:ptCount val="32"/>
                <c:pt idx="0">
                  <c:v>100</c:v>
                </c:pt>
                <c:pt idx="1">
                  <c:v>100.2170401776701</c:v>
                </c:pt>
                <c:pt idx="2">
                  <c:v>100.44417524732484</c:v>
                </c:pt>
                <c:pt idx="3">
                  <c:v>100.10599636583886</c:v>
                </c:pt>
                <c:pt idx="4">
                  <c:v>101.62527760952955</c:v>
                </c:pt>
                <c:pt idx="5">
                  <c:v>101.64041994750653</c:v>
                </c:pt>
                <c:pt idx="6">
                  <c:v>101.80193821926103</c:v>
                </c:pt>
                <c:pt idx="7">
                  <c:v>102.29154048051683</c:v>
                </c:pt>
                <c:pt idx="8">
                  <c:v>104.66888754290326</c:v>
                </c:pt>
                <c:pt idx="9">
                  <c:v>105.05249343832017</c:v>
                </c:pt>
                <c:pt idx="10">
                  <c:v>105.16353725015139</c:v>
                </c:pt>
                <c:pt idx="11">
                  <c:v>105.51181102362202</c:v>
                </c:pt>
                <c:pt idx="12">
                  <c:v>106.79386230567331</c:v>
                </c:pt>
                <c:pt idx="13">
                  <c:v>107.31374924288309</c:v>
                </c:pt>
                <c:pt idx="14">
                  <c:v>107.58126388047646</c:v>
                </c:pt>
                <c:pt idx="15">
                  <c:v>107.72259236826164</c:v>
                </c:pt>
                <c:pt idx="16">
                  <c:v>108.75227135069653</c:v>
                </c:pt>
                <c:pt idx="17">
                  <c:v>109.29732752877042</c:v>
                </c:pt>
                <c:pt idx="18">
                  <c:v>110.10498687664038</c:v>
                </c:pt>
                <c:pt idx="19">
                  <c:v>112.07349081364826</c:v>
                </c:pt>
                <c:pt idx="20">
                  <c:v>114.26912982031089</c:v>
                </c:pt>
                <c:pt idx="21">
                  <c:v>117.58530183727032</c:v>
                </c:pt>
                <c:pt idx="22">
                  <c:v>119.38724005653137</c:v>
                </c:pt>
                <c:pt idx="23">
                  <c:v>119.79608318190994</c:v>
                </c:pt>
                <c:pt idx="24">
                  <c:v>125.11502927518674</c:v>
                </c:pt>
                <c:pt idx="25">
                  <c:v>129.02996527357158</c:v>
                </c:pt>
                <c:pt idx="26">
                  <c:v>129.96437472239046</c:v>
                </c:pt>
                <c:pt idx="27">
                  <c:v>130.86763718958207</c:v>
                </c:pt>
                <c:pt idx="28">
                  <c:v>140.55674439733494</c:v>
                </c:pt>
                <c:pt idx="29">
                  <c:v>141.13176559660812</c:v>
                </c:pt>
                <c:pt idx="30">
                  <c:v>140.52080557238037</c:v>
                </c:pt>
                <c:pt idx="31">
                  <c:v>140.38865811052722</c:v>
                </c:pt>
              </c:numCache>
            </c:numRef>
          </c:val>
          <c:smooth val="0"/>
          <c:extLst>
            <c:ext xmlns:c16="http://schemas.microsoft.com/office/drawing/2014/chart" uri="{C3380CC4-5D6E-409C-BE32-E72D297353CC}">
              <c16:uniqueId val="{00000001-7075-D94A-A34C-BC9BD9913A19}"/>
            </c:ext>
          </c:extLst>
        </c:ser>
        <c:ser>
          <c:idx val="1"/>
          <c:order val="1"/>
          <c:tx>
            <c:strRef>
              <c:f>'IPVN-IP vs ICOCED'!$K$2</c:f>
              <c:strCache>
                <c:ptCount val="1"/>
                <c:pt idx="0">
                  <c:v>IPVN</c:v>
                </c:pt>
              </c:strCache>
            </c:strRef>
          </c:tx>
          <c:spPr>
            <a:ln w="28575" cap="rnd">
              <a:solidFill>
                <a:srgbClr val="62C8E8"/>
              </a:solidFill>
              <a:round/>
            </a:ln>
            <a:effectLst/>
          </c:spPr>
          <c:marker>
            <c:symbol val="circle"/>
            <c:size val="4"/>
            <c:spPr>
              <a:solidFill>
                <a:srgbClr val="62C8E8"/>
              </a:solidFill>
              <a:ln w="9525">
                <a:noFill/>
              </a:ln>
              <a:effectLst/>
            </c:spPr>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75-D94A-A34C-BC9BD9913A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62C8E8"/>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ICOCED'!$K$3:$K$34</c:f>
              <c:numCache>
                <c:formatCode>0</c:formatCode>
                <c:ptCount val="32"/>
                <c:pt idx="0">
                  <c:v>100</c:v>
                </c:pt>
                <c:pt idx="1">
                  <c:v>103.61781884752857</c:v>
                </c:pt>
                <c:pt idx="2">
                  <c:v>108.50841251852499</c:v>
                </c:pt>
                <c:pt idx="3">
                  <c:v>109.59811699067217</c:v>
                </c:pt>
                <c:pt idx="4">
                  <c:v>110.74012727748237</c:v>
                </c:pt>
                <c:pt idx="5">
                  <c:v>112.46621916136345</c:v>
                </c:pt>
                <c:pt idx="6">
                  <c:v>112.63185424112982</c:v>
                </c:pt>
                <c:pt idx="7">
                  <c:v>114.96818062941331</c:v>
                </c:pt>
                <c:pt idx="8">
                  <c:v>116.07532037311483</c:v>
                </c:pt>
                <c:pt idx="9">
                  <c:v>116.99067212971842</c:v>
                </c:pt>
                <c:pt idx="10">
                  <c:v>123.09301717374248</c:v>
                </c:pt>
                <c:pt idx="11">
                  <c:v>123.99965129456892</c:v>
                </c:pt>
                <c:pt idx="12">
                  <c:v>126.40571876906984</c:v>
                </c:pt>
                <c:pt idx="13">
                  <c:v>122.84892337198151</c:v>
                </c:pt>
                <c:pt idx="14">
                  <c:v>124.47040362653649</c:v>
                </c:pt>
                <c:pt idx="15">
                  <c:v>126.6498125708308</c:v>
                </c:pt>
                <c:pt idx="16">
                  <c:v>127.94874030163021</c:v>
                </c:pt>
                <c:pt idx="17">
                  <c:v>126.64109493505362</c:v>
                </c:pt>
                <c:pt idx="18">
                  <c:v>126.85031819370586</c:v>
                </c:pt>
                <c:pt idx="19">
                  <c:v>128.18411646761396</c:v>
                </c:pt>
                <c:pt idx="20">
                  <c:v>129.60696016040447</c:v>
                </c:pt>
                <c:pt idx="21">
                  <c:v>122.40301281492457</c:v>
                </c:pt>
                <c:pt idx="22">
                  <c:v>122.76192834103388</c:v>
                </c:pt>
                <c:pt idx="23">
                  <c:v>125.17178973062504</c:v>
                </c:pt>
                <c:pt idx="24">
                  <c:v>131.33744573271724</c:v>
                </c:pt>
                <c:pt idx="25">
                  <c:v>140.6179757649725</c:v>
                </c:pt>
                <c:pt idx="26">
                  <c:v>145.70688518873675</c:v>
                </c:pt>
                <c:pt idx="27">
                  <c:v>148.94994333536738</c:v>
                </c:pt>
                <c:pt idx="28">
                  <c:v>156.69226397001125</c:v>
                </c:pt>
                <c:pt idx="29">
                  <c:v>159.02521488972184</c:v>
                </c:pt>
                <c:pt idx="30">
                  <c:v>163.46038531950126</c:v>
                </c:pt>
                <c:pt idx="31">
                  <c:v>173.81766193008445</c:v>
                </c:pt>
              </c:numCache>
            </c:numRef>
          </c:val>
          <c:smooth val="0"/>
          <c:extLst>
            <c:ext xmlns:c16="http://schemas.microsoft.com/office/drawing/2014/chart" uri="{C3380CC4-5D6E-409C-BE32-E72D297353CC}">
              <c16:uniqueId val="{00000003-7075-D94A-A34C-BC9BD9913A19}"/>
            </c:ext>
          </c:extLst>
        </c:ser>
        <c:dLbls>
          <c:showLegendKey val="0"/>
          <c:showVal val="0"/>
          <c:showCatName val="0"/>
          <c:showSerName val="0"/>
          <c:showPercent val="0"/>
          <c:showBubbleSize val="0"/>
        </c:dLbls>
        <c:marker val="1"/>
        <c:smooth val="0"/>
        <c:axId val="1718889728"/>
        <c:axId val="1257616432"/>
      </c:lineChart>
      <c:catAx>
        <c:axId val="171888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257616432"/>
        <c:crosses val="autoZero"/>
        <c:auto val="1"/>
        <c:lblAlgn val="ctr"/>
        <c:lblOffset val="100"/>
        <c:noMultiLvlLbl val="0"/>
      </c:catAx>
      <c:valAx>
        <c:axId val="1257616432"/>
        <c:scaling>
          <c:orientation val="minMax"/>
          <c:min val="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718889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es-CO" sz="900" b="0">
                <a:solidFill>
                  <a:schemeClr val="tx1"/>
                </a:solidFill>
                <a:latin typeface="Verdana" panose="020B0604030504040204" pitchFamily="34" charset="0"/>
                <a:ea typeface="Verdana" panose="020B0604030504040204" pitchFamily="34" charset="0"/>
                <a:cs typeface="Verdana" panose="020B0604030504040204" pitchFamily="34" charset="0"/>
              </a:rPr>
              <a:t>Popayán</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title>
    <c:autoTitleDeleted val="0"/>
    <c:plotArea>
      <c:layout/>
      <c:lineChart>
        <c:grouping val="standard"/>
        <c:varyColors val="0"/>
        <c:ser>
          <c:idx val="0"/>
          <c:order val="0"/>
          <c:tx>
            <c:strRef>
              <c:f>'IPVN-IP vs ICOCED'!$N$2</c:f>
              <c:strCache>
                <c:ptCount val="1"/>
                <c:pt idx="0">
                  <c:v>ICOCED residencial</c:v>
                </c:pt>
              </c:strCache>
            </c:strRef>
          </c:tx>
          <c:spPr>
            <a:ln w="28575" cap="rnd">
              <a:solidFill>
                <a:srgbClr val="1A8EB2"/>
              </a:solidFill>
              <a:round/>
            </a:ln>
            <a:effectLst/>
          </c:spPr>
          <c:marker>
            <c:symbol val="circle"/>
            <c:size val="4"/>
            <c:spPr>
              <a:solidFill>
                <a:srgbClr val="1A8EB2"/>
              </a:solidFill>
              <a:ln w="9525">
                <a:noFill/>
              </a:ln>
              <a:effectLst/>
            </c:spPr>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B9-BA44-B063-61DB602DF20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1A8EB2"/>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ICOCED'!$N$3:$N$34</c:f>
              <c:numCache>
                <c:formatCode>0</c:formatCode>
                <c:ptCount val="32"/>
                <c:pt idx="0">
                  <c:v>100</c:v>
                </c:pt>
                <c:pt idx="1">
                  <c:v>100.57554630106218</c:v>
                </c:pt>
                <c:pt idx="2">
                  <c:v>101.14173412568434</c:v>
                </c:pt>
                <c:pt idx="3">
                  <c:v>101.1885265078845</c:v>
                </c:pt>
                <c:pt idx="4">
                  <c:v>104.01478639277522</c:v>
                </c:pt>
                <c:pt idx="5">
                  <c:v>102.23667586916848</c:v>
                </c:pt>
                <c:pt idx="6">
                  <c:v>102.7935052173506</c:v>
                </c:pt>
                <c:pt idx="7">
                  <c:v>103.72935286135414</c:v>
                </c:pt>
                <c:pt idx="8">
                  <c:v>105.52150109962095</c:v>
                </c:pt>
                <c:pt idx="9">
                  <c:v>106.04089654204293</c:v>
                </c:pt>
                <c:pt idx="10">
                  <c:v>106.20466987974356</c:v>
                </c:pt>
                <c:pt idx="11">
                  <c:v>106.74746151326563</c:v>
                </c:pt>
                <c:pt idx="12">
                  <c:v>108.08572364419072</c:v>
                </c:pt>
                <c:pt idx="13">
                  <c:v>108.44602498713209</c:v>
                </c:pt>
                <c:pt idx="14">
                  <c:v>109.2836086285153</c:v>
                </c:pt>
                <c:pt idx="15">
                  <c:v>109.84511721491742</c:v>
                </c:pt>
                <c:pt idx="16">
                  <c:v>111.47349211548361</c:v>
                </c:pt>
                <c:pt idx="17">
                  <c:v>112.33830335501382</c:v>
                </c:pt>
                <c:pt idx="18">
                  <c:v>113.27031959197045</c:v>
                </c:pt>
                <c:pt idx="19">
                  <c:v>115.45084460249875</c:v>
                </c:pt>
                <c:pt idx="20">
                  <c:v>119.00238641149224</c:v>
                </c:pt>
                <c:pt idx="21">
                  <c:v>121.67423143512238</c:v>
                </c:pt>
                <c:pt idx="22">
                  <c:v>122.35740021524498</c:v>
                </c:pt>
                <c:pt idx="23">
                  <c:v>123.65822844040991</c:v>
                </c:pt>
                <c:pt idx="24">
                  <c:v>128.34116555144826</c:v>
                </c:pt>
                <c:pt idx="25">
                  <c:v>133.18980468859672</c:v>
                </c:pt>
                <c:pt idx="26">
                  <c:v>134.38063342847786</c:v>
                </c:pt>
                <c:pt idx="27">
                  <c:v>135.29570431893688</c:v>
                </c:pt>
                <c:pt idx="28">
                  <c:v>145.76831968555518</c:v>
                </c:pt>
                <c:pt idx="29">
                  <c:v>146.20112348509662</c:v>
                </c:pt>
                <c:pt idx="30">
                  <c:v>146.01563614243599</c:v>
                </c:pt>
                <c:pt idx="31">
                  <c:v>145.43276414492499</c:v>
                </c:pt>
              </c:numCache>
            </c:numRef>
          </c:val>
          <c:smooth val="0"/>
          <c:extLst>
            <c:ext xmlns:c16="http://schemas.microsoft.com/office/drawing/2014/chart" uri="{C3380CC4-5D6E-409C-BE32-E72D297353CC}">
              <c16:uniqueId val="{00000001-97B9-BA44-B063-61DB602DF20F}"/>
            </c:ext>
          </c:extLst>
        </c:ser>
        <c:ser>
          <c:idx val="1"/>
          <c:order val="1"/>
          <c:tx>
            <c:strRef>
              <c:f>'IPVN-IP vs ICOCED'!$O$2</c:f>
              <c:strCache>
                <c:ptCount val="1"/>
                <c:pt idx="0">
                  <c:v>IPVN</c:v>
                </c:pt>
              </c:strCache>
            </c:strRef>
          </c:tx>
          <c:spPr>
            <a:ln w="28575" cap="rnd">
              <a:solidFill>
                <a:srgbClr val="62C8E8"/>
              </a:solidFill>
              <a:round/>
            </a:ln>
            <a:effectLst/>
          </c:spPr>
          <c:marker>
            <c:symbol val="circle"/>
            <c:size val="4"/>
            <c:spPr>
              <a:solidFill>
                <a:srgbClr val="62C8E8"/>
              </a:solidFill>
              <a:ln w="9525">
                <a:noFill/>
              </a:ln>
              <a:effectLst/>
            </c:spPr>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B9-BA44-B063-61DB602DF20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62C8E8"/>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ICOCED'!$O$3:$O$34</c:f>
              <c:numCache>
                <c:formatCode>0</c:formatCode>
                <c:ptCount val="32"/>
                <c:pt idx="0">
                  <c:v>100</c:v>
                </c:pt>
                <c:pt idx="1">
                  <c:v>103.25154936751846</c:v>
                </c:pt>
                <c:pt idx="2">
                  <c:v>109.0500042448425</c:v>
                </c:pt>
                <c:pt idx="3">
                  <c:v>111.72425503013839</c:v>
                </c:pt>
                <c:pt idx="4">
                  <c:v>111.72425503013839</c:v>
                </c:pt>
                <c:pt idx="5">
                  <c:v>119.08481195347656</c:v>
                </c:pt>
                <c:pt idx="6">
                  <c:v>121.6571865183802</c:v>
                </c:pt>
                <c:pt idx="7">
                  <c:v>122.0646913999491</c:v>
                </c:pt>
                <c:pt idx="8">
                  <c:v>123.38059258001532</c:v>
                </c:pt>
                <c:pt idx="9">
                  <c:v>124.78139061040838</c:v>
                </c:pt>
                <c:pt idx="10">
                  <c:v>130.63078359792857</c:v>
                </c:pt>
                <c:pt idx="11">
                  <c:v>137.36310382884798</c:v>
                </c:pt>
                <c:pt idx="12">
                  <c:v>137.1763307581289</c:v>
                </c:pt>
                <c:pt idx="13">
                  <c:v>137.92342304100518</c:v>
                </c:pt>
                <c:pt idx="14">
                  <c:v>141.94753374649801</c:v>
                </c:pt>
                <c:pt idx="15">
                  <c:v>145.01231004329742</c:v>
                </c:pt>
                <c:pt idx="16">
                  <c:v>144.83402665761099</c:v>
                </c:pt>
                <c:pt idx="17">
                  <c:v>150.58154342473895</c:v>
                </c:pt>
                <c:pt idx="18">
                  <c:v>152.31343917140674</c:v>
                </c:pt>
                <c:pt idx="19">
                  <c:v>159.12216656762035</c:v>
                </c:pt>
                <c:pt idx="20">
                  <c:v>158.58115120129042</c:v>
                </c:pt>
                <c:pt idx="21">
                  <c:v>159.85412853383139</c:v>
                </c:pt>
                <c:pt idx="22">
                  <c:v>161.6522090160455</c:v>
                </c:pt>
                <c:pt idx="23">
                  <c:v>164.48458358094913</c:v>
                </c:pt>
                <c:pt idx="24">
                  <c:v>171.16771457678917</c:v>
                </c:pt>
                <c:pt idx="25">
                  <c:v>178.61463197215383</c:v>
                </c:pt>
                <c:pt idx="26">
                  <c:v>182.87910603616609</c:v>
                </c:pt>
                <c:pt idx="27">
                  <c:v>189.97595466508196</c:v>
                </c:pt>
                <c:pt idx="28">
                  <c:v>197.66155531029804</c:v>
                </c:pt>
                <c:pt idx="29">
                  <c:v>206.5883088547416</c:v>
                </c:pt>
                <c:pt idx="30">
                  <c:v>211.69613040156216</c:v>
                </c:pt>
                <c:pt idx="31">
                  <c:v>216.11972663214198</c:v>
                </c:pt>
              </c:numCache>
            </c:numRef>
          </c:val>
          <c:smooth val="0"/>
          <c:extLst>
            <c:ext xmlns:c16="http://schemas.microsoft.com/office/drawing/2014/chart" uri="{C3380CC4-5D6E-409C-BE32-E72D297353CC}">
              <c16:uniqueId val="{00000003-97B9-BA44-B063-61DB602DF20F}"/>
            </c:ext>
          </c:extLst>
        </c:ser>
        <c:dLbls>
          <c:showLegendKey val="0"/>
          <c:showVal val="0"/>
          <c:showCatName val="0"/>
          <c:showSerName val="0"/>
          <c:showPercent val="0"/>
          <c:showBubbleSize val="0"/>
        </c:dLbls>
        <c:marker val="1"/>
        <c:smooth val="0"/>
        <c:axId val="1718889728"/>
        <c:axId val="1257616432"/>
      </c:lineChart>
      <c:catAx>
        <c:axId val="171888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257616432"/>
        <c:crosses val="autoZero"/>
        <c:auto val="1"/>
        <c:lblAlgn val="ctr"/>
        <c:lblOffset val="100"/>
        <c:noMultiLvlLbl val="0"/>
      </c:catAx>
      <c:valAx>
        <c:axId val="1257616432"/>
        <c:scaling>
          <c:orientation val="minMax"/>
          <c:min val="95"/>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718889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es-CO" sz="900" b="0">
                <a:solidFill>
                  <a:schemeClr val="tx1"/>
                </a:solidFill>
                <a:latin typeface="Verdana" panose="020B0604030504040204" pitchFamily="34" charset="0"/>
                <a:ea typeface="Verdana" panose="020B0604030504040204" pitchFamily="34" charset="0"/>
                <a:cs typeface="Verdana" panose="020B0604030504040204" pitchFamily="34" charset="0"/>
              </a:rPr>
              <a:t>Santa</a:t>
            </a:r>
            <a:r>
              <a:rPr lang="es-CO" sz="900" b="0" baseline="0">
                <a:solidFill>
                  <a:schemeClr val="tx1"/>
                </a:solidFill>
                <a:latin typeface="Verdana" panose="020B0604030504040204" pitchFamily="34" charset="0"/>
                <a:ea typeface="Verdana" panose="020B0604030504040204" pitchFamily="34" charset="0"/>
                <a:cs typeface="Verdana" panose="020B0604030504040204" pitchFamily="34" charset="0"/>
              </a:rPr>
              <a:t> Marta (Base 100=2018-III)</a:t>
            </a:r>
            <a:endParaRPr lang="es-CO" sz="900" b="0">
              <a:solidFill>
                <a:schemeClr val="tx1"/>
              </a:solidFill>
              <a:latin typeface="Verdana" panose="020B0604030504040204" pitchFamily="34" charset="0"/>
              <a:ea typeface="Verdana" panose="020B0604030504040204" pitchFamily="34" charset="0"/>
              <a:cs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title>
    <c:autoTitleDeleted val="0"/>
    <c:plotArea>
      <c:layout/>
      <c:lineChart>
        <c:grouping val="standard"/>
        <c:varyColors val="0"/>
        <c:ser>
          <c:idx val="0"/>
          <c:order val="0"/>
          <c:tx>
            <c:strRef>
              <c:f>'[20231003 Ejercicio presión en valor del suelo municipios tope VIS art 293 PND.xlsx]IPVN-IP vs ICOCED'!$P$2</c:f>
              <c:strCache>
                <c:ptCount val="1"/>
                <c:pt idx="0">
                  <c:v>ICOCED residencial</c:v>
                </c:pt>
              </c:strCache>
            </c:strRef>
          </c:tx>
          <c:spPr>
            <a:ln w="28575" cap="rnd">
              <a:solidFill>
                <a:srgbClr val="1A8EB2"/>
              </a:solidFill>
              <a:round/>
            </a:ln>
            <a:effectLst/>
          </c:spPr>
          <c:marker>
            <c:symbol val="circle"/>
            <c:size val="4"/>
            <c:spPr>
              <a:solidFill>
                <a:srgbClr val="1A8EB2"/>
              </a:solidFill>
              <a:ln w="9525">
                <a:noFill/>
              </a:ln>
              <a:effectLst/>
            </c:spPr>
          </c:marker>
          <c:dLbls>
            <c:dLbl>
              <c:idx val="2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E9-3B42-94A6-2A38D98927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1A8EB2"/>
                    </a:solidFill>
                    <a:latin typeface="+mn-lt"/>
                    <a:ea typeface="+mn-ea"/>
                    <a:cs typeface="+mn-cs"/>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'[20231003 Ejercicio presión en valor del suelo municipios tope VIS art 293 PND.xlsx]IPVN-IP vs ICOCED'!$C$13:$C$34</c:f>
              <c:strCache>
                <c:ptCount val="22"/>
                <c:pt idx="0">
                  <c:v>2018-III</c:v>
                </c:pt>
                <c:pt idx="1">
                  <c:v>2018-IV</c:v>
                </c:pt>
                <c:pt idx="2">
                  <c:v>2019-I</c:v>
                </c:pt>
                <c:pt idx="3">
                  <c:v>2019-II</c:v>
                </c:pt>
                <c:pt idx="4">
                  <c:v>2019-III</c:v>
                </c:pt>
                <c:pt idx="5">
                  <c:v>2019-IV</c:v>
                </c:pt>
                <c:pt idx="6">
                  <c:v>2020-I</c:v>
                </c:pt>
                <c:pt idx="7">
                  <c:v>2020-II</c:v>
                </c:pt>
                <c:pt idx="8">
                  <c:v>2020-III</c:v>
                </c:pt>
                <c:pt idx="9">
                  <c:v>2020-IV</c:v>
                </c:pt>
                <c:pt idx="10">
                  <c:v>2021-I</c:v>
                </c:pt>
                <c:pt idx="11">
                  <c:v>2021-II</c:v>
                </c:pt>
                <c:pt idx="12">
                  <c:v>2021-III</c:v>
                </c:pt>
                <c:pt idx="13">
                  <c:v>2021-IV</c:v>
                </c:pt>
                <c:pt idx="14">
                  <c:v>2022-I</c:v>
                </c:pt>
                <c:pt idx="15">
                  <c:v>2022-II</c:v>
                </c:pt>
                <c:pt idx="16">
                  <c:v>2022-III</c:v>
                </c:pt>
                <c:pt idx="17">
                  <c:v>2022-IV</c:v>
                </c:pt>
                <c:pt idx="18">
                  <c:v>2023-I</c:v>
                </c:pt>
                <c:pt idx="19">
                  <c:v>2023-II</c:v>
                </c:pt>
                <c:pt idx="20">
                  <c:v>2023-III</c:v>
                </c:pt>
                <c:pt idx="21">
                  <c:v>2023-IV</c:v>
                </c:pt>
              </c:strCache>
            </c:strRef>
          </c:cat>
          <c:val>
            <c:numRef>
              <c:f>'[20231003 Ejercicio presión en valor del suelo municipios tope VIS art 293 PND.xlsx]IPVN-IP vs ICOCED'!$P$13:$P$34</c:f>
              <c:numCache>
                <c:formatCode>0</c:formatCode>
                <c:ptCount val="22"/>
                <c:pt idx="0">
                  <c:v>100</c:v>
                </c:pt>
                <c:pt idx="1">
                  <c:v>100.07864544781644</c:v>
                </c:pt>
                <c:pt idx="2">
                  <c:v>101.07327905255367</c:v>
                </c:pt>
                <c:pt idx="3">
                  <c:v>101.99389341228722</c:v>
                </c:pt>
                <c:pt idx="4">
                  <c:v>102.22982975573652</c:v>
                </c:pt>
                <c:pt idx="5">
                  <c:v>102.44263508512216</c:v>
                </c:pt>
                <c:pt idx="6">
                  <c:v>104.1450777202073</c:v>
                </c:pt>
                <c:pt idx="7">
                  <c:v>104.8500102701703</c:v>
                </c:pt>
                <c:pt idx="8">
                  <c:v>105.34326424870471</c:v>
                </c:pt>
                <c:pt idx="9">
                  <c:v>106.93005181347154</c:v>
                </c:pt>
                <c:pt idx="10">
                  <c:v>109.43282753515918</c:v>
                </c:pt>
                <c:pt idx="11">
                  <c:v>112.00037009622504</c:v>
                </c:pt>
                <c:pt idx="12">
                  <c:v>112.51387860843822</c:v>
                </c:pt>
                <c:pt idx="13">
                  <c:v>112.79607698001482</c:v>
                </c:pt>
                <c:pt idx="14">
                  <c:v>117.35980625462624</c:v>
                </c:pt>
                <c:pt idx="15">
                  <c:v>121.71824666913399</c:v>
                </c:pt>
                <c:pt idx="16">
                  <c:v>122.83831171354555</c:v>
                </c:pt>
                <c:pt idx="17">
                  <c:v>123.56810233160624</c:v>
                </c:pt>
                <c:pt idx="18">
                  <c:v>132.60306809770543</c:v>
                </c:pt>
                <c:pt idx="19">
                  <c:v>133.35880181347153</c:v>
                </c:pt>
                <c:pt idx="20">
                  <c:v>132.76098260547747</c:v>
                </c:pt>
                <c:pt idx="21">
                  <c:v>132.20601859356239</c:v>
                </c:pt>
              </c:numCache>
            </c:numRef>
          </c:val>
          <c:smooth val="0"/>
          <c:extLst>
            <c:ext xmlns:c16="http://schemas.microsoft.com/office/drawing/2014/chart" uri="{C3380CC4-5D6E-409C-BE32-E72D297353CC}">
              <c16:uniqueId val="{00000001-71E9-3B42-94A6-2A38D989274D}"/>
            </c:ext>
          </c:extLst>
        </c:ser>
        <c:ser>
          <c:idx val="1"/>
          <c:order val="1"/>
          <c:tx>
            <c:strRef>
              <c:f>'[20231003 Ejercicio presión en valor del suelo municipios tope VIS art 293 PND.xlsx]IPVN-IP vs ICOCED'!$Q$2</c:f>
              <c:strCache>
                <c:ptCount val="1"/>
                <c:pt idx="0">
                  <c:v>IP</c:v>
                </c:pt>
              </c:strCache>
            </c:strRef>
          </c:tx>
          <c:spPr>
            <a:ln w="28575" cap="rnd">
              <a:solidFill>
                <a:srgbClr val="62C8E8"/>
              </a:solidFill>
              <a:round/>
            </a:ln>
            <a:effectLst/>
          </c:spPr>
          <c:marker>
            <c:symbol val="circle"/>
            <c:size val="4"/>
            <c:spPr>
              <a:solidFill>
                <a:srgbClr val="62C8E8"/>
              </a:solidFill>
              <a:ln w="9525">
                <a:noFill/>
              </a:ln>
              <a:effectLst/>
            </c:spPr>
          </c:marker>
          <c:dLbls>
            <c:dLbl>
              <c:idx val="2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E9-3B42-94A6-2A38D98927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62C8E8"/>
                    </a:solidFill>
                    <a:latin typeface="+mn-lt"/>
                    <a:ea typeface="+mn-ea"/>
                    <a:cs typeface="+mn-cs"/>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'[20231003 Ejercicio presión en valor del suelo municipios tope VIS art 293 PND.xlsx]IPVN-IP vs ICOCED'!$C$13:$C$34</c:f>
              <c:strCache>
                <c:ptCount val="22"/>
                <c:pt idx="0">
                  <c:v>2018-III</c:v>
                </c:pt>
                <c:pt idx="1">
                  <c:v>2018-IV</c:v>
                </c:pt>
                <c:pt idx="2">
                  <c:v>2019-I</c:v>
                </c:pt>
                <c:pt idx="3">
                  <c:v>2019-II</c:v>
                </c:pt>
                <c:pt idx="4">
                  <c:v>2019-III</c:v>
                </c:pt>
                <c:pt idx="5">
                  <c:v>2019-IV</c:v>
                </c:pt>
                <c:pt idx="6">
                  <c:v>2020-I</c:v>
                </c:pt>
                <c:pt idx="7">
                  <c:v>2020-II</c:v>
                </c:pt>
                <c:pt idx="8">
                  <c:v>2020-III</c:v>
                </c:pt>
                <c:pt idx="9">
                  <c:v>2020-IV</c:v>
                </c:pt>
                <c:pt idx="10">
                  <c:v>2021-I</c:v>
                </c:pt>
                <c:pt idx="11">
                  <c:v>2021-II</c:v>
                </c:pt>
                <c:pt idx="12">
                  <c:v>2021-III</c:v>
                </c:pt>
                <c:pt idx="13">
                  <c:v>2021-IV</c:v>
                </c:pt>
                <c:pt idx="14">
                  <c:v>2022-I</c:v>
                </c:pt>
                <c:pt idx="15">
                  <c:v>2022-II</c:v>
                </c:pt>
                <c:pt idx="16">
                  <c:v>2022-III</c:v>
                </c:pt>
                <c:pt idx="17">
                  <c:v>2022-IV</c:v>
                </c:pt>
                <c:pt idx="18">
                  <c:v>2023-I</c:v>
                </c:pt>
                <c:pt idx="19">
                  <c:v>2023-II</c:v>
                </c:pt>
                <c:pt idx="20">
                  <c:v>2023-III</c:v>
                </c:pt>
                <c:pt idx="21">
                  <c:v>2023-IV</c:v>
                </c:pt>
              </c:strCache>
            </c:strRef>
          </c:cat>
          <c:val>
            <c:numRef>
              <c:f>'[20231003 Ejercicio presión en valor del suelo municipios tope VIS art 293 PND.xlsx]IPVN-IP vs ICOCED'!$Q$13:$Q$34</c:f>
              <c:numCache>
                <c:formatCode>0</c:formatCode>
                <c:ptCount val="22"/>
                <c:pt idx="0">
                  <c:v>100</c:v>
                </c:pt>
                <c:pt idx="1">
                  <c:v>100.99853619046308</c:v>
                </c:pt>
                <c:pt idx="2">
                  <c:v>100.40731900781503</c:v>
                </c:pt>
                <c:pt idx="3">
                  <c:v>103.74619221136908</c:v>
                </c:pt>
                <c:pt idx="4">
                  <c:v>102.73104239067229</c:v>
                </c:pt>
                <c:pt idx="5">
                  <c:v>104.3973970783215</c:v>
                </c:pt>
                <c:pt idx="6">
                  <c:v>97.690139250289519</c:v>
                </c:pt>
                <c:pt idx="7">
                  <c:v>97.015219991057279</c:v>
                </c:pt>
                <c:pt idx="8">
                  <c:v>95.239431436680334</c:v>
                </c:pt>
                <c:pt idx="9">
                  <c:v>98.713685592529899</c:v>
                </c:pt>
                <c:pt idx="10">
                  <c:v>98.130649636001237</c:v>
                </c:pt>
                <c:pt idx="11">
                  <c:v>100.09825046552652</c:v>
                </c:pt>
                <c:pt idx="12">
                  <c:v>104.22196320322114</c:v>
                </c:pt>
                <c:pt idx="13">
                  <c:v>109.60528175492881</c:v>
                </c:pt>
                <c:pt idx="14">
                  <c:v>125.93732949549303</c:v>
                </c:pt>
                <c:pt idx="15">
                  <c:v>134.60750747105024</c:v>
                </c:pt>
                <c:pt idx="16">
                  <c:v>129.33725091266319</c:v>
                </c:pt>
                <c:pt idx="17">
                  <c:v>132.1491207873114</c:v>
                </c:pt>
                <c:pt idx="18">
                  <c:v>153.31218255138231</c:v>
                </c:pt>
                <c:pt idx="19">
                  <c:v>163.95912337284997</c:v>
                </c:pt>
                <c:pt idx="20">
                  <c:v>170.33497775180939</c:v>
                </c:pt>
                <c:pt idx="21">
                  <c:v>176.75393905903539</c:v>
                </c:pt>
              </c:numCache>
            </c:numRef>
          </c:val>
          <c:smooth val="0"/>
          <c:extLst>
            <c:ext xmlns:c16="http://schemas.microsoft.com/office/drawing/2014/chart" uri="{C3380CC4-5D6E-409C-BE32-E72D297353CC}">
              <c16:uniqueId val="{00000003-71E9-3B42-94A6-2A38D989274D}"/>
            </c:ext>
          </c:extLst>
        </c:ser>
        <c:dLbls>
          <c:showLegendKey val="0"/>
          <c:showVal val="0"/>
          <c:showCatName val="0"/>
          <c:showSerName val="0"/>
          <c:showPercent val="0"/>
          <c:showBubbleSize val="0"/>
        </c:dLbls>
        <c:marker val="1"/>
        <c:smooth val="0"/>
        <c:axId val="1718889728"/>
        <c:axId val="1257616432"/>
      </c:lineChart>
      <c:catAx>
        <c:axId val="171888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5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257616432"/>
        <c:crosses val="autoZero"/>
        <c:auto val="1"/>
        <c:lblAlgn val="ctr"/>
        <c:lblOffset val="100"/>
        <c:noMultiLvlLbl val="0"/>
      </c:catAx>
      <c:valAx>
        <c:axId val="1257616432"/>
        <c:scaling>
          <c:orientation val="minMax"/>
          <c:min val="9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718889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r>
              <a:rPr lang="es-CO"/>
              <a:t>Bogotá</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endParaRPr lang="es-CO"/>
        </a:p>
      </c:txPr>
    </c:title>
    <c:autoTitleDeleted val="0"/>
    <c:plotArea>
      <c:layout/>
      <c:lineChart>
        <c:grouping val="standard"/>
        <c:varyColors val="0"/>
        <c:ser>
          <c:idx val="0"/>
          <c:order val="0"/>
          <c:tx>
            <c:strRef>
              <c:f>Hoja1!$B$1</c:f>
              <c:strCache>
                <c:ptCount val="1"/>
                <c:pt idx="0">
                  <c:v>ICCV-ICOCED residencial</c:v>
                </c:pt>
              </c:strCache>
            </c:strRef>
          </c:tx>
          <c:spPr>
            <a:ln w="28575" cap="rnd">
              <a:solidFill>
                <a:srgbClr val="1A8EB2"/>
              </a:solidFill>
              <a:round/>
            </a:ln>
            <a:effectLst/>
          </c:spPr>
          <c:marker>
            <c:symbol val="circle"/>
            <c:size val="5"/>
            <c:spPr>
              <a:solidFill>
                <a:srgbClr val="1A8EB2"/>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B2-40D5-848A-4C83B6B03351}"/>
                </c:ext>
              </c:extLst>
            </c:dLbl>
            <c:numFmt formatCode="#,##0" sourceLinked="0"/>
            <c:spPr>
              <a:noFill/>
              <a:ln>
                <a:noFill/>
              </a:ln>
              <a:effectLst/>
            </c:spPr>
            <c:txPr>
              <a:bodyPr rot="0" spcFirstLastPara="1" vertOverflow="ellipsis" vert="horz" wrap="square" anchor="ctr" anchorCtr="1"/>
              <a:lstStyle/>
              <a:p>
                <a:pPr>
                  <a:defRPr sz="8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Hoja1!$B$2:$B$19</c:f>
              <c:numCache>
                <c:formatCode>0</c:formatCode>
                <c:ptCount val="18"/>
                <c:pt idx="0">
                  <c:v>100</c:v>
                </c:pt>
                <c:pt idx="1">
                  <c:v>104.12461675</c:v>
                </c:pt>
                <c:pt idx="2">
                  <c:v>109.99012979983932</c:v>
                </c:pt>
                <c:pt idx="3">
                  <c:v>107.86732029470242</c:v>
                </c:pt>
                <c:pt idx="4">
                  <c:v>109.90601264827229</c:v>
                </c:pt>
                <c:pt idx="5">
                  <c:v>117.44556511594378</c:v>
                </c:pt>
                <c:pt idx="6">
                  <c:v>119.90017742686699</c:v>
                </c:pt>
                <c:pt idx="7">
                  <c:v>123.67703301581331</c:v>
                </c:pt>
                <c:pt idx="8">
                  <c:v>126.00216123651059</c:v>
                </c:pt>
                <c:pt idx="9">
                  <c:v>132.34006994670708</c:v>
                </c:pt>
                <c:pt idx="10">
                  <c:v>135.26478549252931</c:v>
                </c:pt>
                <c:pt idx="11">
                  <c:v>141.44638618953792</c:v>
                </c:pt>
                <c:pt idx="12">
                  <c:v>144.06314433404435</c:v>
                </c:pt>
                <c:pt idx="13">
                  <c:v>148.12572500426441</c:v>
                </c:pt>
                <c:pt idx="14">
                  <c:v>152.46580874688937</c:v>
                </c:pt>
                <c:pt idx="15">
                  <c:v>162.17788076406623</c:v>
                </c:pt>
                <c:pt idx="16">
                  <c:v>178.48486667489308</c:v>
                </c:pt>
                <c:pt idx="17">
                  <c:v>191.46071648215781</c:v>
                </c:pt>
              </c:numCache>
            </c:numRef>
          </c:val>
          <c:smooth val="0"/>
          <c:extLst>
            <c:ext xmlns:c16="http://schemas.microsoft.com/office/drawing/2014/chart" uri="{C3380CC4-5D6E-409C-BE32-E72D297353CC}">
              <c16:uniqueId val="{00000001-E460-6946-9FB7-62D6321F47AF}"/>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solidFill>
                  <a:srgbClr val="62C8E8"/>
                </a:solid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B2-40D5-848A-4C83B6B03351}"/>
                </c:ext>
              </c:extLst>
            </c:dLbl>
            <c:numFmt formatCode="#,##0" sourceLinked="0"/>
            <c:spPr>
              <a:noFill/>
              <a:ln>
                <a:noFill/>
              </a:ln>
              <a:effectLst/>
            </c:spPr>
            <c:txPr>
              <a:bodyPr rot="0" spcFirstLastPara="1" vertOverflow="ellipsis" vert="horz" wrap="square" anchor="ctr" anchorCtr="1"/>
              <a:lstStyle/>
              <a:p>
                <a:pPr>
                  <a:defRPr sz="8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Hoja1!$C$2:$C$19</c:f>
              <c:numCache>
                <c:formatCode>0</c:formatCode>
                <c:ptCount val="18"/>
                <c:pt idx="0">
                  <c:v>100</c:v>
                </c:pt>
                <c:pt idx="1">
                  <c:v>118.42999999999999</c:v>
                </c:pt>
                <c:pt idx="2">
                  <c:v>137.94726399999999</c:v>
                </c:pt>
                <c:pt idx="3">
                  <c:v>145.02395864319999</c:v>
                </c:pt>
                <c:pt idx="4">
                  <c:v>160.26597669660029</c:v>
                </c:pt>
                <c:pt idx="5">
                  <c:v>178.23179268428919</c:v>
                </c:pt>
                <c:pt idx="6">
                  <c:v>201.00981578934133</c:v>
                </c:pt>
                <c:pt idx="7">
                  <c:v>223.16109748932675</c:v>
                </c:pt>
                <c:pt idx="8">
                  <c:v>244.24982120206815</c:v>
                </c:pt>
                <c:pt idx="9">
                  <c:v>257.83011126090315</c:v>
                </c:pt>
                <c:pt idx="10">
                  <c:v>284.48974476528053</c:v>
                </c:pt>
                <c:pt idx="11">
                  <c:v>292.9390901848094</c:v>
                </c:pt>
                <c:pt idx="12">
                  <c:v>320.24101339003363</c:v>
                </c:pt>
                <c:pt idx="13">
                  <c:v>344.00289658357411</c:v>
                </c:pt>
                <c:pt idx="14">
                  <c:v>351.36455857046263</c:v>
                </c:pt>
                <c:pt idx="15">
                  <c:v>381.7927293426647</c:v>
                </c:pt>
                <c:pt idx="16">
                  <c:v>416.34497134817587</c:v>
                </c:pt>
                <c:pt idx="17">
                  <c:v>445.28094685687415</c:v>
                </c:pt>
              </c:numCache>
            </c:numRef>
          </c:val>
          <c:smooth val="0"/>
          <c:extLst>
            <c:ext xmlns:c16="http://schemas.microsoft.com/office/drawing/2014/chart" uri="{C3380CC4-5D6E-409C-BE32-E72D297353CC}">
              <c16:uniqueId val="{00000003-E460-6946-9FB7-62D6321F47AF}"/>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r>
              <a:rPr lang="es-CO"/>
              <a:t>Medellín</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endParaRPr lang="es-CO"/>
        </a:p>
      </c:txPr>
    </c:title>
    <c:autoTitleDeleted val="0"/>
    <c:plotArea>
      <c:layout/>
      <c:lineChart>
        <c:grouping val="standard"/>
        <c:varyColors val="0"/>
        <c:ser>
          <c:idx val="0"/>
          <c:order val="0"/>
          <c:tx>
            <c:strRef>
              <c:f>Hoja1!$B$1</c:f>
              <c:strCache>
                <c:ptCount val="1"/>
                <c:pt idx="0">
                  <c:v>ICCV-ICOCED residencial</c:v>
                </c:pt>
              </c:strCache>
            </c:strRef>
          </c:tx>
          <c:spPr>
            <a:ln w="28575" cap="rnd">
              <a:solidFill>
                <a:srgbClr val="1A8EB2"/>
              </a:solidFill>
              <a:round/>
            </a:ln>
            <a:effectLst/>
          </c:spPr>
          <c:marker>
            <c:symbol val="circle"/>
            <c:size val="5"/>
            <c:spPr>
              <a:solidFill>
                <a:srgbClr val="1A8EB2"/>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C2-4C1A-85B8-4A330692BCA6}"/>
                </c:ext>
              </c:extLst>
            </c:dLbl>
            <c:numFmt formatCode="#,##0" sourceLinked="0"/>
            <c:spPr>
              <a:noFill/>
              <a:ln>
                <a:noFill/>
              </a:ln>
              <a:effectLst/>
            </c:spPr>
            <c:txPr>
              <a:bodyPr rot="0" spcFirstLastPara="1" vertOverflow="ellipsis" vert="horz" wrap="square" anchor="ctr" anchorCtr="1"/>
              <a:lstStyle/>
              <a:p>
                <a:pPr>
                  <a:defRPr sz="8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Hoja1!$B$2:$B$19</c:f>
              <c:numCache>
                <c:formatCode>0</c:formatCode>
                <c:ptCount val="18"/>
                <c:pt idx="0">
                  <c:v>100</c:v>
                </c:pt>
                <c:pt idx="1">
                  <c:v>103.43188914000001</c:v>
                </c:pt>
                <c:pt idx="2">
                  <c:v>108.07041485801746</c:v>
                </c:pt>
                <c:pt idx="3">
                  <c:v>107.22746562212492</c:v>
                </c:pt>
                <c:pt idx="4">
                  <c:v>108.3211857714706</c:v>
                </c:pt>
                <c:pt idx="5">
                  <c:v>115.94699724978213</c:v>
                </c:pt>
                <c:pt idx="6">
                  <c:v>119.12394497442617</c:v>
                </c:pt>
                <c:pt idx="7">
                  <c:v>122.16160557127404</c:v>
                </c:pt>
                <c:pt idx="8">
                  <c:v>124.65370232492802</c:v>
                </c:pt>
                <c:pt idx="9">
                  <c:v>132.79358908674581</c:v>
                </c:pt>
                <c:pt idx="10">
                  <c:v>138.35764046948046</c:v>
                </c:pt>
                <c:pt idx="11">
                  <c:v>146.52074125717979</c:v>
                </c:pt>
                <c:pt idx="12">
                  <c:v>152.02992112844976</c:v>
                </c:pt>
                <c:pt idx="13">
                  <c:v>155.87627813299954</c:v>
                </c:pt>
                <c:pt idx="14">
                  <c:v>166.10176197852431</c:v>
                </c:pt>
                <c:pt idx="15">
                  <c:v>176.86515615473269</c:v>
                </c:pt>
                <c:pt idx="16">
                  <c:v>194.18379224540411</c:v>
                </c:pt>
                <c:pt idx="17">
                  <c:v>208.35920907931859</c:v>
                </c:pt>
              </c:numCache>
            </c:numRef>
          </c:val>
          <c:smooth val="0"/>
          <c:extLst>
            <c:ext xmlns:c16="http://schemas.microsoft.com/office/drawing/2014/chart" uri="{C3380CC4-5D6E-409C-BE32-E72D297353CC}">
              <c16:uniqueId val="{00000001-7C7A-894A-A4CC-E7F1E8C701F7}"/>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C2-4C1A-85B8-4A330692BCA6}"/>
                </c:ext>
              </c:extLst>
            </c:dLbl>
            <c:numFmt formatCode="#,##0" sourceLinked="0"/>
            <c:spPr>
              <a:noFill/>
              <a:ln>
                <a:noFill/>
              </a:ln>
              <a:effectLst/>
            </c:spPr>
            <c:txPr>
              <a:bodyPr rot="0" spcFirstLastPara="1" vertOverflow="ellipsis" vert="horz" wrap="square" anchor="ctr" anchorCtr="1"/>
              <a:lstStyle/>
              <a:p>
                <a:pPr>
                  <a:defRPr sz="8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Hoja1!$C$2:$C$19</c:f>
              <c:numCache>
                <c:formatCode>0</c:formatCode>
                <c:ptCount val="18"/>
                <c:pt idx="0">
                  <c:v>100</c:v>
                </c:pt>
                <c:pt idx="1">
                  <c:v>115.63</c:v>
                </c:pt>
                <c:pt idx="2">
                  <c:v>124.84571099999998</c:v>
                </c:pt>
                <c:pt idx="3">
                  <c:v>136.21915527209998</c:v>
                </c:pt>
                <c:pt idx="4">
                  <c:v>144.16073202446341</c:v>
                </c:pt>
                <c:pt idx="5">
                  <c:v>157.74067298116788</c:v>
                </c:pt>
                <c:pt idx="6">
                  <c:v>168.38816840739668</c:v>
                </c:pt>
                <c:pt idx="7">
                  <c:v>185.56376158495115</c:v>
                </c:pt>
                <c:pt idx="8">
                  <c:v>200.24185512632079</c:v>
                </c:pt>
                <c:pt idx="9">
                  <c:v>219.22478299229599</c:v>
                </c:pt>
                <c:pt idx="10">
                  <c:v>237.464284937255</c:v>
                </c:pt>
                <c:pt idx="11">
                  <c:v>261.70938842934873</c:v>
                </c:pt>
                <c:pt idx="12">
                  <c:v>291.04701087227875</c:v>
                </c:pt>
                <c:pt idx="13">
                  <c:v>309.49939136158122</c:v>
                </c:pt>
                <c:pt idx="14">
                  <c:v>325.06721074706877</c:v>
                </c:pt>
                <c:pt idx="15">
                  <c:v>348.24450287333474</c:v>
                </c:pt>
                <c:pt idx="16">
                  <c:v>383.66096881555285</c:v>
                </c:pt>
                <c:pt idx="17">
                  <c:v>439.52200587509731</c:v>
                </c:pt>
              </c:numCache>
            </c:numRef>
          </c:val>
          <c:smooth val="0"/>
          <c:extLst>
            <c:ext xmlns:c16="http://schemas.microsoft.com/office/drawing/2014/chart" uri="{C3380CC4-5D6E-409C-BE32-E72D297353CC}">
              <c16:uniqueId val="{00000003-7C7A-894A-A4CC-E7F1E8C701F7}"/>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r>
              <a:rPr lang="es-CO"/>
              <a:t>Cali</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endParaRPr lang="es-CO"/>
        </a:p>
      </c:txPr>
    </c:title>
    <c:autoTitleDeleted val="0"/>
    <c:plotArea>
      <c:layout/>
      <c:lineChart>
        <c:grouping val="standard"/>
        <c:varyColors val="0"/>
        <c:ser>
          <c:idx val="0"/>
          <c:order val="0"/>
          <c:tx>
            <c:strRef>
              <c:f>Hoja1!$B$1</c:f>
              <c:strCache>
                <c:ptCount val="1"/>
                <c:pt idx="0">
                  <c:v>ICCV-ICOCED residencial</c:v>
                </c:pt>
              </c:strCache>
            </c:strRef>
          </c:tx>
          <c:spPr>
            <a:ln w="28575" cap="rnd">
              <a:solidFill>
                <a:srgbClr val="1A8EB2"/>
              </a:solidFill>
              <a:round/>
            </a:ln>
            <a:effectLst/>
          </c:spPr>
          <c:marker>
            <c:symbol val="circle"/>
            <c:size val="5"/>
            <c:spPr>
              <a:solidFill>
                <a:srgbClr val="1A8EB2"/>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5-4CA9-A157-F9DC34921696}"/>
                </c:ext>
              </c:extLst>
            </c:dLbl>
            <c:spPr>
              <a:noFill/>
              <a:ln>
                <a:noFill/>
              </a:ln>
              <a:effectLst/>
            </c:spPr>
            <c:txPr>
              <a:bodyPr rot="0" spcFirstLastPara="1" vertOverflow="ellipsis" vert="horz" wrap="square" anchor="ctr" anchorCtr="1"/>
              <a:lstStyle/>
              <a:p>
                <a:pPr>
                  <a:defRPr sz="8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Hoja1!$B$2:$B$19</c:f>
              <c:numCache>
                <c:formatCode>0</c:formatCode>
                <c:ptCount val="18"/>
                <c:pt idx="0">
                  <c:v>100</c:v>
                </c:pt>
                <c:pt idx="1">
                  <c:v>105.45125796000001</c:v>
                </c:pt>
                <c:pt idx="2">
                  <c:v>110.80475328543746</c:v>
                </c:pt>
                <c:pt idx="3">
                  <c:v>109.68562527725454</c:v>
                </c:pt>
                <c:pt idx="4">
                  <c:v>111.41865815663517</c:v>
                </c:pt>
                <c:pt idx="5">
                  <c:v>118.30433123071523</c:v>
                </c:pt>
                <c:pt idx="6">
                  <c:v>120.63492655596033</c:v>
                </c:pt>
                <c:pt idx="7">
                  <c:v>123.81968861703768</c:v>
                </c:pt>
                <c:pt idx="8">
                  <c:v>125.56554622653792</c:v>
                </c:pt>
                <c:pt idx="9">
                  <c:v>132.65999958833731</c:v>
                </c:pt>
                <c:pt idx="10">
                  <c:v>139.14707356820699</c:v>
                </c:pt>
                <c:pt idx="11">
                  <c:v>147.49589798229943</c:v>
                </c:pt>
                <c:pt idx="12">
                  <c:v>151.41928886862857</c:v>
                </c:pt>
                <c:pt idx="13">
                  <c:v>156.14357068132978</c:v>
                </c:pt>
                <c:pt idx="14">
                  <c:v>163.77899128764679</c:v>
                </c:pt>
                <c:pt idx="15">
                  <c:v>176.47186311243939</c:v>
                </c:pt>
                <c:pt idx="16">
                  <c:v>192.58550893323624</c:v>
                </c:pt>
                <c:pt idx="17">
                  <c:v>207.2220076121622</c:v>
                </c:pt>
              </c:numCache>
            </c:numRef>
          </c:val>
          <c:smooth val="0"/>
          <c:extLst>
            <c:ext xmlns:c16="http://schemas.microsoft.com/office/drawing/2014/chart" uri="{C3380CC4-5D6E-409C-BE32-E72D297353CC}">
              <c16:uniqueId val="{00000001-8B14-0741-89B9-8395042D1CF1}"/>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5-4CA9-A157-F9DC34921696}"/>
                </c:ext>
              </c:extLst>
            </c:dLbl>
            <c:spPr>
              <a:noFill/>
              <a:ln>
                <a:noFill/>
              </a:ln>
              <a:effectLst/>
            </c:spPr>
            <c:txPr>
              <a:bodyPr rot="0" spcFirstLastPara="1" vertOverflow="ellipsis" vert="horz" wrap="square" anchor="ctr" anchorCtr="1"/>
              <a:lstStyle/>
              <a:p>
                <a:pPr>
                  <a:defRPr sz="8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Hoja1!$C$2:$C$19</c:f>
              <c:numCache>
                <c:formatCode>0</c:formatCode>
                <c:ptCount val="18"/>
                <c:pt idx="0">
                  <c:v>100</c:v>
                </c:pt>
                <c:pt idx="1">
                  <c:v>124.21</c:v>
                </c:pt>
                <c:pt idx="2">
                  <c:v>142.95328899999998</c:v>
                </c:pt>
                <c:pt idx="3">
                  <c:v>134.71917955359999</c:v>
                </c:pt>
                <c:pt idx="4">
                  <c:v>140.83543030533343</c:v>
                </c:pt>
                <c:pt idx="5">
                  <c:v>147.89128536363063</c:v>
                </c:pt>
                <c:pt idx="6">
                  <c:v>158.83524048053931</c:v>
                </c:pt>
                <c:pt idx="7">
                  <c:v>171.92326429613576</c:v>
                </c:pt>
                <c:pt idx="8">
                  <c:v>191.00674663300683</c:v>
                </c:pt>
                <c:pt idx="9">
                  <c:v>206.7266018809033</c:v>
                </c:pt>
                <c:pt idx="10">
                  <c:v>219.31625193545031</c:v>
                </c:pt>
                <c:pt idx="11">
                  <c:v>245.91931329522043</c:v>
                </c:pt>
                <c:pt idx="12">
                  <c:v>274.12625853018221</c:v>
                </c:pt>
                <c:pt idx="13">
                  <c:v>309.43372062886971</c:v>
                </c:pt>
                <c:pt idx="14">
                  <c:v>312.58994457928418</c:v>
                </c:pt>
                <c:pt idx="15">
                  <c:v>322.74911777811093</c:v>
                </c:pt>
                <c:pt idx="16">
                  <c:v>345.05108181657835</c:v>
                </c:pt>
                <c:pt idx="17">
                  <c:v>403.53724018448838</c:v>
                </c:pt>
              </c:numCache>
            </c:numRef>
          </c:val>
          <c:smooth val="0"/>
          <c:extLst>
            <c:ext xmlns:c16="http://schemas.microsoft.com/office/drawing/2014/chart" uri="{C3380CC4-5D6E-409C-BE32-E72D297353CC}">
              <c16:uniqueId val="{00000003-8B14-0741-89B9-8395042D1CF1}"/>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r>
              <a:rPr lang="es-CO"/>
              <a:t>Barranquilla</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endParaRPr lang="es-CO"/>
        </a:p>
      </c:txPr>
    </c:title>
    <c:autoTitleDeleted val="0"/>
    <c:plotArea>
      <c:layout/>
      <c:lineChart>
        <c:grouping val="standard"/>
        <c:varyColors val="0"/>
        <c:ser>
          <c:idx val="0"/>
          <c:order val="0"/>
          <c:tx>
            <c:strRef>
              <c:f>Hoja1!$B$1</c:f>
              <c:strCache>
                <c:ptCount val="1"/>
                <c:pt idx="0">
                  <c:v>ICCV-ICOCED residencial</c:v>
                </c:pt>
              </c:strCache>
            </c:strRef>
          </c:tx>
          <c:spPr>
            <a:ln w="28575" cap="rnd">
              <a:solidFill>
                <a:srgbClr val="1A8EB2"/>
              </a:solidFill>
              <a:round/>
            </a:ln>
            <a:effectLst/>
          </c:spPr>
          <c:marker>
            <c:symbol val="circle"/>
            <c:size val="5"/>
            <c:spPr>
              <a:solidFill>
                <a:srgbClr val="1A8EB2"/>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A6-4C34-A70A-71EF7612E0B6}"/>
                </c:ext>
              </c:extLst>
            </c:dLbl>
            <c:spPr>
              <a:noFill/>
              <a:ln>
                <a:noFill/>
              </a:ln>
              <a:effectLst/>
            </c:spPr>
            <c:txPr>
              <a:bodyPr rot="0" spcFirstLastPara="1" vertOverflow="ellipsis" vert="horz" wrap="square" anchor="ctr" anchorCtr="1"/>
              <a:lstStyle/>
              <a:p>
                <a:pPr>
                  <a:defRPr sz="8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Hoja1!$B$2:$B$19</c:f>
              <c:numCache>
                <c:formatCode>0</c:formatCode>
                <c:ptCount val="18"/>
                <c:pt idx="0">
                  <c:v>100</c:v>
                </c:pt>
                <c:pt idx="1">
                  <c:v>102.49957434999999</c:v>
                </c:pt>
                <c:pt idx="2">
                  <c:v>106.37262216964365</c:v>
                </c:pt>
                <c:pt idx="3">
                  <c:v>107.75546625784901</c:v>
                </c:pt>
                <c:pt idx="4">
                  <c:v>109.02698075969163</c:v>
                </c:pt>
                <c:pt idx="5">
                  <c:v>114.29298393038474</c:v>
                </c:pt>
                <c:pt idx="6">
                  <c:v>119.21901153778431</c:v>
                </c:pt>
                <c:pt idx="7">
                  <c:v>121.62723557084756</c:v>
                </c:pt>
                <c:pt idx="8">
                  <c:v>123.09892512125482</c:v>
                </c:pt>
                <c:pt idx="9">
                  <c:v>130.46024084350586</c:v>
                </c:pt>
                <c:pt idx="10">
                  <c:v>134.21749577979881</c:v>
                </c:pt>
                <c:pt idx="11">
                  <c:v>137.84136816585337</c:v>
                </c:pt>
                <c:pt idx="12">
                  <c:v>141.05307204411776</c:v>
                </c:pt>
                <c:pt idx="13">
                  <c:v>144.12802901467953</c:v>
                </c:pt>
                <c:pt idx="14">
                  <c:v>151.8244657640634</c:v>
                </c:pt>
                <c:pt idx="15">
                  <c:v>162.60400283331191</c:v>
                </c:pt>
                <c:pt idx="16">
                  <c:v>176.81396664091505</c:v>
                </c:pt>
                <c:pt idx="17">
                  <c:v>189.08485592579456</c:v>
                </c:pt>
              </c:numCache>
            </c:numRef>
          </c:val>
          <c:smooth val="0"/>
          <c:extLst>
            <c:ext xmlns:c16="http://schemas.microsoft.com/office/drawing/2014/chart" uri="{C3380CC4-5D6E-409C-BE32-E72D297353CC}">
              <c16:uniqueId val="{00000001-DCC9-E749-B9E8-3F983C906490}"/>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A6-4C34-A70A-71EF7612E0B6}"/>
                </c:ext>
              </c:extLst>
            </c:dLbl>
            <c:spPr>
              <a:noFill/>
              <a:ln>
                <a:noFill/>
              </a:ln>
              <a:effectLst/>
            </c:spPr>
            <c:txPr>
              <a:bodyPr rot="0" spcFirstLastPara="1" vertOverflow="ellipsis" vert="horz" wrap="square" anchor="ctr" anchorCtr="1"/>
              <a:lstStyle/>
              <a:p>
                <a:pPr>
                  <a:defRPr sz="8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Hoja1!$C$2:$C$19</c:f>
              <c:numCache>
                <c:formatCode>0</c:formatCode>
                <c:ptCount val="18"/>
                <c:pt idx="0">
                  <c:v>100</c:v>
                </c:pt>
                <c:pt idx="1">
                  <c:v>114.63000000000001</c:v>
                </c:pt>
                <c:pt idx="2">
                  <c:v>129.749697</c:v>
                </c:pt>
                <c:pt idx="3">
                  <c:v>137.6774034867</c:v>
                </c:pt>
                <c:pt idx="4">
                  <c:v>149.55896340760222</c:v>
                </c:pt>
                <c:pt idx="5">
                  <c:v>170.63182135173338</c:v>
                </c:pt>
                <c:pt idx="6">
                  <c:v>189.84496443593855</c:v>
                </c:pt>
                <c:pt idx="7">
                  <c:v>203.64669335043129</c:v>
                </c:pt>
                <c:pt idx="8">
                  <c:v>234.70281408637209</c:v>
                </c:pt>
                <c:pt idx="9">
                  <c:v>256.2720027009097</c:v>
                </c:pt>
                <c:pt idx="10">
                  <c:v>276.36372771266105</c:v>
                </c:pt>
                <c:pt idx="11">
                  <c:v>289.71209576118258</c:v>
                </c:pt>
                <c:pt idx="12">
                  <c:v>299.30156613087769</c:v>
                </c:pt>
                <c:pt idx="13">
                  <c:v>309.26830828303594</c:v>
                </c:pt>
                <c:pt idx="14">
                  <c:v>319.1958209789214</c:v>
                </c:pt>
                <c:pt idx="15">
                  <c:v>340.16698641723656</c:v>
                </c:pt>
                <c:pt idx="16">
                  <c:v>365.81557719309615</c:v>
                </c:pt>
                <c:pt idx="17">
                  <c:v>417.87113382767376</c:v>
                </c:pt>
              </c:numCache>
            </c:numRef>
          </c:val>
          <c:smooth val="0"/>
          <c:extLst>
            <c:ext xmlns:c16="http://schemas.microsoft.com/office/drawing/2014/chart" uri="{C3380CC4-5D6E-409C-BE32-E72D297353CC}">
              <c16:uniqueId val="{00000003-DCC9-E749-B9E8-3F983C906490}"/>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r>
              <a:rPr lang="es-CO"/>
              <a:t>Bucaramanga</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endParaRPr lang="es-CO"/>
        </a:p>
      </c:txPr>
    </c:title>
    <c:autoTitleDeleted val="0"/>
    <c:plotArea>
      <c:layout/>
      <c:lineChart>
        <c:grouping val="standard"/>
        <c:varyColors val="0"/>
        <c:ser>
          <c:idx val="0"/>
          <c:order val="0"/>
          <c:tx>
            <c:strRef>
              <c:f>Hoja1!$B$1</c:f>
              <c:strCache>
                <c:ptCount val="1"/>
                <c:pt idx="0">
                  <c:v>ICCV-ICOCED residencial</c:v>
                </c:pt>
              </c:strCache>
            </c:strRef>
          </c:tx>
          <c:spPr>
            <a:ln w="28575" cap="rnd">
              <a:solidFill>
                <a:srgbClr val="1A8EB2"/>
              </a:solidFill>
              <a:round/>
            </a:ln>
            <a:effectLst/>
          </c:spPr>
          <c:marker>
            <c:symbol val="circle"/>
            <c:size val="5"/>
            <c:spPr>
              <a:solidFill>
                <a:srgbClr val="1A8EB2"/>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41-4EE2-8EB1-B3A3DBA17B94}"/>
                </c:ext>
              </c:extLst>
            </c:dLbl>
            <c:spPr>
              <a:noFill/>
              <a:ln>
                <a:noFill/>
              </a:ln>
              <a:effectLst/>
            </c:spPr>
            <c:txPr>
              <a:bodyPr rot="0" spcFirstLastPara="1" vertOverflow="ellipsis" vert="horz" wrap="square" anchor="ctr" anchorCtr="1"/>
              <a:lstStyle/>
              <a:p>
                <a:pPr>
                  <a:defRPr sz="8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Hoja1!$B$2:$B$19</c:f>
              <c:numCache>
                <c:formatCode>0</c:formatCode>
                <c:ptCount val="18"/>
                <c:pt idx="0">
                  <c:v>100</c:v>
                </c:pt>
                <c:pt idx="1">
                  <c:v>104.70766009</c:v>
                </c:pt>
                <c:pt idx="2">
                  <c:v>111.0473514888518</c:v>
                </c:pt>
                <c:pt idx="3">
                  <c:v>109.55931697890119</c:v>
                </c:pt>
                <c:pt idx="4">
                  <c:v>111.46564909433408</c:v>
                </c:pt>
                <c:pt idx="5">
                  <c:v>118.95614071347333</c:v>
                </c:pt>
                <c:pt idx="6">
                  <c:v>123.82144686865438</c:v>
                </c:pt>
                <c:pt idx="7">
                  <c:v>124.83678273297734</c:v>
                </c:pt>
                <c:pt idx="8">
                  <c:v>125.89789538620764</c:v>
                </c:pt>
                <c:pt idx="9">
                  <c:v>133.42658953030286</c:v>
                </c:pt>
                <c:pt idx="10">
                  <c:v>136.85565288123166</c:v>
                </c:pt>
                <c:pt idx="11">
                  <c:v>141.65928629736288</c:v>
                </c:pt>
                <c:pt idx="12">
                  <c:v>146.37654053106507</c:v>
                </c:pt>
                <c:pt idx="13">
                  <c:v>150.72392378483772</c:v>
                </c:pt>
                <c:pt idx="14">
                  <c:v>159.49605614911528</c:v>
                </c:pt>
                <c:pt idx="15">
                  <c:v>172.73422880949184</c:v>
                </c:pt>
                <c:pt idx="16">
                  <c:v>189.18889144588402</c:v>
                </c:pt>
                <c:pt idx="17">
                  <c:v>202.29968162308379</c:v>
                </c:pt>
              </c:numCache>
            </c:numRef>
          </c:val>
          <c:smooth val="0"/>
          <c:extLst>
            <c:ext xmlns:c16="http://schemas.microsoft.com/office/drawing/2014/chart" uri="{C3380CC4-5D6E-409C-BE32-E72D297353CC}">
              <c16:uniqueId val="{00000001-D98F-8D40-AD88-F51B079863DF}"/>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noFill/>
              </a:ln>
              <a:effectLst/>
            </c:spPr>
          </c:marker>
          <c:dLbls>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41-4EE2-8EB1-B3A3DBA17B94}"/>
                </c:ext>
              </c:extLst>
            </c:dLbl>
            <c:spPr>
              <a:noFill/>
              <a:ln>
                <a:noFill/>
              </a:ln>
              <a:effectLst/>
            </c:spPr>
            <c:txPr>
              <a:bodyPr rot="0" spcFirstLastPara="1" vertOverflow="ellipsis" vert="horz" wrap="square" anchor="ctr" anchorCtr="1"/>
              <a:lstStyle/>
              <a:p>
                <a:pPr>
                  <a:defRPr sz="8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Hoja1!$A$2:$A$19</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strCache>
            </c:strRef>
          </c:cat>
          <c:val>
            <c:numRef>
              <c:f>Hoja1!$C$2:$C$19</c:f>
              <c:numCache>
                <c:formatCode>0</c:formatCode>
                <c:ptCount val="18"/>
                <c:pt idx="0">
                  <c:v>100</c:v>
                </c:pt>
                <c:pt idx="1">
                  <c:v>123.85</c:v>
                </c:pt>
                <c:pt idx="2">
                  <c:v>155.617525</c:v>
                </c:pt>
                <c:pt idx="3">
                  <c:v>170.88360420250001</c:v>
                </c:pt>
                <c:pt idx="4">
                  <c:v>196.78955859959899</c:v>
                </c:pt>
                <c:pt idx="5">
                  <c:v>203.16554029822601</c:v>
                </c:pt>
                <c:pt idx="6">
                  <c:v>252.10811895606864</c:v>
                </c:pt>
                <c:pt idx="7">
                  <c:v>279.71395798175814</c:v>
                </c:pt>
                <c:pt idx="8">
                  <c:v>291.93745794556099</c:v>
                </c:pt>
                <c:pt idx="9">
                  <c:v>320.19700387469129</c:v>
                </c:pt>
                <c:pt idx="10">
                  <c:v>329.61079578860722</c:v>
                </c:pt>
                <c:pt idx="11">
                  <c:v>345.72876370267011</c:v>
                </c:pt>
                <c:pt idx="12">
                  <c:v>351.74444419109659</c:v>
                </c:pt>
                <c:pt idx="13">
                  <c:v>356.66886640977197</c:v>
                </c:pt>
                <c:pt idx="14">
                  <c:v>362.62523647881511</c:v>
                </c:pt>
                <c:pt idx="15">
                  <c:v>376.44125798865798</c:v>
                </c:pt>
                <c:pt idx="16">
                  <c:v>403.09329905425494</c:v>
                </c:pt>
                <c:pt idx="17">
                  <c:v>446.66768468201991</c:v>
                </c:pt>
              </c:numCache>
            </c:numRef>
          </c:val>
          <c:smooth val="0"/>
          <c:extLst>
            <c:ext xmlns:c16="http://schemas.microsoft.com/office/drawing/2014/chart" uri="{C3380CC4-5D6E-409C-BE32-E72D297353CC}">
              <c16:uniqueId val="{00000003-D98F-8D40-AD88-F51B079863DF}"/>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6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s-CO" sz="960" b="0" i="0" u="none" strike="noStrike" kern="1200" spc="0" baseline="0">
                <a:solidFill>
                  <a:sysClr val="windowText" lastClr="000000"/>
                </a:solidFill>
                <a:latin typeface="Verdana" panose="020B0604030504040204" pitchFamily="34" charset="0"/>
                <a:ea typeface="Verdana" panose="020B0604030504040204" pitchFamily="34" charset="0"/>
              </a:rPr>
              <a:t>Cartagena (Base 100=2014)</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6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es-CO"/>
        </a:p>
      </c:txPr>
    </c:title>
    <c:autoTitleDeleted val="0"/>
    <c:plotArea>
      <c:layout/>
      <c:lineChart>
        <c:grouping val="standard"/>
        <c:varyColors val="0"/>
        <c:ser>
          <c:idx val="0"/>
          <c:order val="0"/>
          <c:tx>
            <c:strRef>
              <c:f>Hoja1!$B$1</c:f>
              <c:strCache>
                <c:ptCount val="1"/>
                <c:pt idx="0">
                  <c:v>ICCV-ICOCED residencial</c:v>
                </c:pt>
              </c:strCache>
            </c:strRef>
          </c:tx>
          <c:spPr>
            <a:ln w="28575" cap="rnd">
              <a:solidFill>
                <a:srgbClr val="1A8EB2"/>
              </a:solidFill>
              <a:round/>
            </a:ln>
            <a:effectLst/>
          </c:spPr>
          <c:marker>
            <c:symbol val="circle"/>
            <c:size val="5"/>
            <c:spPr>
              <a:solidFill>
                <a:srgbClr val="1A8EB2"/>
              </a:solidFill>
              <a:ln w="9525">
                <a:noFill/>
              </a:ln>
              <a:effectLst/>
            </c:spPr>
          </c:marker>
          <c:dLbls>
            <c:dLbl>
              <c:idx val="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2B-486E-8882-CAF28AEB25A0}"/>
                </c:ext>
              </c:extLst>
            </c:dLbl>
            <c:spPr>
              <a:noFill/>
              <a:ln>
                <a:noFill/>
              </a:ln>
              <a:effectLst/>
            </c:spPr>
            <c:txPr>
              <a:bodyPr rot="0" spcFirstLastPara="1" vertOverflow="ellipsis" vert="horz" wrap="square" anchor="ctr" anchorCtr="1"/>
              <a:lstStyle/>
              <a:p>
                <a:pPr>
                  <a:defRPr sz="8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Hoja1!$B$2:$B$11</c:f>
              <c:numCache>
                <c:formatCode>0</c:formatCode>
                <c:ptCount val="10"/>
                <c:pt idx="0">
                  <c:v>100</c:v>
                </c:pt>
                <c:pt idx="1">
                  <c:v>103.23</c:v>
                </c:pt>
                <c:pt idx="2">
                  <c:v>105.63525900000002</c:v>
                </c:pt>
                <c:pt idx="3">
                  <c:v>109.62827179020003</c:v>
                </c:pt>
                <c:pt idx="4">
                  <c:v>110.69166602656497</c:v>
                </c:pt>
                <c:pt idx="5">
                  <c:v>113.25971267838129</c:v>
                </c:pt>
                <c:pt idx="6">
                  <c:v>118.63954903060441</c:v>
                </c:pt>
                <c:pt idx="7">
                  <c:v>127.82225012557319</c:v>
                </c:pt>
                <c:pt idx="8">
                  <c:v>140.30537107283669</c:v>
                </c:pt>
                <c:pt idx="9">
                  <c:v>149.69180039760946</c:v>
                </c:pt>
              </c:numCache>
            </c:numRef>
          </c:val>
          <c:smooth val="0"/>
          <c:extLst>
            <c:ext xmlns:c16="http://schemas.microsoft.com/office/drawing/2014/chart" uri="{C3380CC4-5D6E-409C-BE32-E72D297353CC}">
              <c16:uniqueId val="{00000001-83A6-3948-9526-D22C12E2C48E}"/>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noFill/>
              </a:ln>
              <a:effectLst/>
            </c:spPr>
          </c:marker>
          <c:dLbls>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2B-486E-8882-CAF28AEB25A0}"/>
                </c:ext>
              </c:extLst>
            </c:dLbl>
            <c:spPr>
              <a:noFill/>
              <a:ln>
                <a:noFill/>
              </a:ln>
              <a:effectLst/>
            </c:spPr>
            <c:txPr>
              <a:bodyPr rot="0" spcFirstLastPara="1" vertOverflow="ellipsis" vert="horz" wrap="square" anchor="ctr" anchorCtr="1"/>
              <a:lstStyle/>
              <a:p>
                <a:pPr>
                  <a:defRPr sz="8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Hoja1!$C$2:$C$11</c:f>
              <c:numCache>
                <c:formatCode>0</c:formatCode>
                <c:ptCount val="10"/>
                <c:pt idx="0">
                  <c:v>100</c:v>
                </c:pt>
                <c:pt idx="1">
                  <c:v>104.02</c:v>
                </c:pt>
                <c:pt idx="2">
                  <c:v>109.58507</c:v>
                </c:pt>
                <c:pt idx="3">
                  <c:v>111.67814483699999</c:v>
                </c:pt>
                <c:pt idx="4">
                  <c:v>119.31692994385079</c:v>
                </c:pt>
                <c:pt idx="5">
                  <c:v>120.9873669630647</c:v>
                </c:pt>
                <c:pt idx="6">
                  <c:v>122.05205579233966</c:v>
                </c:pt>
                <c:pt idx="7">
                  <c:v>130.09528626905484</c:v>
                </c:pt>
                <c:pt idx="8">
                  <c:v>131.95564886270233</c:v>
                </c:pt>
                <c:pt idx="9">
                  <c:v>163.45346224622941</c:v>
                </c:pt>
              </c:numCache>
            </c:numRef>
          </c:val>
          <c:smooth val="0"/>
          <c:extLst>
            <c:ext xmlns:c16="http://schemas.microsoft.com/office/drawing/2014/chart" uri="{C3380CC4-5D6E-409C-BE32-E72D297353CC}">
              <c16:uniqueId val="{00000003-83A6-3948-9526-D22C12E2C48E}"/>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r>
              <a:rPr lang="es-CO"/>
              <a:t>Cúcuta (Base 100=2014)</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Verdana" panose="020B0604030504040204" pitchFamily="34" charset="0"/>
              <a:ea typeface="Verdana" panose="020B0604030504040204" pitchFamily="34" charset="0"/>
              <a:cs typeface="+mn-cs"/>
            </a:defRPr>
          </a:pPr>
          <a:endParaRPr lang="es-CO"/>
        </a:p>
      </c:txPr>
    </c:title>
    <c:autoTitleDeleted val="0"/>
    <c:plotArea>
      <c:layout/>
      <c:lineChart>
        <c:grouping val="standard"/>
        <c:varyColors val="0"/>
        <c:ser>
          <c:idx val="0"/>
          <c:order val="0"/>
          <c:tx>
            <c:strRef>
              <c:f>Hoja1!$B$1</c:f>
              <c:strCache>
                <c:ptCount val="1"/>
                <c:pt idx="0">
                  <c:v>ICCV-ICOCED</c:v>
                </c:pt>
              </c:strCache>
            </c:strRef>
          </c:tx>
          <c:spPr>
            <a:ln w="28575" cap="rnd">
              <a:solidFill>
                <a:srgbClr val="1A8EB2"/>
              </a:solidFill>
              <a:round/>
            </a:ln>
            <a:effectLst/>
          </c:spPr>
          <c:marker>
            <c:symbol val="circle"/>
            <c:size val="5"/>
            <c:spPr>
              <a:solidFill>
                <a:srgbClr val="1A8EB2"/>
              </a:solidFill>
              <a:ln w="9525">
                <a:noFill/>
              </a:ln>
              <a:effectLst/>
            </c:spPr>
          </c:marker>
          <c:dLbls>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35-448E-BF12-0FB2C5AAD9F8}"/>
                </c:ext>
              </c:extLst>
            </c:dLbl>
            <c:spPr>
              <a:noFill/>
              <a:ln>
                <a:noFill/>
              </a:ln>
              <a:effectLst/>
            </c:spPr>
            <c:txPr>
              <a:bodyPr rot="0" spcFirstLastPara="1" vertOverflow="ellipsis" vert="horz" wrap="square" anchor="ctr" anchorCtr="1"/>
              <a:lstStyle/>
              <a:p>
                <a:pPr>
                  <a:defRPr sz="800" b="1" i="0" u="none" strike="noStrike" kern="1200" baseline="0">
                    <a:solidFill>
                      <a:srgbClr val="1A8EB2"/>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Hoja1!$B$2:$B$11</c:f>
              <c:numCache>
                <c:formatCode>0</c:formatCode>
                <c:ptCount val="10"/>
                <c:pt idx="0">
                  <c:v>100</c:v>
                </c:pt>
                <c:pt idx="1">
                  <c:v>98.72</c:v>
                </c:pt>
                <c:pt idx="2">
                  <c:v>106.933504</c:v>
                </c:pt>
                <c:pt idx="3">
                  <c:v>109.75654850559999</c:v>
                </c:pt>
                <c:pt idx="4">
                  <c:v>112.14924126302208</c:v>
                </c:pt>
                <c:pt idx="5">
                  <c:v>114.71745888794527</c:v>
                </c:pt>
                <c:pt idx="6">
                  <c:v>118.82434391613371</c:v>
                </c:pt>
                <c:pt idx="7">
                  <c:v>126.48851409872434</c:v>
                </c:pt>
                <c:pt idx="8">
                  <c:v>137.73334300210092</c:v>
                </c:pt>
                <c:pt idx="9">
                  <c:v>147.77410370695407</c:v>
                </c:pt>
              </c:numCache>
            </c:numRef>
          </c:val>
          <c:smooth val="0"/>
          <c:extLst>
            <c:ext xmlns:c16="http://schemas.microsoft.com/office/drawing/2014/chart" uri="{C3380CC4-5D6E-409C-BE32-E72D297353CC}">
              <c16:uniqueId val="{00000001-BAE4-344E-982B-C293B72BC7A0}"/>
            </c:ext>
          </c:extLst>
        </c:ser>
        <c:ser>
          <c:idx val="1"/>
          <c:order val="1"/>
          <c:tx>
            <c:strRef>
              <c:f>Hoja1!$C$1</c:f>
              <c:strCache>
                <c:ptCount val="1"/>
                <c:pt idx="0">
                  <c:v>IPVN</c:v>
                </c:pt>
              </c:strCache>
            </c:strRef>
          </c:tx>
          <c:spPr>
            <a:ln w="28575" cap="rnd">
              <a:solidFill>
                <a:srgbClr val="62C8E8"/>
              </a:solidFill>
              <a:round/>
            </a:ln>
            <a:effectLst/>
          </c:spPr>
          <c:marker>
            <c:symbol val="circle"/>
            <c:size val="5"/>
            <c:spPr>
              <a:solidFill>
                <a:srgbClr val="62C8E8"/>
              </a:solidFill>
              <a:ln w="9525">
                <a:noFill/>
              </a:ln>
              <a:effectLst/>
            </c:spPr>
          </c:marker>
          <c:dLbls>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35-448E-BF12-0FB2C5AAD9F8}"/>
                </c:ext>
              </c:extLst>
            </c:dLbl>
            <c:spPr>
              <a:noFill/>
              <a:ln>
                <a:noFill/>
              </a:ln>
              <a:effectLst/>
            </c:spPr>
            <c:txPr>
              <a:bodyPr rot="0" spcFirstLastPara="1" vertOverflow="ellipsis" vert="horz" wrap="square" anchor="ctr" anchorCtr="1"/>
              <a:lstStyle/>
              <a:p>
                <a:pPr>
                  <a:defRPr sz="800" b="1" i="0" u="none" strike="noStrike" kern="1200" baseline="0">
                    <a:solidFill>
                      <a:srgbClr val="62C8E8"/>
                    </a:solidFill>
                    <a:latin typeface="Verdana" panose="020B0604030504040204" pitchFamily="34" charset="0"/>
                    <a:ea typeface="Verdana" panose="020B0604030504040204" pitchFamily="34" charset="0"/>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Hoja1!$C$2:$C$11</c:f>
              <c:numCache>
                <c:formatCode>0</c:formatCode>
                <c:ptCount val="10"/>
                <c:pt idx="0">
                  <c:v>100</c:v>
                </c:pt>
                <c:pt idx="1">
                  <c:v>102.69999999999999</c:v>
                </c:pt>
                <c:pt idx="2">
                  <c:v>110.51546999999999</c:v>
                </c:pt>
                <c:pt idx="3">
                  <c:v>120.16347053099999</c:v>
                </c:pt>
                <c:pt idx="4">
                  <c:v>121.19687637756658</c:v>
                </c:pt>
                <c:pt idx="5">
                  <c:v>122.09373326276058</c:v>
                </c:pt>
                <c:pt idx="6">
                  <c:v>135.57288141496934</c:v>
                </c:pt>
                <c:pt idx="7">
                  <c:v>145.71373294480904</c:v>
                </c:pt>
                <c:pt idx="8">
                  <c:v>160.92624666424712</c:v>
                </c:pt>
                <c:pt idx="9">
                  <c:v>182.95704983258256</c:v>
                </c:pt>
              </c:numCache>
            </c:numRef>
          </c:val>
          <c:smooth val="0"/>
          <c:extLst>
            <c:ext xmlns:c16="http://schemas.microsoft.com/office/drawing/2014/chart" uri="{C3380CC4-5D6E-409C-BE32-E72D297353CC}">
              <c16:uniqueId val="{00000003-BAE4-344E-982B-C293B72BC7A0}"/>
            </c:ext>
          </c:extLst>
        </c:ser>
        <c:dLbls>
          <c:showLegendKey val="0"/>
          <c:showVal val="0"/>
          <c:showCatName val="0"/>
          <c:showSerName val="0"/>
          <c:showPercent val="0"/>
          <c:showBubbleSize val="0"/>
        </c:dLbls>
        <c:marker val="1"/>
        <c:smooth val="0"/>
        <c:axId val="54371135"/>
        <c:axId val="33694128"/>
      </c:lineChart>
      <c:catAx>
        <c:axId val="5437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33694128"/>
        <c:crosses val="autoZero"/>
        <c:auto val="1"/>
        <c:lblAlgn val="ctr"/>
        <c:lblOffset val="100"/>
        <c:noMultiLvlLbl val="0"/>
      </c:catAx>
      <c:valAx>
        <c:axId val="33694128"/>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crossAx val="54371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Verdana" panose="020B0604030504040204" pitchFamily="34" charset="0"/>
          <a:ea typeface="Verdana" panose="020B060403050404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es-CO" sz="900" b="0">
                <a:solidFill>
                  <a:schemeClr val="tx1"/>
                </a:solidFill>
                <a:latin typeface="Verdana" panose="020B0604030504040204" pitchFamily="34" charset="0"/>
                <a:ea typeface="Verdana" panose="020B0604030504040204" pitchFamily="34" charset="0"/>
                <a:cs typeface="Verdana" panose="020B0604030504040204" pitchFamily="34" charset="0"/>
              </a:rPr>
              <a:t>Pereira y Dosquebradas</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title>
    <c:autoTitleDeleted val="0"/>
    <c:plotArea>
      <c:layout/>
      <c:lineChart>
        <c:grouping val="standard"/>
        <c:varyColors val="0"/>
        <c:ser>
          <c:idx val="0"/>
          <c:order val="0"/>
          <c:tx>
            <c:strRef>
              <c:f>'IPVN-IP vs ICOCED'!$D$2</c:f>
              <c:strCache>
                <c:ptCount val="1"/>
                <c:pt idx="0">
                  <c:v>ICOCED residencial</c:v>
                </c:pt>
              </c:strCache>
            </c:strRef>
          </c:tx>
          <c:spPr>
            <a:ln w="28575" cap="rnd">
              <a:solidFill>
                <a:srgbClr val="1A8EB2"/>
              </a:solidFill>
              <a:round/>
            </a:ln>
            <a:effectLst/>
          </c:spPr>
          <c:marker>
            <c:symbol val="circle"/>
            <c:size val="4"/>
            <c:spPr>
              <a:solidFill>
                <a:srgbClr val="1A8EB2"/>
              </a:solidFill>
              <a:ln w="9525">
                <a:noFill/>
              </a:ln>
              <a:effectLst/>
            </c:spPr>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ED-7F46-BDE7-F6CBD3FCF05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1A8EB2"/>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ICOCED'!$D$3:$D$34</c:f>
              <c:numCache>
                <c:formatCode>0</c:formatCode>
                <c:ptCount val="32"/>
                <c:pt idx="0">
                  <c:v>100</c:v>
                </c:pt>
                <c:pt idx="1">
                  <c:v>100.43611355726088</c:v>
                </c:pt>
                <c:pt idx="2">
                  <c:v>100.83867991780939</c:v>
                </c:pt>
                <c:pt idx="3">
                  <c:v>100.55772214534325</c:v>
                </c:pt>
                <c:pt idx="4">
                  <c:v>105.14949469534953</c:v>
                </c:pt>
                <c:pt idx="5">
                  <c:v>105.03207950685622</c:v>
                </c:pt>
                <c:pt idx="6">
                  <c:v>105.33819767685664</c:v>
                </c:pt>
                <c:pt idx="7">
                  <c:v>106.10978320124126</c:v>
                </c:pt>
                <c:pt idx="8">
                  <c:v>108.72646454480649</c:v>
                </c:pt>
                <c:pt idx="9">
                  <c:v>109.41837547699924</c:v>
                </c:pt>
                <c:pt idx="10">
                  <c:v>110.03899861617819</c:v>
                </c:pt>
                <c:pt idx="11">
                  <c:v>110.24447519604146</c:v>
                </c:pt>
                <c:pt idx="12">
                  <c:v>113.05405292070287</c:v>
                </c:pt>
                <c:pt idx="13">
                  <c:v>113.87595924015604</c:v>
                </c:pt>
                <c:pt idx="14">
                  <c:v>114.39594078919784</c:v>
                </c:pt>
                <c:pt idx="15">
                  <c:v>114.90753553906154</c:v>
                </c:pt>
                <c:pt idx="16">
                  <c:v>117.85968884975054</c:v>
                </c:pt>
                <c:pt idx="17">
                  <c:v>117.63573946408358</c:v>
                </c:pt>
                <c:pt idx="18">
                  <c:v>118.86191135153274</c:v>
                </c:pt>
                <c:pt idx="19">
                  <c:v>121.62536168071462</c:v>
                </c:pt>
                <c:pt idx="20">
                  <c:v>125.35748731496629</c:v>
                </c:pt>
                <c:pt idx="21">
                  <c:v>129.75636348387641</c:v>
                </c:pt>
                <c:pt idx="22">
                  <c:v>130.75858598565861</c:v>
                </c:pt>
                <c:pt idx="23">
                  <c:v>131.39178932360468</c:v>
                </c:pt>
                <c:pt idx="24">
                  <c:v>136.50030209250644</c:v>
                </c:pt>
                <c:pt idx="25">
                  <c:v>141.0228074810249</c:v>
                </c:pt>
                <c:pt idx="26">
                  <c:v>142.40373518681596</c:v>
                </c:pt>
                <c:pt idx="27">
                  <c:v>143.06332196922042</c:v>
                </c:pt>
                <c:pt idx="28">
                  <c:v>154.71383192854444</c:v>
                </c:pt>
                <c:pt idx="29">
                  <c:v>155.00289386505639</c:v>
                </c:pt>
                <c:pt idx="30">
                  <c:v>154.87150207573279</c:v>
                </c:pt>
                <c:pt idx="31">
                  <c:v>154.05409906826745</c:v>
                </c:pt>
              </c:numCache>
            </c:numRef>
          </c:val>
          <c:smooth val="0"/>
          <c:extLst>
            <c:ext xmlns:c16="http://schemas.microsoft.com/office/drawing/2014/chart" uri="{C3380CC4-5D6E-409C-BE32-E72D297353CC}">
              <c16:uniqueId val="{00000001-7BED-7F46-BDE7-F6CBD3FCF056}"/>
            </c:ext>
          </c:extLst>
        </c:ser>
        <c:ser>
          <c:idx val="1"/>
          <c:order val="1"/>
          <c:tx>
            <c:strRef>
              <c:f>'IPVN-IP vs ICOCED'!$E$2</c:f>
              <c:strCache>
                <c:ptCount val="1"/>
                <c:pt idx="0">
                  <c:v>IPVN</c:v>
                </c:pt>
              </c:strCache>
            </c:strRef>
          </c:tx>
          <c:spPr>
            <a:ln w="28575" cap="rnd">
              <a:solidFill>
                <a:srgbClr val="62C8E8"/>
              </a:solidFill>
              <a:round/>
            </a:ln>
            <a:effectLst/>
          </c:spPr>
          <c:marker>
            <c:symbol val="circle"/>
            <c:size val="4"/>
            <c:spPr>
              <a:solidFill>
                <a:srgbClr val="62C8E8"/>
              </a:solidFill>
              <a:ln w="9525">
                <a:noFill/>
              </a:ln>
              <a:effectLst/>
            </c:spPr>
          </c:marker>
          <c:dLbls>
            <c:dLbl>
              <c:idx val="31"/>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62C8E8"/>
                      </a:solidFill>
                      <a:latin typeface="Verdana" panose="020B0604030504040204" pitchFamily="34" charset="0"/>
                      <a:ea typeface="Verdana" panose="020B0604030504040204" pitchFamily="34" charset="0"/>
                      <a:cs typeface="Verdana" panose="020B0604030504040204" pitchFamily="34" charset="0"/>
                    </a:defRPr>
                  </a:pPr>
                  <a:endParaRPr lang="es-CO"/>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ED-7F46-BDE7-F6CBD3FCF05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'IPVN-IP vs ICOCED'!$C$3:$C$34</c:f>
              <c:strCache>
                <c:ptCount val="32"/>
                <c:pt idx="0">
                  <c:v>2016-I</c:v>
                </c:pt>
                <c:pt idx="1">
                  <c:v>2016-II</c:v>
                </c:pt>
                <c:pt idx="2">
                  <c:v>2016-III</c:v>
                </c:pt>
                <c:pt idx="3">
                  <c:v>2016-IV</c:v>
                </c:pt>
                <c:pt idx="4">
                  <c:v>2017-I</c:v>
                </c:pt>
                <c:pt idx="5">
                  <c:v>2017-II</c:v>
                </c:pt>
                <c:pt idx="6">
                  <c:v>2017-III</c:v>
                </c:pt>
                <c:pt idx="7">
                  <c:v>2017-IV</c:v>
                </c:pt>
                <c:pt idx="8">
                  <c:v>2018-I</c:v>
                </c:pt>
                <c:pt idx="9">
                  <c:v>2018-II</c:v>
                </c:pt>
                <c:pt idx="10">
                  <c:v>2018-III</c:v>
                </c:pt>
                <c:pt idx="11">
                  <c:v>2018-IV</c:v>
                </c:pt>
                <c:pt idx="12">
                  <c:v>2019-I</c:v>
                </c:pt>
                <c:pt idx="13">
                  <c:v>2019-II</c:v>
                </c:pt>
                <c:pt idx="14">
                  <c:v>2019-III</c:v>
                </c:pt>
                <c:pt idx="15">
                  <c:v>2019-IV</c:v>
                </c:pt>
                <c:pt idx="16">
                  <c:v>2020-I</c:v>
                </c:pt>
                <c:pt idx="17">
                  <c:v>2020-II</c:v>
                </c:pt>
                <c:pt idx="18">
                  <c:v>2020-III</c:v>
                </c:pt>
                <c:pt idx="19">
                  <c:v>2020-IV</c:v>
                </c:pt>
                <c:pt idx="20">
                  <c:v>2021-I</c:v>
                </c:pt>
                <c:pt idx="21">
                  <c:v>2021-II</c:v>
                </c:pt>
                <c:pt idx="22">
                  <c:v>2021-III</c:v>
                </c:pt>
                <c:pt idx="23">
                  <c:v>2021-IV</c:v>
                </c:pt>
                <c:pt idx="24">
                  <c:v>2022-I</c:v>
                </c:pt>
                <c:pt idx="25">
                  <c:v>2022-II</c:v>
                </c:pt>
                <c:pt idx="26">
                  <c:v>2022-III</c:v>
                </c:pt>
                <c:pt idx="27">
                  <c:v>2022-IV</c:v>
                </c:pt>
                <c:pt idx="28">
                  <c:v>2023-I</c:v>
                </c:pt>
                <c:pt idx="29">
                  <c:v>2023-II</c:v>
                </c:pt>
                <c:pt idx="30">
                  <c:v>2023-III</c:v>
                </c:pt>
                <c:pt idx="31">
                  <c:v>2023-IV</c:v>
                </c:pt>
              </c:strCache>
            </c:strRef>
          </c:cat>
          <c:val>
            <c:numRef>
              <c:f>'IPVN-IP vs ICOCED'!$E$3:$E$34</c:f>
              <c:numCache>
                <c:formatCode>0</c:formatCode>
                <c:ptCount val="32"/>
                <c:pt idx="0">
                  <c:v>100</c:v>
                </c:pt>
                <c:pt idx="1">
                  <c:v>103.67405035139224</c:v>
                </c:pt>
                <c:pt idx="2">
                  <c:v>106.34285205942533</c:v>
                </c:pt>
                <c:pt idx="3">
                  <c:v>110.92429499154879</c:v>
                </c:pt>
                <c:pt idx="4">
                  <c:v>114.05568899564098</c:v>
                </c:pt>
                <c:pt idx="5">
                  <c:v>119.67796459389737</c:v>
                </c:pt>
                <c:pt idx="6">
                  <c:v>118.57485988791035</c:v>
                </c:pt>
                <c:pt idx="7">
                  <c:v>122.94279868339119</c:v>
                </c:pt>
                <c:pt idx="8">
                  <c:v>129.07214660617387</c:v>
                </c:pt>
                <c:pt idx="9">
                  <c:v>132.04341250778404</c:v>
                </c:pt>
                <c:pt idx="10">
                  <c:v>140.73481007027846</c:v>
                </c:pt>
                <c:pt idx="11">
                  <c:v>142.22933902677701</c:v>
                </c:pt>
                <c:pt idx="12">
                  <c:v>146.11689351481186</c:v>
                </c:pt>
                <c:pt idx="13">
                  <c:v>147.46908638021529</c:v>
                </c:pt>
                <c:pt idx="14">
                  <c:v>147.60252646561693</c:v>
                </c:pt>
                <c:pt idx="15">
                  <c:v>151.1609287429944</c:v>
                </c:pt>
                <c:pt idx="16">
                  <c:v>158.18877324081487</c:v>
                </c:pt>
                <c:pt idx="17">
                  <c:v>154.06992260475047</c:v>
                </c:pt>
                <c:pt idx="18">
                  <c:v>154.31011475847347</c:v>
                </c:pt>
                <c:pt idx="19">
                  <c:v>155.29757139044574</c:v>
                </c:pt>
                <c:pt idx="20">
                  <c:v>155.35969041900191</c:v>
                </c:pt>
                <c:pt idx="21">
                  <c:v>153.83777421937552</c:v>
                </c:pt>
                <c:pt idx="22">
                  <c:v>159.0247131038164</c:v>
                </c:pt>
                <c:pt idx="23">
                  <c:v>164.8794315452362</c:v>
                </c:pt>
                <c:pt idx="24">
                  <c:v>166.3081692020283</c:v>
                </c:pt>
                <c:pt idx="25">
                  <c:v>176.96158259941285</c:v>
                </c:pt>
                <c:pt idx="26">
                  <c:v>180.2073018414732</c:v>
                </c:pt>
                <c:pt idx="27">
                  <c:v>182.67653322658126</c:v>
                </c:pt>
                <c:pt idx="28">
                  <c:v>189.50962636776089</c:v>
                </c:pt>
                <c:pt idx="29">
                  <c:v>198.37711769415534</c:v>
                </c:pt>
                <c:pt idx="30">
                  <c:v>209.46536429143316</c:v>
                </c:pt>
                <c:pt idx="31">
                  <c:v>212.30730984787834</c:v>
                </c:pt>
              </c:numCache>
            </c:numRef>
          </c:val>
          <c:smooth val="0"/>
          <c:extLst>
            <c:ext xmlns:c16="http://schemas.microsoft.com/office/drawing/2014/chart" uri="{C3380CC4-5D6E-409C-BE32-E72D297353CC}">
              <c16:uniqueId val="{00000003-7BED-7F46-BDE7-F6CBD3FCF056}"/>
            </c:ext>
          </c:extLst>
        </c:ser>
        <c:dLbls>
          <c:showLegendKey val="0"/>
          <c:showVal val="0"/>
          <c:showCatName val="0"/>
          <c:showSerName val="0"/>
          <c:showPercent val="0"/>
          <c:showBubbleSize val="0"/>
        </c:dLbls>
        <c:marker val="1"/>
        <c:smooth val="0"/>
        <c:axId val="1714269008"/>
        <c:axId val="1626517776"/>
      </c:lineChart>
      <c:catAx>
        <c:axId val="171426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626517776"/>
        <c:crosses val="autoZero"/>
        <c:auto val="1"/>
        <c:lblAlgn val="ctr"/>
        <c:lblOffset val="100"/>
        <c:noMultiLvlLbl val="0"/>
      </c:catAx>
      <c:valAx>
        <c:axId val="1626517776"/>
        <c:scaling>
          <c:orientation val="minMax"/>
          <c:min val="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714269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8103-C06E-41C2-9BA0-54FF9DA8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4124</Words>
  <Characters>22684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26755</CharactersWithSpaces>
  <SharedDoc>false</SharedDoc>
  <HLinks>
    <vt:vector size="6" baseType="variant">
      <vt:variant>
        <vt:i4>6946917</vt:i4>
      </vt:variant>
      <vt:variant>
        <vt:i4>0</vt:i4>
      </vt:variant>
      <vt:variant>
        <vt:i4>0</vt:i4>
      </vt:variant>
      <vt:variant>
        <vt:i4>5</vt:i4>
      </vt:variant>
      <vt:variant>
        <vt:lpwstr>https://www.minvivienda.gov.co/publicacion/estudio-sobre-los-precios-tope-de-la-vivienda-de-interes-social-en-colombia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Diaz Mojica</dc:creator>
  <cp:keywords/>
  <dc:description/>
  <cp:lastModifiedBy>Viviana Rozo Escandon</cp:lastModifiedBy>
  <cp:revision>4</cp:revision>
  <dcterms:created xsi:type="dcterms:W3CDTF">2024-03-01T17:10:00Z</dcterms:created>
  <dcterms:modified xsi:type="dcterms:W3CDTF">2024-03-01T17:21:00Z</dcterms:modified>
</cp:coreProperties>
</file>