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B39EA" w14:textId="77777777" w:rsidR="007A213E" w:rsidRPr="00DB5DE6" w:rsidRDefault="007A213E">
      <w:pPr>
        <w:rPr>
          <w:rFonts w:ascii="Verdana" w:hAnsi="Verdana"/>
          <w:lang w:val="es-CO"/>
        </w:rPr>
      </w:pPr>
    </w:p>
    <w:p w14:paraId="4DE9C04A" w14:textId="77777777" w:rsidR="007A213E" w:rsidRPr="00DB5DE6" w:rsidRDefault="007A213E" w:rsidP="007A213E">
      <w:pPr>
        <w:pStyle w:val="TableParagraph"/>
        <w:spacing w:before="89" w:line="237" w:lineRule="auto"/>
        <w:ind w:right="57"/>
        <w:jc w:val="center"/>
        <w:rPr>
          <w:rFonts w:ascii="Verdana" w:eastAsia="Times New Roman" w:hAnsi="Verdana" w:cs="Times New Roman"/>
          <w:sz w:val="20"/>
          <w:szCs w:val="20"/>
          <w:lang w:val="es-CO" w:eastAsia="es-ES"/>
        </w:rPr>
      </w:pPr>
      <w:r w:rsidRPr="00DB5DE6">
        <w:rPr>
          <w:rFonts w:ascii="Verdana" w:hAnsi="Verdana"/>
          <w:bCs/>
          <w:spacing w:val="-1"/>
          <w:sz w:val="20"/>
          <w:szCs w:val="20"/>
          <w:lang w:val="es-CO"/>
        </w:rPr>
        <w:t>FORMATO: MEMORIA JUSTIFICATIVA</w:t>
      </w:r>
    </w:p>
    <w:p w14:paraId="1B82C182" w14:textId="77777777" w:rsidR="007A213E" w:rsidRPr="00DB5DE6" w:rsidRDefault="007A213E" w:rsidP="007A213E">
      <w:pPr>
        <w:widowControl w:val="0"/>
        <w:autoSpaceDE w:val="0"/>
        <w:autoSpaceDN w:val="0"/>
        <w:ind w:left="118"/>
        <w:jc w:val="center"/>
        <w:rPr>
          <w:rFonts w:ascii="Verdana" w:hAnsi="Verdana"/>
          <w:lang w:val="es-CO"/>
        </w:rPr>
      </w:pPr>
      <w:r w:rsidRPr="00DB5DE6">
        <w:rPr>
          <w:rFonts w:ascii="Verdana" w:hAnsi="Verdana"/>
          <w:lang w:val="es-CO"/>
        </w:rPr>
        <w:t>PROCESO: GESTIÓN A LA POLÍTICA</w:t>
      </w:r>
      <w:r w:rsidRPr="00DB5DE6">
        <w:rPr>
          <w:rFonts w:ascii="Verdana" w:hAnsi="Verdana"/>
          <w:spacing w:val="1"/>
          <w:lang w:val="es-CO"/>
        </w:rPr>
        <w:t xml:space="preserve"> </w:t>
      </w:r>
      <w:r w:rsidRPr="00DB5DE6">
        <w:rPr>
          <w:rFonts w:ascii="Verdana" w:hAnsi="Verdana"/>
          <w:lang w:val="es-CO"/>
        </w:rPr>
        <w:t>DE</w:t>
      </w:r>
      <w:r w:rsidRPr="00DB5DE6">
        <w:rPr>
          <w:rFonts w:ascii="Verdana" w:hAnsi="Verdana"/>
          <w:spacing w:val="1"/>
          <w:lang w:val="es-CO"/>
        </w:rPr>
        <w:t xml:space="preserve"> VIVIENDA</w:t>
      </w:r>
    </w:p>
    <w:p w14:paraId="02465DEA" w14:textId="77777777" w:rsidR="007A213E" w:rsidRPr="00DB5DE6" w:rsidRDefault="007A213E" w:rsidP="007A213E">
      <w:pPr>
        <w:widowControl w:val="0"/>
        <w:autoSpaceDE w:val="0"/>
        <w:autoSpaceDN w:val="0"/>
        <w:ind w:left="118"/>
        <w:jc w:val="center"/>
        <w:rPr>
          <w:rFonts w:ascii="Verdana" w:hAnsi="Verdana"/>
          <w:lang w:val="es-CO"/>
        </w:rPr>
      </w:pPr>
      <w:r w:rsidRPr="00DB5DE6">
        <w:rPr>
          <w:rFonts w:ascii="Verdana" w:hAnsi="Verdana"/>
          <w:lang w:val="es-CO"/>
        </w:rPr>
        <w:t xml:space="preserve">Versión: </w:t>
      </w:r>
      <w:r w:rsidR="00CF5E55" w:rsidRPr="00DB5DE6">
        <w:rPr>
          <w:rFonts w:ascii="Verdana" w:hAnsi="Verdana"/>
          <w:lang w:val="es-CO"/>
        </w:rPr>
        <w:t>7</w:t>
      </w:r>
      <w:r w:rsidRPr="00DB5DE6">
        <w:rPr>
          <w:rFonts w:ascii="Verdana" w:hAnsi="Verdana"/>
          <w:lang w:val="es-CO"/>
        </w:rPr>
        <w:t xml:space="preserve">.0, Fecha: </w:t>
      </w:r>
      <w:r w:rsidR="00CF5E55" w:rsidRPr="00DB5DE6">
        <w:rPr>
          <w:rFonts w:ascii="Verdana" w:hAnsi="Verdana"/>
          <w:lang w:val="es-CO"/>
        </w:rPr>
        <w:t>17</w:t>
      </w:r>
      <w:r w:rsidRPr="00DB5DE6">
        <w:rPr>
          <w:rFonts w:ascii="Verdana" w:hAnsi="Verdana"/>
          <w:lang w:val="es-CO"/>
        </w:rPr>
        <w:t>/0</w:t>
      </w:r>
      <w:r w:rsidR="00CF5E55" w:rsidRPr="00DB5DE6">
        <w:rPr>
          <w:rFonts w:ascii="Verdana" w:hAnsi="Verdana"/>
          <w:lang w:val="es-CO"/>
        </w:rPr>
        <w:t>7</w:t>
      </w:r>
      <w:r w:rsidRPr="00DB5DE6">
        <w:rPr>
          <w:rFonts w:ascii="Verdana" w:hAnsi="Verdana"/>
          <w:lang w:val="es-CO"/>
        </w:rPr>
        <w:t>/202</w:t>
      </w:r>
      <w:r w:rsidR="00CF5E55" w:rsidRPr="00DB5DE6">
        <w:rPr>
          <w:rFonts w:ascii="Verdana" w:hAnsi="Verdana"/>
          <w:lang w:val="es-CO"/>
        </w:rPr>
        <w:t>4</w:t>
      </w:r>
      <w:r w:rsidRPr="00DB5DE6">
        <w:rPr>
          <w:rFonts w:ascii="Verdana" w:hAnsi="Verdana"/>
          <w:lang w:val="es-CO"/>
        </w:rPr>
        <w:t>, Código: GPV-F-19</w:t>
      </w:r>
    </w:p>
    <w:p w14:paraId="608D8AA2" w14:textId="77777777" w:rsidR="007A213E" w:rsidRPr="00DB5DE6" w:rsidRDefault="007A213E">
      <w:pPr>
        <w:rPr>
          <w:rFonts w:ascii="Verdana" w:hAnsi="Verdana"/>
          <w:lang w:val="es-CO"/>
        </w:rPr>
      </w:pPr>
    </w:p>
    <w:p w14:paraId="310C64A3" w14:textId="77777777" w:rsidR="007A213E" w:rsidRPr="00DB5DE6" w:rsidRDefault="007A213E">
      <w:pPr>
        <w:rPr>
          <w:rFonts w:ascii="Verdana" w:hAnsi="Verdana"/>
          <w:lang w:val="es-CO"/>
        </w:rPr>
      </w:pPr>
    </w:p>
    <w:tbl>
      <w:tblPr>
        <w:tblW w:w="10770" w:type="dxa"/>
        <w:tblInd w:w="-639"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3590"/>
        <w:gridCol w:w="3590"/>
        <w:gridCol w:w="3590"/>
      </w:tblGrid>
      <w:tr w:rsidR="005C4522" w:rsidRPr="00DB5DE6" w14:paraId="37E2B958" w14:textId="77777777" w:rsidTr="187EA5DE">
        <w:trPr>
          <w:trHeight w:val="300"/>
        </w:trPr>
        <w:tc>
          <w:tcPr>
            <w:tcW w:w="3590" w:type="dxa"/>
            <w:tcBorders>
              <w:top w:val="single" w:sz="4" w:space="0" w:color="auto"/>
              <w:bottom w:val="single" w:sz="4" w:space="0" w:color="auto"/>
              <w:right w:val="single" w:sz="4" w:space="0" w:color="auto"/>
            </w:tcBorders>
            <w:shd w:val="clear" w:color="auto" w:fill="auto"/>
            <w:vAlign w:val="center"/>
          </w:tcPr>
          <w:p w14:paraId="437D8E64" w14:textId="77777777" w:rsidR="0026513E" w:rsidRPr="00DB5DE6" w:rsidRDefault="00795C6B" w:rsidP="002264B8">
            <w:pPr>
              <w:pStyle w:val="Ttulo2"/>
              <w:ind w:right="72"/>
              <w:jc w:val="left"/>
              <w:rPr>
                <w:rFonts w:ascii="Verdana" w:hAnsi="Verdana" w:cs="Arial"/>
                <w:bCs/>
                <w:lang w:val="es-CO"/>
              </w:rPr>
            </w:pPr>
            <w:r w:rsidRPr="00DB5DE6">
              <w:rPr>
                <w:rFonts w:ascii="Verdana" w:hAnsi="Verdana" w:cs="Arial"/>
                <w:lang w:val="es-CO"/>
              </w:rPr>
              <w:t>Entidad</w:t>
            </w:r>
            <w:r w:rsidR="00086B16" w:rsidRPr="00DB5DE6">
              <w:rPr>
                <w:rFonts w:ascii="Verdana" w:hAnsi="Verdana" w:cs="Arial"/>
                <w:lang w:val="es-CO"/>
              </w:rPr>
              <w:t xml:space="preserve"> </w:t>
            </w:r>
            <w:r w:rsidRPr="00DB5DE6">
              <w:rPr>
                <w:rFonts w:ascii="Verdana" w:hAnsi="Verdana" w:cs="Arial"/>
                <w:lang w:val="es-CO"/>
              </w:rPr>
              <w:t>originadora</w:t>
            </w:r>
            <w:r w:rsidR="00293F29" w:rsidRPr="00DB5DE6">
              <w:rPr>
                <w:rFonts w:ascii="Verdana" w:hAnsi="Verdana" w:cs="Arial"/>
                <w:lang w:val="es-CO"/>
              </w:rPr>
              <w:t>:</w:t>
            </w:r>
          </w:p>
        </w:tc>
        <w:tc>
          <w:tcPr>
            <w:tcW w:w="7180" w:type="dxa"/>
            <w:gridSpan w:val="2"/>
            <w:tcBorders>
              <w:top w:val="single" w:sz="4" w:space="0" w:color="auto"/>
              <w:left w:val="single" w:sz="4" w:space="0" w:color="auto"/>
              <w:bottom w:val="single" w:sz="4" w:space="0" w:color="auto"/>
            </w:tcBorders>
            <w:shd w:val="clear" w:color="auto" w:fill="FFFFFF" w:themeFill="background1"/>
            <w:vAlign w:val="center"/>
          </w:tcPr>
          <w:p w14:paraId="42CC6F9D" w14:textId="77777777" w:rsidR="0026513E" w:rsidRPr="00DB5DE6" w:rsidRDefault="00281536" w:rsidP="00B30164">
            <w:pPr>
              <w:pStyle w:val="Ttulo2"/>
              <w:ind w:left="72" w:right="72"/>
              <w:jc w:val="both"/>
              <w:rPr>
                <w:rFonts w:ascii="Verdana" w:hAnsi="Verdana" w:cs="Arial"/>
                <w:b w:val="0"/>
                <w:i/>
                <w:lang w:val="es-CO"/>
              </w:rPr>
            </w:pPr>
            <w:r w:rsidRPr="00DB5DE6">
              <w:rPr>
                <w:rFonts w:ascii="Verdana" w:hAnsi="Verdana" w:cs="Arial"/>
                <w:b w:val="0"/>
                <w:iCs/>
                <w:lang w:val="es-CO"/>
              </w:rPr>
              <w:t>Ministerio de Vivienda, Ciudad y Territorio</w:t>
            </w:r>
          </w:p>
        </w:tc>
      </w:tr>
      <w:tr w:rsidR="005C4522" w:rsidRPr="00DB5DE6" w14:paraId="3C849DC7" w14:textId="77777777" w:rsidTr="187EA5DE">
        <w:trPr>
          <w:trHeight w:val="300"/>
        </w:trPr>
        <w:tc>
          <w:tcPr>
            <w:tcW w:w="3590" w:type="dxa"/>
            <w:tcBorders>
              <w:top w:val="single" w:sz="4" w:space="0" w:color="auto"/>
              <w:bottom w:val="single" w:sz="4" w:space="0" w:color="auto"/>
              <w:right w:val="single" w:sz="4" w:space="0" w:color="auto"/>
            </w:tcBorders>
            <w:shd w:val="clear" w:color="auto" w:fill="auto"/>
            <w:vAlign w:val="center"/>
          </w:tcPr>
          <w:p w14:paraId="0FED409C" w14:textId="77777777" w:rsidR="00C47F73" w:rsidRPr="00DB5DE6" w:rsidRDefault="0026513E" w:rsidP="002264B8">
            <w:pPr>
              <w:pStyle w:val="Ttulo2"/>
              <w:ind w:right="72"/>
              <w:jc w:val="left"/>
              <w:rPr>
                <w:rFonts w:ascii="Verdana" w:hAnsi="Verdana" w:cs="Arial"/>
                <w:bCs/>
                <w:lang w:val="es-CO"/>
              </w:rPr>
            </w:pPr>
            <w:r w:rsidRPr="00DB5DE6">
              <w:rPr>
                <w:rFonts w:ascii="Verdana" w:hAnsi="Verdana" w:cs="Arial"/>
                <w:bCs/>
                <w:lang w:val="es-CO"/>
              </w:rPr>
              <w:t>Fecha</w:t>
            </w:r>
            <w:r w:rsidR="00BB545F" w:rsidRPr="00DB5DE6">
              <w:rPr>
                <w:rFonts w:ascii="Verdana" w:hAnsi="Verdana" w:cs="Arial"/>
                <w:bCs/>
                <w:lang w:val="es-CO"/>
              </w:rPr>
              <w:t xml:space="preserve"> (</w:t>
            </w:r>
            <w:proofErr w:type="spellStart"/>
            <w:r w:rsidR="00BB545F" w:rsidRPr="00DB5DE6">
              <w:rPr>
                <w:rFonts w:ascii="Verdana" w:hAnsi="Verdana" w:cs="Arial"/>
                <w:bCs/>
                <w:lang w:val="es-CO"/>
              </w:rPr>
              <w:t>dd</w:t>
            </w:r>
            <w:proofErr w:type="spellEnd"/>
            <w:r w:rsidR="00BB545F" w:rsidRPr="00DB5DE6">
              <w:rPr>
                <w:rFonts w:ascii="Verdana" w:hAnsi="Verdana" w:cs="Arial"/>
                <w:bCs/>
                <w:lang w:val="es-CO"/>
              </w:rPr>
              <w:t>/mm/</w:t>
            </w:r>
            <w:proofErr w:type="spellStart"/>
            <w:r w:rsidR="00BB545F" w:rsidRPr="00DB5DE6">
              <w:rPr>
                <w:rFonts w:ascii="Verdana" w:hAnsi="Verdana" w:cs="Arial"/>
                <w:bCs/>
                <w:lang w:val="es-CO"/>
              </w:rPr>
              <w:t>aa</w:t>
            </w:r>
            <w:proofErr w:type="spellEnd"/>
            <w:r w:rsidR="00BB545F" w:rsidRPr="00DB5DE6">
              <w:rPr>
                <w:rFonts w:ascii="Verdana" w:hAnsi="Verdana" w:cs="Arial"/>
                <w:bCs/>
                <w:lang w:val="es-CO"/>
              </w:rPr>
              <w:t>)</w:t>
            </w:r>
            <w:r w:rsidR="00293F29" w:rsidRPr="00DB5DE6">
              <w:rPr>
                <w:rFonts w:ascii="Verdana" w:hAnsi="Verdana" w:cs="Arial"/>
                <w:bCs/>
                <w:lang w:val="es-CO"/>
              </w:rPr>
              <w:t>:</w:t>
            </w:r>
          </w:p>
        </w:tc>
        <w:tc>
          <w:tcPr>
            <w:tcW w:w="7180" w:type="dxa"/>
            <w:gridSpan w:val="2"/>
            <w:tcBorders>
              <w:top w:val="single" w:sz="4" w:space="0" w:color="auto"/>
              <w:left w:val="single" w:sz="4" w:space="0" w:color="auto"/>
              <w:bottom w:val="single" w:sz="4" w:space="0" w:color="auto"/>
            </w:tcBorders>
            <w:shd w:val="clear" w:color="auto" w:fill="FFFFFF" w:themeFill="background1"/>
            <w:vAlign w:val="center"/>
          </w:tcPr>
          <w:p w14:paraId="1BD459C5" w14:textId="77777777" w:rsidR="00C47F73" w:rsidRPr="00DB5DE6" w:rsidRDefault="00795C6B" w:rsidP="00B30164">
            <w:pPr>
              <w:pStyle w:val="Ttulo2"/>
              <w:ind w:left="72" w:right="72"/>
              <w:jc w:val="both"/>
              <w:rPr>
                <w:rFonts w:ascii="Verdana" w:hAnsi="Verdana" w:cs="Arial"/>
                <w:b w:val="0"/>
                <w:color w:val="FF0000"/>
                <w:lang w:val="es-CO"/>
              </w:rPr>
            </w:pPr>
            <w:r w:rsidRPr="00DB5DE6">
              <w:rPr>
                <w:rFonts w:ascii="Verdana" w:hAnsi="Verdana" w:cs="Arial"/>
                <w:b w:val="0"/>
                <w:i/>
                <w:color w:val="FF0000"/>
                <w:lang w:val="es-CO"/>
              </w:rPr>
              <w:t>Indique la fecha en que se presenta a Secretaría Jurídica de Presidencia</w:t>
            </w:r>
          </w:p>
        </w:tc>
      </w:tr>
      <w:tr w:rsidR="005C4522" w:rsidRPr="00DB5DE6" w14:paraId="5F676465" w14:textId="77777777" w:rsidTr="187EA5DE">
        <w:trPr>
          <w:trHeight w:val="300"/>
        </w:trPr>
        <w:tc>
          <w:tcPr>
            <w:tcW w:w="3590" w:type="dxa"/>
            <w:tcBorders>
              <w:top w:val="single" w:sz="4" w:space="0" w:color="auto"/>
              <w:bottom w:val="single" w:sz="4" w:space="0" w:color="auto"/>
              <w:right w:val="single" w:sz="4" w:space="0" w:color="auto"/>
            </w:tcBorders>
            <w:shd w:val="clear" w:color="auto" w:fill="auto"/>
            <w:vAlign w:val="center"/>
          </w:tcPr>
          <w:p w14:paraId="46A5B282" w14:textId="77777777" w:rsidR="0059316B" w:rsidRPr="00DB5DE6" w:rsidRDefault="00A55DB6" w:rsidP="002264B8">
            <w:pPr>
              <w:pStyle w:val="Ttulo2"/>
              <w:ind w:right="72"/>
              <w:jc w:val="left"/>
              <w:rPr>
                <w:rFonts w:ascii="Verdana" w:hAnsi="Verdana" w:cs="Arial"/>
                <w:bCs/>
                <w:lang w:val="es-CO"/>
              </w:rPr>
            </w:pPr>
            <w:r w:rsidRPr="00DB5DE6">
              <w:rPr>
                <w:rFonts w:ascii="Verdana" w:hAnsi="Verdana" w:cs="Arial"/>
                <w:bCs/>
                <w:lang w:val="es-CO"/>
              </w:rPr>
              <w:t xml:space="preserve">Proyecto de </w:t>
            </w:r>
            <w:r w:rsidR="00587695" w:rsidRPr="00DB5DE6">
              <w:rPr>
                <w:rFonts w:ascii="Verdana" w:hAnsi="Verdana" w:cs="Arial"/>
                <w:bCs/>
                <w:lang w:val="es-CO"/>
              </w:rPr>
              <w:t>D</w:t>
            </w:r>
            <w:r w:rsidRPr="00DB5DE6">
              <w:rPr>
                <w:rFonts w:ascii="Verdana" w:hAnsi="Verdana" w:cs="Arial"/>
                <w:bCs/>
                <w:lang w:val="es-CO"/>
              </w:rPr>
              <w:t>ecreto</w:t>
            </w:r>
            <w:r w:rsidR="00795C6B" w:rsidRPr="00DB5DE6">
              <w:rPr>
                <w:rFonts w:ascii="Verdana" w:hAnsi="Verdana" w:cs="Arial"/>
                <w:bCs/>
                <w:lang w:val="es-CO"/>
              </w:rPr>
              <w:t>/Resolución</w:t>
            </w:r>
            <w:r w:rsidR="00293F29" w:rsidRPr="00DB5DE6">
              <w:rPr>
                <w:rFonts w:ascii="Verdana" w:hAnsi="Verdana" w:cs="Arial"/>
                <w:bCs/>
                <w:lang w:val="es-CO"/>
              </w:rPr>
              <w:t>:</w:t>
            </w:r>
          </w:p>
        </w:tc>
        <w:tc>
          <w:tcPr>
            <w:tcW w:w="7180" w:type="dxa"/>
            <w:gridSpan w:val="2"/>
            <w:tcBorders>
              <w:top w:val="single" w:sz="4" w:space="0" w:color="auto"/>
              <w:left w:val="single" w:sz="4" w:space="0" w:color="auto"/>
              <w:bottom w:val="single" w:sz="4" w:space="0" w:color="auto"/>
            </w:tcBorders>
            <w:shd w:val="clear" w:color="auto" w:fill="FFFFFF" w:themeFill="background1"/>
            <w:vAlign w:val="center"/>
          </w:tcPr>
          <w:p w14:paraId="5DBE0F8C" w14:textId="13090F68" w:rsidR="001F238A" w:rsidRPr="00DB5DE6" w:rsidRDefault="00824DBF" w:rsidP="002F27FB">
            <w:pPr>
              <w:pStyle w:val="Ttulo2"/>
              <w:ind w:left="72" w:right="72"/>
              <w:jc w:val="left"/>
              <w:rPr>
                <w:rFonts w:ascii="Verdana" w:hAnsi="Verdana" w:cs="Arial"/>
                <w:i/>
                <w:spacing w:val="-3"/>
                <w:lang w:val="es-CO"/>
              </w:rPr>
            </w:pPr>
            <w:r w:rsidRPr="00824DBF">
              <w:rPr>
                <w:rFonts w:ascii="Verdana" w:hAnsi="Verdana" w:cs="Arial"/>
                <w:b w:val="0"/>
                <w:i/>
                <w:lang w:val="es-CO"/>
              </w:rPr>
              <w:t>“Por el cual se modifican y/o adicionan los artículos 2.1.1.1.1.1.2, 2.1.1.1.1.1.7, 2.1.1.1.1.1.8, 2.1.1.1.13.3, 2.1.1.1.13.4, 2.1.1.4.1.1.1, 2.1.1.4.1.2.1, 2.1.1.4.1.2.2, 2.1.1.4.1.2.3, 2.1.1.4.1.2.3, 2.1.1.4.1.3.1, 2.1.1.4.1.3.2, 2.1.1.4.1.3.3, 2.1.1.4.1.4.1, 2.1.1.4.1.4.2, 2.1.1.4.2.1, 2.1.1.4.2.3, 2.1.1.4.2.4, 2.1.1.4.2.6, 2.1.1.4.2.7, 2.1.1.4.2.8, 2.1.1.4.2.10, 2.1.1.4.2.11, 2.1.1.6.7.6, 2.1.1.8.3, 2.1.1.8.5, 2.1.1.9.10 y 2.1.1.9.13 del Decreto 1077 de 2015 Único Reglamentario del Sector Vivienda, Ciudad y Territorio.”</w:t>
            </w:r>
          </w:p>
        </w:tc>
      </w:tr>
      <w:tr w:rsidR="00DF60FD" w:rsidRPr="00DB5DE6" w14:paraId="2FD3726B" w14:textId="77777777" w:rsidTr="187EA5DE">
        <w:trPr>
          <w:trHeight w:val="300"/>
        </w:trPr>
        <w:tc>
          <w:tcPr>
            <w:tcW w:w="10770" w:type="dxa"/>
            <w:gridSpan w:val="3"/>
            <w:tcBorders>
              <w:top w:val="single" w:sz="4" w:space="0" w:color="auto"/>
            </w:tcBorders>
            <w:shd w:val="clear" w:color="auto" w:fill="FFFFFF" w:themeFill="background1"/>
            <w:vAlign w:val="center"/>
          </w:tcPr>
          <w:p w14:paraId="1C835E2B" w14:textId="77777777" w:rsidR="006315B4" w:rsidRPr="00DB5DE6" w:rsidRDefault="006315B4" w:rsidP="0075705D">
            <w:pPr>
              <w:autoSpaceDE w:val="0"/>
              <w:autoSpaceDN w:val="0"/>
              <w:adjustRightInd w:val="0"/>
              <w:jc w:val="both"/>
              <w:rPr>
                <w:rFonts w:ascii="Verdana" w:eastAsia="Calibri" w:hAnsi="Verdana" w:cs="Arial"/>
                <w:lang w:val="es-CO" w:eastAsia="en-US"/>
              </w:rPr>
            </w:pPr>
          </w:p>
          <w:p w14:paraId="76C06B8A" w14:textId="3015F76D" w:rsidR="0095690D" w:rsidRPr="00DB5DE6" w:rsidRDefault="0095690D" w:rsidP="4B7B3067">
            <w:pPr>
              <w:numPr>
                <w:ilvl w:val="0"/>
                <w:numId w:val="3"/>
              </w:numPr>
              <w:ind w:left="494"/>
              <w:rPr>
                <w:rFonts w:ascii="Verdana" w:hAnsi="Verdana" w:cs="Arial"/>
                <w:b/>
                <w:bCs/>
                <w:color w:val="000000"/>
                <w:lang w:val="es-CO"/>
              </w:rPr>
            </w:pPr>
            <w:r w:rsidRPr="4E5B3801">
              <w:rPr>
                <w:rFonts w:ascii="Verdana" w:hAnsi="Verdana" w:cs="Arial"/>
                <w:b/>
                <w:bCs/>
                <w:color w:val="000000" w:themeColor="text1"/>
                <w:lang w:val="es-CO"/>
              </w:rPr>
              <w:t>ANTECEDENTES Y RAZONES DE OPORTUNIDAD Y CONVENIENCIA QUE JUSTIFICAN SU EXPEDICIÓN.</w:t>
            </w:r>
          </w:p>
          <w:p w14:paraId="4EEA77C1" w14:textId="77777777" w:rsidR="00A72D56" w:rsidRPr="00DB5DE6" w:rsidRDefault="00A72D56" w:rsidP="00FF5312">
            <w:pPr>
              <w:jc w:val="both"/>
              <w:rPr>
                <w:rFonts w:ascii="Verdana" w:hAnsi="Verdana"/>
                <w:bCs/>
                <w:lang w:val="es-CO"/>
              </w:rPr>
            </w:pPr>
          </w:p>
          <w:p w14:paraId="1401133D" w14:textId="77777777" w:rsidR="00CF0544" w:rsidRPr="00DB5DE6" w:rsidRDefault="00CF0544" w:rsidP="00FF5312">
            <w:pPr>
              <w:jc w:val="both"/>
              <w:rPr>
                <w:rFonts w:ascii="Verdana" w:hAnsi="Verdana"/>
                <w:bCs/>
                <w:lang w:val="es-CO"/>
              </w:rPr>
            </w:pPr>
            <w:r w:rsidRPr="00DB5DE6">
              <w:rPr>
                <w:rFonts w:ascii="Verdana" w:hAnsi="Verdana"/>
                <w:bCs/>
                <w:lang w:val="es-CO"/>
              </w:rPr>
              <w:t>El artículo 51 de la Constitución Política de Colombia establece que todos los colombianos tienen derecho a una vivienda digna y que el Estado fijará las condiciones para hacer efectivo ese derecho.</w:t>
            </w:r>
          </w:p>
          <w:p w14:paraId="084BC2C3" w14:textId="77777777" w:rsidR="0039795A" w:rsidRPr="00DB5DE6" w:rsidRDefault="0039795A" w:rsidP="00FF5312">
            <w:pPr>
              <w:jc w:val="both"/>
              <w:rPr>
                <w:rFonts w:ascii="Verdana" w:hAnsi="Verdana"/>
                <w:bCs/>
                <w:lang w:val="es-CO"/>
              </w:rPr>
            </w:pPr>
          </w:p>
          <w:p w14:paraId="5D7B5DC6" w14:textId="77777777" w:rsidR="0039795A" w:rsidRDefault="0039795A" w:rsidP="00AF56A5">
            <w:pPr>
              <w:jc w:val="both"/>
              <w:rPr>
                <w:rFonts w:ascii="Verdana" w:hAnsi="Verdana"/>
                <w:bCs/>
                <w:lang w:val="es-CO"/>
              </w:rPr>
            </w:pPr>
            <w:r w:rsidRPr="00DB5DE6">
              <w:rPr>
                <w:rFonts w:ascii="Verdana" w:hAnsi="Verdana"/>
                <w:bCs/>
                <w:lang w:val="es-CO"/>
              </w:rPr>
              <w:t>El artículo 91 de la Ley 388 de</w:t>
            </w:r>
            <w:r w:rsidR="00BE5853" w:rsidRPr="00DB5DE6">
              <w:rPr>
                <w:rFonts w:ascii="Verdana" w:hAnsi="Verdana"/>
                <w:bCs/>
                <w:lang w:val="es-CO"/>
              </w:rPr>
              <w:t>l 18 de julio de</w:t>
            </w:r>
            <w:r w:rsidRPr="00DB5DE6">
              <w:rPr>
                <w:rFonts w:ascii="Verdana" w:hAnsi="Verdana"/>
                <w:bCs/>
                <w:lang w:val="es-CO"/>
              </w:rPr>
              <w:t xml:space="preserve"> 1997, definió a la vivienda de interés social como aquella que se desarrolla para garantizar el derecho a la vivienda de los hogares de menores ingresos.</w:t>
            </w:r>
          </w:p>
          <w:p w14:paraId="60C951D7" w14:textId="77777777" w:rsidR="00B60EC5" w:rsidRDefault="00B60EC5" w:rsidP="00AF56A5">
            <w:pPr>
              <w:jc w:val="both"/>
              <w:rPr>
                <w:rFonts w:ascii="Verdana" w:hAnsi="Verdana"/>
                <w:bCs/>
                <w:lang w:val="es-CO"/>
              </w:rPr>
            </w:pPr>
          </w:p>
          <w:p w14:paraId="265587F0" w14:textId="77777777" w:rsidR="00B60EC5" w:rsidRPr="00DB5DE6" w:rsidRDefault="00B60EC5" w:rsidP="00AF56A5">
            <w:pPr>
              <w:jc w:val="both"/>
              <w:rPr>
                <w:rFonts w:ascii="Verdana" w:hAnsi="Verdana"/>
                <w:bCs/>
                <w:lang w:val="es-CO"/>
              </w:rPr>
            </w:pPr>
            <w:r w:rsidRPr="00DB5DE6">
              <w:rPr>
                <w:rFonts w:ascii="Verdana" w:hAnsi="Verdana"/>
                <w:lang w:val="es-CO"/>
              </w:rPr>
              <w:t xml:space="preserve">Colombia </w:t>
            </w:r>
            <w:r>
              <w:rPr>
                <w:rFonts w:ascii="Verdana" w:hAnsi="Verdana"/>
                <w:lang w:val="es-CO"/>
              </w:rPr>
              <w:t xml:space="preserve">como </w:t>
            </w:r>
            <w:r w:rsidRPr="00DB5DE6">
              <w:rPr>
                <w:rFonts w:ascii="Verdana" w:hAnsi="Verdana"/>
                <w:lang w:val="es-CO"/>
              </w:rPr>
              <w:t>Estado Social de Derecho</w:t>
            </w:r>
            <w:r>
              <w:rPr>
                <w:rFonts w:ascii="Verdana" w:hAnsi="Verdana"/>
                <w:lang w:val="es-CO"/>
              </w:rPr>
              <w:t>,</w:t>
            </w:r>
            <w:r w:rsidRPr="00DB5DE6">
              <w:rPr>
                <w:rFonts w:ascii="Verdana" w:hAnsi="Verdana"/>
                <w:lang w:val="es-CO"/>
              </w:rPr>
              <w:t xml:space="preserve"> debe garantizar un trato igualitario para todos; </w:t>
            </w:r>
            <w:r>
              <w:rPr>
                <w:rFonts w:ascii="Verdana" w:hAnsi="Verdana"/>
                <w:lang w:val="es-CO"/>
              </w:rPr>
              <w:t>sin embargo</w:t>
            </w:r>
            <w:r w:rsidRPr="00DB5DE6">
              <w:rPr>
                <w:rFonts w:ascii="Verdana" w:hAnsi="Verdana"/>
                <w:lang w:val="es-CO"/>
              </w:rPr>
              <w:t xml:space="preserve">, </w:t>
            </w:r>
            <w:r>
              <w:rPr>
                <w:rFonts w:ascii="Verdana" w:hAnsi="Verdana"/>
                <w:lang w:val="es-CO"/>
              </w:rPr>
              <w:t xml:space="preserve">debido a que </w:t>
            </w:r>
            <w:r w:rsidRPr="00DB5DE6">
              <w:rPr>
                <w:rFonts w:ascii="Verdana" w:hAnsi="Verdana"/>
                <w:lang w:val="es-CO"/>
              </w:rPr>
              <w:t xml:space="preserve">no todas las personas </w:t>
            </w:r>
            <w:r>
              <w:rPr>
                <w:rFonts w:ascii="Verdana" w:hAnsi="Verdana"/>
                <w:lang w:val="es-CO"/>
              </w:rPr>
              <w:t>cuentan con las mismas</w:t>
            </w:r>
            <w:r w:rsidRPr="00DB5DE6">
              <w:rPr>
                <w:rFonts w:ascii="Verdana" w:hAnsi="Verdana"/>
                <w:lang w:val="es-CO"/>
              </w:rPr>
              <w:t xml:space="preserve"> condiciones, </w:t>
            </w:r>
            <w:r>
              <w:rPr>
                <w:rFonts w:ascii="Verdana" w:hAnsi="Verdana"/>
                <w:lang w:val="es-CO"/>
              </w:rPr>
              <w:t xml:space="preserve">es esencial que el Estado brinde </w:t>
            </w:r>
            <w:r w:rsidRPr="00DB5DE6">
              <w:rPr>
                <w:rFonts w:ascii="Verdana" w:hAnsi="Verdana"/>
                <w:lang w:val="es-CO"/>
              </w:rPr>
              <w:t>un trato diferen</w:t>
            </w:r>
            <w:r>
              <w:rPr>
                <w:rFonts w:ascii="Verdana" w:hAnsi="Verdana"/>
                <w:lang w:val="es-CO"/>
              </w:rPr>
              <w:t>ciado a aquellos en situación de</w:t>
            </w:r>
            <w:r w:rsidRPr="00DB5DE6">
              <w:rPr>
                <w:rFonts w:ascii="Verdana" w:hAnsi="Verdana"/>
                <w:lang w:val="es-CO"/>
              </w:rPr>
              <w:t xml:space="preserve"> mayor vulnerabilidad</w:t>
            </w:r>
            <w:r>
              <w:rPr>
                <w:rFonts w:ascii="Verdana" w:hAnsi="Verdana"/>
                <w:lang w:val="es-CO"/>
              </w:rPr>
              <w:t>.</w:t>
            </w:r>
            <w:r w:rsidRPr="00DB5DE6">
              <w:rPr>
                <w:rFonts w:ascii="Verdana" w:hAnsi="Verdana"/>
                <w:lang w:val="es-CO"/>
              </w:rPr>
              <w:t xml:space="preserve"> </w:t>
            </w:r>
            <w:r>
              <w:rPr>
                <w:rFonts w:ascii="Verdana" w:hAnsi="Verdana"/>
                <w:lang w:val="es-CO"/>
              </w:rPr>
              <w:t xml:space="preserve">Esto implica </w:t>
            </w:r>
            <w:r w:rsidRPr="00DB5DE6">
              <w:rPr>
                <w:rFonts w:ascii="Verdana" w:hAnsi="Verdana"/>
                <w:lang w:val="es-CO"/>
              </w:rPr>
              <w:t xml:space="preserve">implementar acciones </w:t>
            </w:r>
            <w:r>
              <w:rPr>
                <w:rFonts w:ascii="Verdana" w:hAnsi="Verdana"/>
                <w:lang w:val="es-CO"/>
              </w:rPr>
              <w:t>que respondan a</w:t>
            </w:r>
            <w:r w:rsidRPr="00DB5DE6">
              <w:rPr>
                <w:rFonts w:ascii="Verdana" w:hAnsi="Verdana"/>
                <w:lang w:val="es-CO"/>
              </w:rPr>
              <w:t xml:space="preserve"> las necesidades, diferencias y desigualdades de </w:t>
            </w:r>
            <w:r>
              <w:rPr>
                <w:rFonts w:ascii="Verdana" w:hAnsi="Verdana"/>
                <w:lang w:val="es-CO"/>
              </w:rPr>
              <w:t>estos grupos</w:t>
            </w:r>
            <w:r w:rsidRPr="00DB5DE6">
              <w:rPr>
                <w:rFonts w:ascii="Verdana" w:hAnsi="Verdana"/>
                <w:lang w:val="es-CO"/>
              </w:rPr>
              <w:t xml:space="preserve">. </w:t>
            </w:r>
            <w:r>
              <w:rPr>
                <w:rFonts w:ascii="Verdana" w:hAnsi="Verdana"/>
                <w:lang w:val="es-CO"/>
              </w:rPr>
              <w:t xml:space="preserve">Este enfoque </w:t>
            </w:r>
            <w:r w:rsidRPr="00DB5DE6">
              <w:rPr>
                <w:rFonts w:ascii="Verdana" w:hAnsi="Verdana"/>
                <w:lang w:val="es-CO"/>
              </w:rPr>
              <w:t>diferenciado contribuye a reducir la</w:t>
            </w:r>
            <w:r>
              <w:rPr>
                <w:rFonts w:ascii="Verdana" w:hAnsi="Verdana"/>
                <w:lang w:val="es-CO"/>
              </w:rPr>
              <w:t>s</w:t>
            </w:r>
            <w:r w:rsidRPr="00DB5DE6">
              <w:rPr>
                <w:rFonts w:ascii="Verdana" w:hAnsi="Verdana"/>
                <w:lang w:val="es-CO"/>
              </w:rPr>
              <w:t xml:space="preserve"> brecha</w:t>
            </w:r>
            <w:r>
              <w:rPr>
                <w:rFonts w:ascii="Verdana" w:hAnsi="Verdana"/>
                <w:lang w:val="es-CO"/>
              </w:rPr>
              <w:t>s</w:t>
            </w:r>
            <w:r w:rsidRPr="00DB5DE6">
              <w:rPr>
                <w:rFonts w:ascii="Verdana" w:hAnsi="Verdana"/>
                <w:lang w:val="es-CO"/>
              </w:rPr>
              <w:t xml:space="preserve"> existente</w:t>
            </w:r>
            <w:r>
              <w:rPr>
                <w:rFonts w:ascii="Verdana" w:hAnsi="Verdana"/>
                <w:lang w:val="es-CO"/>
              </w:rPr>
              <w:t>s</w:t>
            </w:r>
            <w:r w:rsidRPr="00DB5DE6">
              <w:rPr>
                <w:rFonts w:ascii="Verdana" w:hAnsi="Verdana"/>
                <w:lang w:val="es-CO"/>
              </w:rPr>
              <w:t xml:space="preserve"> entre los </w:t>
            </w:r>
            <w:r>
              <w:rPr>
                <w:rFonts w:ascii="Verdana" w:hAnsi="Verdana"/>
                <w:lang w:val="es-CO"/>
              </w:rPr>
              <w:t xml:space="preserve">diversos sectores </w:t>
            </w:r>
            <w:r w:rsidRPr="00DB5DE6">
              <w:rPr>
                <w:rFonts w:ascii="Verdana" w:hAnsi="Verdana"/>
                <w:lang w:val="es-CO"/>
              </w:rPr>
              <w:t>de la población y garantiza la superación de la exclusión social, la marginalidad política y la desigualdad económica</w:t>
            </w:r>
            <w:r>
              <w:rPr>
                <w:rFonts w:ascii="Verdana" w:hAnsi="Verdana"/>
                <w:lang w:val="es-CO"/>
              </w:rPr>
              <w:t>.</w:t>
            </w:r>
          </w:p>
          <w:p w14:paraId="3A4CCC11" w14:textId="77777777" w:rsidR="009500D8" w:rsidRPr="00DB5DE6" w:rsidRDefault="009500D8" w:rsidP="00FF5312">
            <w:pPr>
              <w:jc w:val="both"/>
              <w:rPr>
                <w:rFonts w:ascii="Verdana" w:hAnsi="Verdana"/>
                <w:bCs/>
                <w:lang w:val="es-CO"/>
              </w:rPr>
            </w:pPr>
          </w:p>
          <w:p w14:paraId="2F3D85C3" w14:textId="77777777" w:rsidR="00EF1349" w:rsidRDefault="00D00E74" w:rsidP="00FF5312">
            <w:pPr>
              <w:jc w:val="both"/>
              <w:rPr>
                <w:rFonts w:ascii="Verdana" w:hAnsi="Verdana"/>
                <w:lang w:val="es-CO"/>
              </w:rPr>
            </w:pPr>
            <w:r w:rsidRPr="00DB5DE6">
              <w:rPr>
                <w:rFonts w:ascii="Verdana" w:hAnsi="Verdana"/>
                <w:bCs/>
                <w:lang w:val="es-CO"/>
              </w:rPr>
              <w:t xml:space="preserve">El </w:t>
            </w:r>
            <w:r w:rsidR="000B1EAF">
              <w:rPr>
                <w:rFonts w:ascii="Verdana" w:hAnsi="Verdana"/>
                <w:bCs/>
                <w:lang w:val="es-CO"/>
              </w:rPr>
              <w:t>C</w:t>
            </w:r>
            <w:r w:rsidRPr="00DB5DE6">
              <w:rPr>
                <w:rFonts w:ascii="Verdana" w:hAnsi="Verdana"/>
                <w:bCs/>
                <w:lang w:val="es-CO"/>
              </w:rPr>
              <w:t>apítulo 4°</w:t>
            </w:r>
            <w:r w:rsidR="000B1EAF">
              <w:rPr>
                <w:rFonts w:ascii="Verdana" w:hAnsi="Verdana"/>
                <w:bCs/>
                <w:lang w:val="es-CO"/>
              </w:rPr>
              <w:t xml:space="preserve"> de la Parte 1 del Libro 2</w:t>
            </w:r>
            <w:r w:rsidRPr="00DB5DE6">
              <w:rPr>
                <w:rFonts w:ascii="Verdana" w:hAnsi="Verdana"/>
                <w:bCs/>
                <w:lang w:val="es-CO"/>
              </w:rPr>
              <w:t xml:space="preserve"> del Decreto 1077 de 2015, desarrolla el Programa de </w:t>
            </w:r>
            <w:r w:rsidR="00F63F9D">
              <w:rPr>
                <w:rFonts w:ascii="Verdana" w:hAnsi="Verdana"/>
                <w:bCs/>
                <w:lang w:val="es-CO"/>
              </w:rPr>
              <w:t>p</w:t>
            </w:r>
            <w:r w:rsidRPr="00DB5DE6">
              <w:rPr>
                <w:rFonts w:ascii="Verdana" w:hAnsi="Verdana"/>
                <w:bCs/>
                <w:lang w:val="es-CO"/>
              </w:rPr>
              <w:t>romoción de acceso a la vivienda de interés social “</w:t>
            </w:r>
            <w:r w:rsidRPr="00DB5DE6">
              <w:rPr>
                <w:rFonts w:ascii="Verdana" w:hAnsi="Verdana"/>
                <w:bCs/>
                <w:i/>
                <w:iCs/>
                <w:lang w:val="es-CO"/>
              </w:rPr>
              <w:t>MI CASA YA</w:t>
            </w:r>
            <w:r w:rsidRPr="00DB5DE6">
              <w:rPr>
                <w:rFonts w:ascii="Verdana" w:hAnsi="Verdana"/>
                <w:bCs/>
                <w:lang w:val="es-CO"/>
              </w:rPr>
              <w:t xml:space="preserve">”, </w:t>
            </w:r>
            <w:r w:rsidR="0098195A" w:rsidRPr="00DB5DE6">
              <w:rPr>
                <w:rFonts w:ascii="Verdana" w:hAnsi="Verdana"/>
                <w:bCs/>
                <w:lang w:val="es-CO"/>
              </w:rPr>
              <w:t>cuyo monto del subsidio familiar de vivienda es destinado a la adquisición o a la suscripción de contratos de leasing habitacional de vivienda de interés social nueva, que FONVIVIENDA asigne a los hogares que cumplan las condiciones señaladas y dependerá de la clasificación socioeconómica de acuerdo con la información del SISBÉN IV.</w:t>
            </w:r>
          </w:p>
          <w:p w14:paraId="66415EA8" w14:textId="77777777" w:rsidR="00234F39" w:rsidRPr="00DB5DE6" w:rsidRDefault="001D7FFE" w:rsidP="00FF5312">
            <w:pPr>
              <w:jc w:val="both"/>
              <w:rPr>
                <w:rFonts w:ascii="Verdana" w:hAnsi="Verdana"/>
                <w:lang w:val="es-CO"/>
              </w:rPr>
            </w:pPr>
            <w:r w:rsidRPr="00DB5DE6">
              <w:rPr>
                <w:rFonts w:ascii="Verdana" w:hAnsi="Verdana"/>
                <w:lang w:val="es-CO"/>
              </w:rPr>
              <w:t xml:space="preserve"> </w:t>
            </w:r>
          </w:p>
          <w:p w14:paraId="74D9448B" w14:textId="767D9D37" w:rsidR="00234F39" w:rsidRPr="00DB5DE6" w:rsidRDefault="1DAF3F8F" w:rsidP="00FF5312">
            <w:pPr>
              <w:jc w:val="both"/>
              <w:rPr>
                <w:rFonts w:ascii="Verdana" w:hAnsi="Verdana"/>
                <w:lang w:val="es-CO"/>
              </w:rPr>
            </w:pPr>
            <w:r w:rsidRPr="72BF00D9">
              <w:rPr>
                <w:rFonts w:ascii="Verdana" w:hAnsi="Verdana"/>
                <w:lang w:val="es-CO"/>
              </w:rPr>
              <w:t>De otro lado, e</w:t>
            </w:r>
            <w:r w:rsidR="2E2A319B" w:rsidRPr="72BF00D9">
              <w:rPr>
                <w:rFonts w:ascii="Verdana" w:hAnsi="Verdana"/>
                <w:lang w:val="es-CO"/>
              </w:rPr>
              <w:t>s importante reconocer la existencia de grupos poblacionales que</w:t>
            </w:r>
            <w:r w:rsidR="6EA9AABD" w:rsidRPr="72BF00D9">
              <w:rPr>
                <w:rFonts w:ascii="Verdana" w:hAnsi="Verdana"/>
                <w:lang w:val="es-CO"/>
              </w:rPr>
              <w:t>,</w:t>
            </w:r>
            <w:r w:rsidR="2E2A319B" w:rsidRPr="72BF00D9">
              <w:rPr>
                <w:rFonts w:ascii="Verdana" w:hAnsi="Verdana"/>
                <w:lang w:val="es-CO"/>
              </w:rPr>
              <w:t xml:space="preserve"> por sus condiciones y características requieren </w:t>
            </w:r>
            <w:r w:rsidR="3F59B161" w:rsidRPr="72BF00D9">
              <w:rPr>
                <w:rFonts w:ascii="Verdana" w:hAnsi="Verdana"/>
                <w:lang w:val="es-CO"/>
              </w:rPr>
              <w:t>ser atendidos conforme con</w:t>
            </w:r>
            <w:r w:rsidR="2E2A319B" w:rsidRPr="72BF00D9">
              <w:rPr>
                <w:rFonts w:ascii="Verdana" w:hAnsi="Verdana"/>
                <w:lang w:val="es-CO"/>
              </w:rPr>
              <w:t xml:space="preserve"> sus necesidades y particularidades para disminuir situaciones de inequidad que dificultan el goce efectivo de sus derechos fundamentales</w:t>
            </w:r>
            <w:r w:rsidR="3F59B161" w:rsidRPr="72BF00D9">
              <w:rPr>
                <w:rFonts w:ascii="Verdana" w:hAnsi="Verdana"/>
                <w:lang w:val="es-CO"/>
              </w:rPr>
              <w:t>.</w:t>
            </w:r>
            <w:r w:rsidR="4690D446" w:rsidRPr="72BF00D9">
              <w:rPr>
                <w:rFonts w:ascii="Verdana" w:hAnsi="Verdana"/>
                <w:lang w:val="es-CO"/>
              </w:rPr>
              <w:t xml:space="preserve"> A continuación, se plantean una serie de elementos y </w:t>
            </w:r>
            <w:r w:rsidR="01BD3094" w:rsidRPr="72BF00D9">
              <w:rPr>
                <w:rFonts w:ascii="Verdana" w:hAnsi="Verdana"/>
                <w:lang w:val="es-CO"/>
              </w:rPr>
              <w:t>características</w:t>
            </w:r>
            <w:r w:rsidR="4690D446" w:rsidRPr="72BF00D9">
              <w:rPr>
                <w:rFonts w:ascii="Verdana" w:hAnsi="Verdana"/>
                <w:lang w:val="es-CO"/>
              </w:rPr>
              <w:t xml:space="preserve"> diferenciales de </w:t>
            </w:r>
            <w:r w:rsidR="379872EF" w:rsidRPr="72BF00D9">
              <w:rPr>
                <w:rFonts w:ascii="Verdana" w:hAnsi="Verdana"/>
                <w:lang w:val="es-CO"/>
              </w:rPr>
              <w:t xml:space="preserve">los </w:t>
            </w:r>
            <w:r w:rsidR="4690D446" w:rsidRPr="72BF00D9">
              <w:rPr>
                <w:rFonts w:ascii="Verdana" w:hAnsi="Verdana"/>
                <w:lang w:val="es-CO"/>
              </w:rPr>
              <w:t>grupos poblacionales en situ</w:t>
            </w:r>
            <w:r w:rsidR="1B6F07CC" w:rsidRPr="72BF00D9">
              <w:rPr>
                <w:rFonts w:ascii="Verdana" w:hAnsi="Verdana"/>
                <w:lang w:val="es-CO"/>
              </w:rPr>
              <w:t xml:space="preserve">ación de vulnerabilidad que son objeto de </w:t>
            </w:r>
            <w:r w:rsidR="00300A95" w:rsidRPr="00720245">
              <w:rPr>
                <w:rFonts w:ascii="Verdana" w:hAnsi="Verdana"/>
                <w:lang w:val="es-CO"/>
              </w:rPr>
              <w:t xml:space="preserve">descripción en </w:t>
            </w:r>
            <w:r w:rsidR="1B6F07CC" w:rsidRPr="00720245">
              <w:rPr>
                <w:rFonts w:ascii="Verdana" w:hAnsi="Verdana"/>
                <w:lang w:val="es-CO"/>
              </w:rPr>
              <w:t>la</w:t>
            </w:r>
            <w:r w:rsidR="1B6F07CC" w:rsidRPr="72BF00D9">
              <w:rPr>
                <w:rFonts w:ascii="Verdana" w:hAnsi="Verdana"/>
                <w:lang w:val="es-CO"/>
              </w:rPr>
              <w:t xml:space="preserve"> presente memoria justificativa: </w:t>
            </w:r>
          </w:p>
          <w:p w14:paraId="3F21AAFB" w14:textId="00128913" w:rsidR="55D0006D" w:rsidRDefault="55D0006D" w:rsidP="55D0006D">
            <w:pPr>
              <w:jc w:val="both"/>
              <w:rPr>
                <w:rFonts w:ascii="Verdana" w:hAnsi="Verdana"/>
                <w:lang w:val="es-CO"/>
              </w:rPr>
            </w:pPr>
          </w:p>
          <w:p w14:paraId="05686595" w14:textId="1B5D4D36" w:rsidR="6DE14EF1" w:rsidRDefault="6DE14EF1" w:rsidP="072BBBC4">
            <w:pPr>
              <w:pStyle w:val="Prrafodelista"/>
              <w:numPr>
                <w:ilvl w:val="0"/>
                <w:numId w:val="2"/>
              </w:numPr>
              <w:jc w:val="both"/>
              <w:rPr>
                <w:rFonts w:ascii="Verdana" w:hAnsi="Verdana"/>
                <w:lang w:val="es-CO"/>
              </w:rPr>
            </w:pPr>
            <w:r w:rsidRPr="072BBBC4">
              <w:rPr>
                <w:rFonts w:ascii="Verdana" w:hAnsi="Verdana"/>
                <w:lang w:val="es-CO"/>
              </w:rPr>
              <w:t xml:space="preserve">Víctimas del conflicto armado </w:t>
            </w:r>
          </w:p>
          <w:p w14:paraId="4E278FD1" w14:textId="77777777" w:rsidR="00A23758" w:rsidRPr="00DB5DE6" w:rsidRDefault="00A23758" w:rsidP="00FF5312">
            <w:pPr>
              <w:jc w:val="both"/>
              <w:rPr>
                <w:rFonts w:ascii="Verdana" w:hAnsi="Verdana"/>
                <w:lang w:val="es-CO"/>
              </w:rPr>
            </w:pPr>
          </w:p>
          <w:p w14:paraId="5EC52090" w14:textId="77777777" w:rsidR="00B966D0" w:rsidRDefault="00B966D0" w:rsidP="00FF5312">
            <w:pPr>
              <w:jc w:val="both"/>
              <w:rPr>
                <w:rFonts w:ascii="Verdana" w:hAnsi="Verdana"/>
                <w:lang w:val="es-CO"/>
              </w:rPr>
            </w:pPr>
            <w:r w:rsidRPr="00DB5DE6">
              <w:rPr>
                <w:rFonts w:ascii="Verdana" w:hAnsi="Verdana"/>
                <w:lang w:val="es-CO"/>
              </w:rPr>
              <w:lastRenderedPageBreak/>
              <w:t xml:space="preserve">Según cifras de la Unidad para la </w:t>
            </w:r>
            <w:r w:rsidR="00973B10">
              <w:rPr>
                <w:rFonts w:ascii="Verdana" w:hAnsi="Verdana"/>
                <w:lang w:val="es-CO"/>
              </w:rPr>
              <w:t>A</w:t>
            </w:r>
            <w:r w:rsidRPr="00DB5DE6">
              <w:rPr>
                <w:rFonts w:ascii="Verdana" w:hAnsi="Verdana"/>
                <w:lang w:val="es-CO"/>
              </w:rPr>
              <w:t xml:space="preserve">tención y Reparación Integral a las Víctimas – UARIV hay 9.781.883 víctimas en Colombia </w:t>
            </w:r>
            <w:r w:rsidR="00FD1CE6">
              <w:rPr>
                <w:rFonts w:ascii="Verdana" w:hAnsi="Verdana"/>
                <w:lang w:val="es-CO"/>
              </w:rPr>
              <w:t>con</w:t>
            </w:r>
            <w:r w:rsidRPr="00DB5DE6">
              <w:rPr>
                <w:rFonts w:ascii="Verdana" w:hAnsi="Verdana"/>
                <w:lang w:val="es-CO"/>
              </w:rPr>
              <w:t xml:space="preserve"> corte </w:t>
            </w:r>
            <w:r w:rsidR="00FD1CE6">
              <w:rPr>
                <w:rFonts w:ascii="Verdana" w:hAnsi="Verdana"/>
                <w:lang w:val="es-CO"/>
              </w:rPr>
              <w:t>a</w:t>
            </w:r>
            <w:r w:rsidRPr="00DB5DE6">
              <w:rPr>
                <w:rFonts w:ascii="Verdana" w:hAnsi="Verdana"/>
                <w:lang w:val="es-CO"/>
              </w:rPr>
              <w:t>l 31 de agosto de 2024</w:t>
            </w:r>
            <w:r w:rsidRPr="00DB5DE6">
              <w:rPr>
                <w:rStyle w:val="Refdenotaalpie"/>
                <w:rFonts w:ascii="Verdana" w:hAnsi="Verdana"/>
                <w:lang w:val="es-CO"/>
              </w:rPr>
              <w:footnoteReference w:id="2"/>
            </w:r>
            <w:r w:rsidRPr="00DB5DE6">
              <w:rPr>
                <w:rFonts w:ascii="Verdana" w:hAnsi="Verdana"/>
                <w:lang w:val="es-CO"/>
              </w:rPr>
              <w:t xml:space="preserve">, de las cuales 8.718.931 han sufrido desplazamiento forzado a causas relacionadas o con ocasión del conflicto armado. Para el año 2022, el 50,1% de la población víctima se encuentra en situación de pobreza monetaria y </w:t>
            </w:r>
            <w:r w:rsidR="00DB5DE6" w:rsidRPr="00DB5DE6">
              <w:rPr>
                <w:rFonts w:ascii="Verdana" w:hAnsi="Verdana"/>
                <w:lang w:val="es-CO"/>
              </w:rPr>
              <w:t>aproximadamente 21</w:t>
            </w:r>
            <w:r w:rsidRPr="00DB5DE6">
              <w:rPr>
                <w:rFonts w:ascii="Verdana" w:hAnsi="Verdana"/>
                <w:lang w:val="es-CO"/>
              </w:rPr>
              <w:t>,2% en pobreza extrema. En tal sentido, la población víctima del conflicto armado se encuentra en una alta situación de vulnerabilidad socioeconómica.</w:t>
            </w:r>
          </w:p>
          <w:p w14:paraId="5AD4B04B" w14:textId="6AF3708D" w:rsidR="59973FD1" w:rsidRDefault="59973FD1" w:rsidP="59973FD1">
            <w:pPr>
              <w:pStyle w:val="Encabezado"/>
              <w:ind w:right="21"/>
              <w:jc w:val="both"/>
              <w:rPr>
                <w:rFonts w:ascii="Verdana" w:hAnsi="Verdana"/>
                <w:lang w:val="es-CO"/>
              </w:rPr>
            </w:pPr>
          </w:p>
          <w:p w14:paraId="20D51EFA" w14:textId="77777777" w:rsidR="266C5384" w:rsidRDefault="266C5384" w:rsidP="59973FD1">
            <w:pPr>
              <w:jc w:val="both"/>
              <w:rPr>
                <w:rFonts w:ascii="Verdana" w:hAnsi="Verdana" w:cs="Arial"/>
                <w:lang w:val="es-CO"/>
              </w:rPr>
            </w:pPr>
            <w:r w:rsidRPr="59973FD1">
              <w:rPr>
                <w:rFonts w:ascii="Verdana" w:hAnsi="Verdana"/>
                <w:lang w:val="es-CO"/>
              </w:rPr>
              <w:t>Por otro lado, la población víctima del conflicto armado se encuentra ubicada principalmente en los departamentos de Nariño, Cauca, Valle del Cauca, Chocó y Antioquia</w:t>
            </w:r>
            <w:r w:rsidRPr="59973FD1">
              <w:rPr>
                <w:rStyle w:val="Refdenotaalpie"/>
                <w:rFonts w:ascii="Verdana" w:hAnsi="Verdana"/>
                <w:lang w:val="es-CO"/>
              </w:rPr>
              <w:footnoteReference w:id="3"/>
            </w:r>
            <w:r w:rsidRPr="59973FD1">
              <w:rPr>
                <w:rFonts w:ascii="Verdana" w:hAnsi="Verdana"/>
                <w:lang w:val="es-CO"/>
              </w:rPr>
              <w:t xml:space="preserve">. </w:t>
            </w:r>
            <w:r w:rsidRPr="59973FD1">
              <w:rPr>
                <w:rFonts w:ascii="Verdana" w:hAnsi="Verdana" w:cs="Arial"/>
                <w:lang w:val="es-CO"/>
              </w:rPr>
              <w:t>La UARIV realizó el cálculo de déficit habitacional con corte del 31 de enero de 2023, a partir de la información reportada en la encuesta SISBÉN IV y la entrevista de caracterización adelantada por la entidad, se estableció que el 77% de los hogares con víctimas están en déficit habitacional, de estos, el 35,3% en déficit cuantitativo y el 41,7% en déficit cualitativo</w:t>
            </w:r>
            <w:r w:rsidRPr="59973FD1">
              <w:rPr>
                <w:rStyle w:val="Refdenotaalpie"/>
                <w:rFonts w:ascii="Verdana" w:hAnsi="Verdana" w:cs="Arial"/>
                <w:sz w:val="18"/>
                <w:szCs w:val="18"/>
                <w:lang w:val="es-CO"/>
              </w:rPr>
              <w:footnoteReference w:id="4"/>
            </w:r>
            <w:r w:rsidRPr="59973FD1">
              <w:rPr>
                <w:rFonts w:ascii="Verdana" w:hAnsi="Verdana" w:cs="Arial"/>
                <w:lang w:val="es-CO"/>
              </w:rPr>
              <w:t xml:space="preserve">. </w:t>
            </w:r>
          </w:p>
          <w:p w14:paraId="5F3BCC1C" w14:textId="77777777" w:rsidR="59973FD1" w:rsidRDefault="59973FD1" w:rsidP="59973FD1">
            <w:pPr>
              <w:jc w:val="both"/>
              <w:rPr>
                <w:rFonts w:ascii="Verdana" w:hAnsi="Verdana" w:cs="Arial"/>
                <w:lang w:val="es-CO"/>
              </w:rPr>
            </w:pPr>
          </w:p>
          <w:p w14:paraId="378075B0" w14:textId="77777777" w:rsidR="266C5384" w:rsidRDefault="266C5384" w:rsidP="59973FD1">
            <w:pPr>
              <w:jc w:val="both"/>
              <w:rPr>
                <w:rFonts w:ascii="Verdana" w:hAnsi="Verdana" w:cs="Arial"/>
                <w:lang w:val="es-CO"/>
              </w:rPr>
            </w:pPr>
            <w:r w:rsidRPr="59973FD1">
              <w:rPr>
                <w:rFonts w:ascii="Verdana" w:hAnsi="Verdana" w:cs="Arial"/>
                <w:lang w:val="es-CO"/>
              </w:rPr>
              <w:t>Los departamentos de Antioquia, Bolívar, Nariño, Valle del Cauca y Magdalena concentran aproximadamente el 39,6% de las víctimas con déficit habitacional del país</w:t>
            </w:r>
            <w:r w:rsidRPr="59973FD1">
              <w:rPr>
                <w:rStyle w:val="Refdenotaalpie"/>
                <w:rFonts w:ascii="Verdana" w:hAnsi="Verdana" w:cs="Arial"/>
                <w:lang w:val="es-CO"/>
              </w:rPr>
              <w:footnoteReference w:id="5"/>
            </w:r>
            <w:r w:rsidRPr="59973FD1">
              <w:rPr>
                <w:rFonts w:ascii="Verdana" w:hAnsi="Verdana" w:cs="Arial"/>
                <w:lang w:val="es-CO"/>
              </w:rPr>
              <w:t>. Debe destacarse que los municipios de San Andrés de Tumaco con 52.151 hogares y Buenaventura con 50.900 hogares presentan el mayor número de hogares con déficit habitacional de tipo cuantitativo; mientras que Medellín y Bogotá presentan el mayor número neto de hogares con déficit de tipo cualitativo con 38.939 y 28.531 hogares, respectivamente</w:t>
            </w:r>
            <w:r w:rsidRPr="59973FD1">
              <w:rPr>
                <w:rStyle w:val="Refdenotaalpie"/>
                <w:rFonts w:ascii="Verdana" w:hAnsi="Verdana" w:cs="Arial"/>
                <w:lang w:val="es-CO"/>
              </w:rPr>
              <w:footnoteReference w:id="6"/>
            </w:r>
            <w:r w:rsidRPr="59973FD1">
              <w:rPr>
                <w:rFonts w:ascii="Verdana" w:hAnsi="Verdana" w:cs="Arial"/>
                <w:lang w:val="es-CO"/>
              </w:rPr>
              <w:t>.</w:t>
            </w:r>
          </w:p>
          <w:p w14:paraId="026E7A81" w14:textId="77777777" w:rsidR="59973FD1" w:rsidRDefault="59973FD1" w:rsidP="59973FD1">
            <w:pPr>
              <w:jc w:val="both"/>
              <w:rPr>
                <w:rFonts w:ascii="Verdana" w:hAnsi="Verdana" w:cs="Arial"/>
                <w:lang w:val="es-CO"/>
              </w:rPr>
            </w:pPr>
          </w:p>
          <w:p w14:paraId="59D0FD49" w14:textId="466341A6" w:rsidR="266C5384" w:rsidRDefault="266C5384" w:rsidP="59973FD1">
            <w:pPr>
              <w:pStyle w:val="Encabezado"/>
              <w:ind w:right="21"/>
              <w:jc w:val="both"/>
              <w:rPr>
                <w:rFonts w:ascii="Verdana" w:eastAsia="Verdana" w:hAnsi="Verdana" w:cs="Verdana"/>
                <w:color w:val="000000" w:themeColor="text1"/>
                <w:lang w:val="es-CO"/>
              </w:rPr>
            </w:pPr>
            <w:r w:rsidRPr="59973FD1">
              <w:rPr>
                <w:rFonts w:ascii="Verdana" w:hAnsi="Verdana" w:cs="Arial"/>
                <w:lang w:val="es-CO"/>
              </w:rPr>
              <w:t>A partir de lo anterior, se puede establecer que de la población víctima existen casi en proporcionalidad requerimientos de soluciones habitacionales</w:t>
            </w:r>
            <w:r w:rsidRPr="59973FD1">
              <w:rPr>
                <w:rFonts w:ascii="Verdana" w:eastAsia="Verdana" w:hAnsi="Verdana" w:cs="Verdana"/>
                <w:color w:val="000000" w:themeColor="text1"/>
                <w:lang w:val="es-CO"/>
              </w:rPr>
              <w:t xml:space="preserve"> asociadas a: 1) mejoras y/o ajustes a las viviendas y 2) el acceso a viviendas para reducir el déficit habitacional de este grupo poblacional. Este último tipo de soluciones habitacionales son requeridas, principalmente, para víctimas ubicadas en territorios con características rurales y ubicadas en territorios periféricos del país, tales como los departamentos de Valle del Cauca y Nariño.</w:t>
            </w:r>
          </w:p>
          <w:p w14:paraId="4D616A34" w14:textId="6E9A60DD" w:rsidR="301040A3" w:rsidRDefault="301040A3" w:rsidP="301040A3">
            <w:pPr>
              <w:pStyle w:val="Encabezado"/>
              <w:ind w:right="21"/>
              <w:jc w:val="both"/>
              <w:rPr>
                <w:rFonts w:ascii="Verdana" w:hAnsi="Verdana"/>
                <w:lang w:val="es-CO"/>
              </w:rPr>
            </w:pPr>
          </w:p>
          <w:p w14:paraId="2A270349" w14:textId="4401BD8B" w:rsidR="072BBBC4" w:rsidRDefault="09130BB4" w:rsidP="016C4C64">
            <w:pPr>
              <w:jc w:val="both"/>
              <w:rPr>
                <w:rFonts w:ascii="Verdana" w:hAnsi="Verdana"/>
                <w:lang w:val="es-CO"/>
              </w:rPr>
            </w:pPr>
            <w:r w:rsidRPr="09400DC1">
              <w:rPr>
                <w:rFonts w:ascii="Verdana" w:hAnsi="Verdana"/>
                <w:lang w:val="es-CO"/>
              </w:rPr>
              <w:t xml:space="preserve">De tal modo, la población víctima del </w:t>
            </w:r>
            <w:r w:rsidR="28301CA1" w:rsidRPr="09400DC1">
              <w:rPr>
                <w:rFonts w:ascii="Verdana" w:hAnsi="Verdana"/>
                <w:lang w:val="es-CO"/>
              </w:rPr>
              <w:t>conflicto</w:t>
            </w:r>
            <w:r w:rsidRPr="09400DC1">
              <w:rPr>
                <w:rFonts w:ascii="Verdana" w:hAnsi="Verdana"/>
                <w:lang w:val="es-CO"/>
              </w:rPr>
              <w:t xml:space="preserve"> armado se concentra en un gran número en departamentos periféricos y con condiciones rurales que cuentan con poca disponibilidad de unidades habitacionales asociadas a una oferta inferior de proyectos de vivienda nueva y en tal sentido, requieren el establecimiento de soluciones habitacionales para la adquisición de vivienda y reducción del déficit habitacional cuantitativo de estos grupos poblacionales, entre las que se considera pertinente la adquisición de vivienda usada en el marco del programa </w:t>
            </w:r>
            <w:r w:rsidR="20C8E489" w:rsidRPr="4400D0B0">
              <w:rPr>
                <w:rFonts w:ascii="Verdana" w:eastAsia="Verdana" w:hAnsi="Verdana" w:cs="Verdana"/>
                <w:sz w:val="22"/>
                <w:szCs w:val="22"/>
                <w:lang w:val="es"/>
              </w:rPr>
              <w:t xml:space="preserve"> </w:t>
            </w:r>
            <w:r w:rsidR="20C8E489" w:rsidRPr="001A1F1A">
              <w:rPr>
                <w:rFonts w:ascii="Verdana" w:hAnsi="Verdana"/>
                <w:lang w:val="es"/>
              </w:rPr>
              <w:t>de promoción de acceso a la vivienda de interés social</w:t>
            </w:r>
            <w:r w:rsidRPr="4400D0B0">
              <w:rPr>
                <w:rFonts w:ascii="Verdana" w:hAnsi="Verdana"/>
                <w:lang w:val="es-CO"/>
              </w:rPr>
              <w:t>.</w:t>
            </w:r>
          </w:p>
          <w:p w14:paraId="145BE5B3" w14:textId="77777777" w:rsidR="00656E21" w:rsidRDefault="00656E21" w:rsidP="016C4C64">
            <w:pPr>
              <w:jc w:val="both"/>
              <w:rPr>
                <w:rFonts w:ascii="Verdana" w:hAnsi="Verdana"/>
                <w:lang w:val="es-CO"/>
              </w:rPr>
            </w:pPr>
          </w:p>
          <w:p w14:paraId="2A5515ED" w14:textId="77777777" w:rsidR="00656E21" w:rsidRPr="00DB5DE6" w:rsidRDefault="00656E21" w:rsidP="00656E21">
            <w:pPr>
              <w:pStyle w:val="Encabezado"/>
              <w:ind w:right="21"/>
              <w:jc w:val="both"/>
              <w:rPr>
                <w:rFonts w:ascii="Verdana" w:hAnsi="Verdana"/>
                <w:lang w:val="es-CO"/>
              </w:rPr>
            </w:pPr>
            <w:r w:rsidRPr="00720245">
              <w:rPr>
                <w:rFonts w:ascii="Verdana" w:hAnsi="Verdana"/>
                <w:lang w:val="es-CO"/>
              </w:rPr>
              <w:t>Se debe establecer que, el Ministerio de Vivienda, Ciudad y Territorio crea e implementa programas tendientes a promover el acceso a la vivienda, con el fin de mejorar las condiciones habitacionales de las personas de menores ingresos y contribuir con la disminución del déficit habitacional del país mediante la asignación de un Subsidio Familiar de Vivienda (SFV). Teniendo en cuenta la situación de vulnerabilidad establecida previamente, los hogares integrados por víctimas del conflicto armado hacen parte de la población con menores ingresos y en situación de vulnerabilidad y de la población a priorizar para el acceso a los programas liderados por el Ministerio de Vivienda, Ciudad y Territorio.</w:t>
            </w:r>
          </w:p>
          <w:p w14:paraId="2AFFBD2A" w14:textId="01E08FEB" w:rsidR="24BE997C" w:rsidRDefault="24BE997C" w:rsidP="24BE997C">
            <w:pPr>
              <w:jc w:val="both"/>
              <w:rPr>
                <w:rFonts w:ascii="Verdana" w:hAnsi="Verdana"/>
                <w:lang w:val="es-CO"/>
              </w:rPr>
            </w:pPr>
          </w:p>
          <w:p w14:paraId="7D7DE868" w14:textId="5AEC724B" w:rsidR="072BBBC4" w:rsidRDefault="00B9A482" w:rsidP="03B0CAA8">
            <w:pPr>
              <w:jc w:val="both"/>
              <w:rPr>
                <w:rFonts w:ascii="Verdana" w:hAnsi="Verdana" w:cs="Arial"/>
                <w:lang w:val="es-CO"/>
              </w:rPr>
            </w:pPr>
            <w:r w:rsidRPr="03B0CAA8">
              <w:rPr>
                <w:rFonts w:ascii="Verdana" w:hAnsi="Verdana"/>
                <w:lang w:val="es-CO"/>
              </w:rPr>
              <w:lastRenderedPageBreak/>
              <w:t xml:space="preserve">Teniendo en cuenta las disposiciones aquí descritas, resulta imperioso habilitar la aplicación del </w:t>
            </w:r>
            <w:proofErr w:type="gramStart"/>
            <w:r w:rsidRPr="03B0CAA8">
              <w:rPr>
                <w:rFonts w:ascii="Verdana" w:hAnsi="Verdana"/>
                <w:lang w:val="es-CO"/>
              </w:rPr>
              <w:t xml:space="preserve">programa </w:t>
            </w:r>
            <w:r w:rsidR="64B5C268" w:rsidRPr="78ABA3D1">
              <w:rPr>
                <w:rFonts w:ascii="Verdana" w:hAnsi="Verdana"/>
                <w:lang w:val="es"/>
              </w:rPr>
              <w:t xml:space="preserve"> de</w:t>
            </w:r>
            <w:proofErr w:type="gramEnd"/>
            <w:r w:rsidR="64B5C268" w:rsidRPr="78ABA3D1">
              <w:rPr>
                <w:rFonts w:ascii="Verdana" w:hAnsi="Verdana"/>
                <w:lang w:val="es"/>
              </w:rPr>
              <w:t xml:space="preserve"> promoción de acceso a la vivienda de interés social</w:t>
            </w:r>
            <w:r w:rsidRPr="78ABA3D1">
              <w:rPr>
                <w:rFonts w:ascii="Verdana" w:hAnsi="Verdana"/>
                <w:lang w:val="es-CO"/>
              </w:rPr>
              <w:t>,</w:t>
            </w:r>
            <w:r w:rsidRPr="03B0CAA8">
              <w:rPr>
                <w:rFonts w:ascii="Verdana" w:hAnsi="Verdana"/>
                <w:lang w:val="es-CO"/>
              </w:rPr>
              <w:t xml:space="preserve"> para la adquisición de vivienda de interés social usada para población víctima del conflicto armado con estado “</w:t>
            </w:r>
            <w:r w:rsidRPr="03B0CAA8">
              <w:rPr>
                <w:rFonts w:ascii="Verdana" w:hAnsi="Verdana"/>
                <w:i/>
                <w:iCs/>
                <w:lang w:val="es-CO"/>
              </w:rPr>
              <w:t>incluido</w:t>
            </w:r>
            <w:r w:rsidRPr="03B0CAA8">
              <w:rPr>
                <w:rFonts w:ascii="Verdana" w:hAnsi="Verdana"/>
                <w:lang w:val="es-CO"/>
              </w:rPr>
              <w:t xml:space="preserve">” en el Registro Único de Víctimas de la Unidad para la Atención y Reparación Integral a las Víctimas – UARIV, o quien haga sus veces. Lo anterior, en aras de dar cumplimiento a las sentencias T-025 de 2004 y SU-016 de 2021 procurando la autonomía económica, la seguridad y el bienestar material y emocional de esta población, así como garantizar la inclusión e implementación efectiva del principio de enfoque diferencial. </w:t>
            </w:r>
          </w:p>
          <w:p w14:paraId="15897908" w14:textId="3DD09D09" w:rsidR="03B0CAA8" w:rsidRDefault="03B0CAA8" w:rsidP="03B0CAA8">
            <w:pPr>
              <w:jc w:val="both"/>
              <w:rPr>
                <w:rFonts w:ascii="Verdana" w:hAnsi="Verdana"/>
                <w:lang w:val="es-CO"/>
              </w:rPr>
            </w:pPr>
          </w:p>
          <w:p w14:paraId="45E45501" w14:textId="08B4DD84" w:rsidR="3CA1F94E" w:rsidRDefault="3CA1F94E" w:rsidP="072BBBC4">
            <w:pPr>
              <w:pStyle w:val="Encabezado"/>
              <w:numPr>
                <w:ilvl w:val="0"/>
                <w:numId w:val="2"/>
              </w:numPr>
              <w:ind w:right="21"/>
              <w:jc w:val="both"/>
              <w:rPr>
                <w:rFonts w:ascii="Verdana" w:hAnsi="Verdana"/>
                <w:lang w:val="es-CO"/>
              </w:rPr>
            </w:pPr>
            <w:r w:rsidRPr="301040A3">
              <w:rPr>
                <w:rFonts w:ascii="Verdana" w:hAnsi="Verdana"/>
                <w:lang w:val="es-CO"/>
              </w:rPr>
              <w:t xml:space="preserve">Personas en proceso de reincorporación - firmantes del Acuerdo Final de Paz - 2016 </w:t>
            </w:r>
          </w:p>
          <w:p w14:paraId="441265A3" w14:textId="72C80467" w:rsidR="00B00CAA" w:rsidRPr="00DB5DE6" w:rsidRDefault="00B00CAA" w:rsidP="00B00CAA">
            <w:pPr>
              <w:pStyle w:val="Encabezado"/>
              <w:ind w:right="21"/>
              <w:jc w:val="both"/>
              <w:rPr>
                <w:rFonts w:ascii="Verdana" w:hAnsi="Verdana"/>
                <w:lang w:val="es-CO"/>
              </w:rPr>
            </w:pPr>
          </w:p>
          <w:p w14:paraId="71E15C44" w14:textId="1EDE68E0" w:rsidR="00B00CAA" w:rsidRPr="00DB5DE6" w:rsidRDefault="3CA1F94E" w:rsidP="301040A3">
            <w:pPr>
              <w:jc w:val="both"/>
              <w:rPr>
                <w:rFonts w:ascii="Verdana" w:hAnsi="Verdana"/>
                <w:lang w:val="es-CO"/>
              </w:rPr>
            </w:pPr>
            <w:r w:rsidRPr="301040A3">
              <w:rPr>
                <w:rFonts w:ascii="Verdana" w:hAnsi="Verdana"/>
                <w:lang w:val="es-CO"/>
              </w:rPr>
              <w:t xml:space="preserve">A partir de información aportada por la Honorable Corte Constitucional en la Sentencia SU-020 de 2022, se establece frente a la población en proceso de reincorporación lo siguiente: </w:t>
            </w:r>
          </w:p>
          <w:p w14:paraId="07E13B81" w14:textId="55A5B2BF" w:rsidR="00B00CAA" w:rsidRPr="00DB5DE6" w:rsidRDefault="00B00CAA" w:rsidP="301040A3">
            <w:pPr>
              <w:jc w:val="both"/>
              <w:rPr>
                <w:rFonts w:ascii="Verdana" w:hAnsi="Verdana"/>
                <w:lang w:val="es-CO"/>
              </w:rPr>
            </w:pPr>
          </w:p>
          <w:p w14:paraId="692F4BC1" w14:textId="37759CCB" w:rsidR="00B00CAA" w:rsidRPr="00DB5DE6" w:rsidRDefault="3CA1F94E" w:rsidP="301040A3">
            <w:pPr>
              <w:ind w:left="708"/>
              <w:jc w:val="both"/>
              <w:rPr>
                <w:rFonts w:ascii="Verdana" w:hAnsi="Verdana"/>
                <w:lang w:val="es-CO"/>
              </w:rPr>
            </w:pPr>
            <w:r w:rsidRPr="301040A3">
              <w:rPr>
                <w:rFonts w:ascii="Verdana" w:hAnsi="Verdana"/>
                <w:lang w:val="es-CO"/>
              </w:rPr>
              <w:t xml:space="preserve"> “(…) </w:t>
            </w:r>
            <w:r w:rsidRPr="301040A3">
              <w:rPr>
                <w:rFonts w:ascii="Verdana" w:hAnsi="Verdana"/>
                <w:i/>
                <w:iCs/>
                <w:lang w:val="es-CO"/>
              </w:rPr>
              <w:t>i) existe una situación masiva de riesgo y vulnerabilidad frente a la vida en condiciones dignas e integridad personal de la población de firmantes del Acuerdo Final de Paz, excombatientes en proceso de reincorporación y miembros de la colectividad política ligada a las FARC”; </w:t>
            </w:r>
            <w:proofErr w:type="spellStart"/>
            <w:r w:rsidRPr="301040A3">
              <w:rPr>
                <w:rFonts w:ascii="Verdana" w:hAnsi="Verdana"/>
                <w:i/>
                <w:iCs/>
                <w:lang w:val="es-CO"/>
              </w:rPr>
              <w:t>ii</w:t>
            </w:r>
            <w:proofErr w:type="spellEnd"/>
            <w:r w:rsidRPr="301040A3">
              <w:rPr>
                <w:rFonts w:ascii="Verdana" w:hAnsi="Verdana"/>
                <w:i/>
                <w:iCs/>
                <w:lang w:val="es-CO"/>
              </w:rPr>
              <w:t>) tales hechos presentan una relación de condicionamiento necesario con problemas estructurales del Estado para materializar deberes constitucionales ligados al goce efectivo de derechos propio del Estado Social de Derecho y la materialización de principios y aspiraciones constitucionales, incluida la Paz y </w:t>
            </w:r>
            <w:proofErr w:type="spellStart"/>
            <w:r w:rsidRPr="301040A3">
              <w:rPr>
                <w:rFonts w:ascii="Verdana" w:hAnsi="Verdana"/>
                <w:i/>
                <w:iCs/>
                <w:lang w:val="es-CO"/>
              </w:rPr>
              <w:t>iii</w:t>
            </w:r>
            <w:proofErr w:type="spellEnd"/>
            <w:r w:rsidRPr="301040A3">
              <w:rPr>
                <w:rFonts w:ascii="Verdana" w:hAnsi="Verdana"/>
                <w:i/>
                <w:iCs/>
                <w:lang w:val="es-CO"/>
              </w:rPr>
              <w:t>) las dos situaciones referidas “dependen, en gran medida, de la precaria implementación del Acuerdo Final para la Terminación del Conflicto y la Construcción de una Paz Estable y Duradera (…).”</w:t>
            </w:r>
            <w:r w:rsidRPr="301040A3">
              <w:rPr>
                <w:rFonts w:ascii="Verdana" w:hAnsi="Verdana"/>
                <w:lang w:val="es-CO"/>
              </w:rPr>
              <w:t xml:space="preserve"> </w:t>
            </w:r>
          </w:p>
          <w:p w14:paraId="22E73104" w14:textId="6A519E11" w:rsidR="00B00CAA" w:rsidRPr="00DB5DE6" w:rsidRDefault="00B00CAA" w:rsidP="301040A3">
            <w:pPr>
              <w:ind w:left="708"/>
              <w:jc w:val="both"/>
              <w:rPr>
                <w:rFonts w:ascii="Verdana" w:hAnsi="Verdana"/>
                <w:lang w:val="es-CO"/>
              </w:rPr>
            </w:pPr>
          </w:p>
          <w:p w14:paraId="10D208D7" w14:textId="77777777" w:rsidR="00B00CAA" w:rsidRPr="00DB5DE6" w:rsidRDefault="00B00CAA" w:rsidP="00B00CAA">
            <w:pPr>
              <w:jc w:val="both"/>
              <w:rPr>
                <w:rFonts w:ascii="Verdana" w:hAnsi="Verdana"/>
                <w:lang w:val="es-CO"/>
              </w:rPr>
            </w:pPr>
            <w:r w:rsidRPr="00DB5DE6">
              <w:rPr>
                <w:rFonts w:ascii="Verdana" w:hAnsi="Verdana"/>
                <w:lang w:val="es-CO"/>
              </w:rPr>
              <w:t xml:space="preserve">Según informe de diagnóstico de la población excombatiente de las FARC – EP y en proceso de reincorporación adelantado por parte de la Agencia de Reincorporación y Normalización, estos se ubican: un 38% en zona rural dispersa, 36% en cabeceras municipales, 15% en </w:t>
            </w:r>
            <w:r w:rsidR="00B62D7B" w:rsidRPr="00B62D7B">
              <w:rPr>
                <w:rFonts w:ascii="Verdana" w:hAnsi="Verdana"/>
              </w:rPr>
              <w:t>Espacios Territoriales de Capacitación y Reincorporación</w:t>
            </w:r>
            <w:r w:rsidR="00B62D7B">
              <w:rPr>
                <w:rFonts w:ascii="Verdana" w:hAnsi="Verdana"/>
                <w:lang w:val="es-CO"/>
              </w:rPr>
              <w:t xml:space="preserve"> - </w:t>
            </w:r>
            <w:r w:rsidRPr="00DB5DE6">
              <w:rPr>
                <w:rFonts w:ascii="Verdana" w:hAnsi="Verdana"/>
                <w:lang w:val="es-CO"/>
              </w:rPr>
              <w:t>ETCR y 11% en centros poblados rurales</w:t>
            </w:r>
            <w:r w:rsidRPr="00DB5DE6">
              <w:rPr>
                <w:rStyle w:val="Refdenotaalpie"/>
                <w:rFonts w:ascii="Verdana" w:hAnsi="Verdana"/>
                <w:lang w:val="es-CO"/>
              </w:rPr>
              <w:footnoteReference w:id="7"/>
            </w:r>
            <w:r w:rsidRPr="00DB5DE6">
              <w:rPr>
                <w:rFonts w:ascii="Verdana" w:hAnsi="Verdana"/>
                <w:lang w:val="es-CO"/>
              </w:rPr>
              <w:t>. Los lugares con mayor concentración de reincorporados de las extintas FARC – EP son los departamentos de</w:t>
            </w:r>
            <w:r w:rsidR="00E656A2">
              <w:rPr>
                <w:rFonts w:ascii="Verdana" w:hAnsi="Verdana"/>
                <w:lang w:val="es-CO"/>
              </w:rPr>
              <w:t>l</w:t>
            </w:r>
            <w:r w:rsidRPr="00DB5DE6">
              <w:rPr>
                <w:rFonts w:ascii="Verdana" w:hAnsi="Verdana"/>
                <w:lang w:val="es-CO"/>
              </w:rPr>
              <w:t xml:space="preserve"> Meta, Antioquia, Cauca y Caquetá. La ciudad de Bogotá es el municipio con mayor cantidad de firmantes, con aproximadamente, el 6% de la población</w:t>
            </w:r>
            <w:r w:rsidRPr="00DB5DE6">
              <w:rPr>
                <w:rStyle w:val="Refdenotaalpie"/>
                <w:rFonts w:ascii="Verdana" w:hAnsi="Verdana"/>
                <w:lang w:val="es-CO"/>
              </w:rPr>
              <w:footnoteReference w:id="8"/>
            </w:r>
            <w:r w:rsidRPr="00DB5DE6">
              <w:rPr>
                <w:rFonts w:ascii="Verdana" w:hAnsi="Verdana"/>
                <w:lang w:val="es-CO"/>
              </w:rPr>
              <w:t xml:space="preserve">. </w:t>
            </w:r>
          </w:p>
          <w:p w14:paraId="64A9E5C9" w14:textId="77777777" w:rsidR="00B00CAA" w:rsidRPr="00DB5DE6" w:rsidRDefault="00B00CAA" w:rsidP="00B00CAA">
            <w:pPr>
              <w:jc w:val="both"/>
              <w:rPr>
                <w:rFonts w:ascii="Verdana" w:hAnsi="Verdana"/>
                <w:lang w:val="es-CO"/>
              </w:rPr>
            </w:pPr>
          </w:p>
          <w:p w14:paraId="64E14D5F" w14:textId="77777777" w:rsidR="00B00CAA" w:rsidRPr="00DB5DE6" w:rsidRDefault="00B00CAA" w:rsidP="00B00CAA">
            <w:pPr>
              <w:jc w:val="both"/>
              <w:rPr>
                <w:rFonts w:ascii="Verdana" w:hAnsi="Verdana"/>
                <w:lang w:val="es-CO"/>
              </w:rPr>
            </w:pPr>
            <w:r w:rsidRPr="00DB5DE6">
              <w:rPr>
                <w:rFonts w:ascii="Verdana" w:hAnsi="Verdana"/>
                <w:lang w:val="es-CO"/>
              </w:rPr>
              <w:t>A corte de abril de 2024, el universo de firmantes y en proceso de reincorporación son 11.487 mujeres y hombres, de los cuales 7.739 se encuentran en déficit de tipo cuantitativo y aproximadamente un 3.600 requieren algún tipo de mejora o adecuación habitacional en las viviendas que habitan</w:t>
            </w:r>
            <w:r w:rsidRPr="00DB5DE6">
              <w:rPr>
                <w:rStyle w:val="Refdenotaalpie"/>
                <w:rFonts w:ascii="Verdana" w:hAnsi="Verdana"/>
                <w:lang w:val="es-CO"/>
              </w:rPr>
              <w:footnoteReference w:id="9"/>
            </w:r>
            <w:r w:rsidRPr="00DB5DE6">
              <w:rPr>
                <w:rFonts w:ascii="Verdana" w:hAnsi="Verdana"/>
                <w:lang w:val="es-CO"/>
              </w:rPr>
              <w:t>. A partir de los registros enunciados previamente, se puede plantear que la población en proceso de reincorporación requiere</w:t>
            </w:r>
            <w:r w:rsidR="00D702E7" w:rsidRPr="00DB5DE6">
              <w:rPr>
                <w:rFonts w:ascii="Verdana" w:hAnsi="Verdana"/>
                <w:lang w:val="es-CO"/>
              </w:rPr>
              <w:t>, principalmente</w:t>
            </w:r>
            <w:r w:rsidRPr="00DB5DE6">
              <w:rPr>
                <w:rFonts w:ascii="Verdana" w:hAnsi="Verdana"/>
                <w:lang w:val="es-CO"/>
              </w:rPr>
              <w:t xml:space="preserve"> en materia del acceso progresivo al derecho a la vivienda</w:t>
            </w:r>
            <w:r w:rsidR="00E656A2">
              <w:rPr>
                <w:rFonts w:ascii="Verdana" w:hAnsi="Verdana"/>
                <w:lang w:val="es-CO"/>
              </w:rPr>
              <w:t>,</w:t>
            </w:r>
            <w:r w:rsidRPr="00DB5DE6">
              <w:rPr>
                <w:rFonts w:ascii="Verdana" w:hAnsi="Verdana"/>
                <w:lang w:val="es-CO"/>
              </w:rPr>
              <w:t xml:space="preserve"> soluciones habitacionales asociadas a la adquisición de vivienda para reducir el amplio déficit habitacional de tipo cuantitativo en que se encuentra este grupo poblacional diferencial. </w:t>
            </w:r>
          </w:p>
          <w:p w14:paraId="47F24E7C" w14:textId="77777777" w:rsidR="00B00CAA" w:rsidRPr="00DB5DE6" w:rsidRDefault="00B00CAA" w:rsidP="00B00CAA">
            <w:pPr>
              <w:jc w:val="both"/>
              <w:rPr>
                <w:rFonts w:ascii="Verdana" w:eastAsia="Verdana" w:hAnsi="Verdana" w:cs="Verdana"/>
                <w:color w:val="000000"/>
                <w:lang w:val="es-CO"/>
              </w:rPr>
            </w:pPr>
          </w:p>
          <w:p w14:paraId="35B9C290" w14:textId="0B629421" w:rsidR="00B00CAA" w:rsidRDefault="32B3B2BE" w:rsidP="00B00CAA">
            <w:pPr>
              <w:jc w:val="both"/>
              <w:rPr>
                <w:rFonts w:ascii="Verdana" w:hAnsi="Verdana"/>
                <w:lang w:val="es-CO"/>
              </w:rPr>
            </w:pPr>
            <w:r w:rsidRPr="016C4C64">
              <w:rPr>
                <w:rFonts w:ascii="Verdana" w:hAnsi="Verdana"/>
                <w:lang w:val="es-CO"/>
              </w:rPr>
              <w:t>L</w:t>
            </w:r>
            <w:r w:rsidR="00B00CAA" w:rsidRPr="016C4C64">
              <w:rPr>
                <w:rFonts w:ascii="Verdana" w:hAnsi="Verdana"/>
                <w:lang w:val="es-CO"/>
              </w:rPr>
              <w:t xml:space="preserve">a población en proceso de reincorporación se concentra en departamentos periféricos y con condiciones rurales que cuentan con </w:t>
            </w:r>
            <w:r w:rsidR="00115E5F" w:rsidRPr="016C4C64">
              <w:rPr>
                <w:rFonts w:ascii="Verdana" w:hAnsi="Verdana"/>
                <w:lang w:val="es-CO"/>
              </w:rPr>
              <w:t>poca disponibilidad de unidades habitacionales asociadas a una</w:t>
            </w:r>
            <w:r w:rsidR="00B00CAA" w:rsidRPr="016C4C64">
              <w:rPr>
                <w:rFonts w:ascii="Verdana" w:hAnsi="Verdana"/>
                <w:lang w:val="es-CO"/>
              </w:rPr>
              <w:t xml:space="preserve"> oferta </w:t>
            </w:r>
            <w:r w:rsidR="00115E5F" w:rsidRPr="016C4C64">
              <w:rPr>
                <w:rFonts w:ascii="Verdana" w:hAnsi="Verdana"/>
                <w:lang w:val="es-CO"/>
              </w:rPr>
              <w:t xml:space="preserve">inferior </w:t>
            </w:r>
            <w:r w:rsidR="00B00CAA" w:rsidRPr="016C4C64">
              <w:rPr>
                <w:rFonts w:ascii="Verdana" w:hAnsi="Verdana"/>
                <w:lang w:val="es-CO"/>
              </w:rPr>
              <w:t>de proyectos de vivienda nueva y en tal sentido, requieren el establecimiento de soluciones habitacionales para la adquisición de vivienda y reducción del déficit habitacional cuantitativo de estos grupos poblacionales</w:t>
            </w:r>
            <w:r w:rsidR="00115E5F" w:rsidRPr="016C4C64">
              <w:rPr>
                <w:rFonts w:ascii="Verdana" w:hAnsi="Verdana"/>
                <w:lang w:val="es-CO"/>
              </w:rPr>
              <w:t xml:space="preserve">, entre las que se considera pertinente la adquisición de vivienda usada en el marco del programa </w:t>
            </w:r>
            <w:r w:rsidR="297DBD65" w:rsidRPr="78ABA3D1">
              <w:rPr>
                <w:rFonts w:ascii="Verdana" w:hAnsi="Verdana"/>
                <w:lang w:val="es"/>
              </w:rPr>
              <w:t xml:space="preserve"> de promoción de acceso a la vivienda de interés social</w:t>
            </w:r>
            <w:r w:rsidR="00B00CAA" w:rsidRPr="78ABA3D1">
              <w:rPr>
                <w:rFonts w:ascii="Verdana" w:hAnsi="Verdana"/>
                <w:lang w:val="es-CO"/>
              </w:rPr>
              <w:t>.</w:t>
            </w:r>
            <w:r w:rsidR="00B00CAA" w:rsidRPr="016C4C64">
              <w:rPr>
                <w:rFonts w:ascii="Verdana" w:hAnsi="Verdana"/>
                <w:lang w:val="es-CO"/>
              </w:rPr>
              <w:t xml:space="preserve"> </w:t>
            </w:r>
          </w:p>
          <w:p w14:paraId="41004F57" w14:textId="77777777" w:rsidR="00656E21" w:rsidRDefault="00656E21" w:rsidP="00B00CAA">
            <w:pPr>
              <w:jc w:val="both"/>
              <w:rPr>
                <w:rFonts w:ascii="Verdana" w:hAnsi="Verdana"/>
                <w:lang w:val="es-CO"/>
              </w:rPr>
            </w:pPr>
          </w:p>
          <w:p w14:paraId="2E2E59DE" w14:textId="3E7E3143" w:rsidR="00656E21" w:rsidRPr="00DB5DE6" w:rsidRDefault="00656E21" w:rsidP="00656E21">
            <w:pPr>
              <w:pStyle w:val="Encabezado"/>
              <w:ind w:right="21"/>
              <w:jc w:val="both"/>
              <w:rPr>
                <w:rFonts w:ascii="Verdana" w:hAnsi="Verdana"/>
                <w:lang w:val="es-CO"/>
              </w:rPr>
            </w:pPr>
            <w:r w:rsidRPr="00720245">
              <w:rPr>
                <w:rFonts w:ascii="Verdana" w:hAnsi="Verdana"/>
                <w:lang w:val="es-CO"/>
              </w:rPr>
              <w:lastRenderedPageBreak/>
              <w:t xml:space="preserve">Se debe establecer que, el Ministerio de Vivienda, Ciudad y Territorio crea e implementa programas tendientes a promover el acceso a la vivienda, con el fin de mejorar las condiciones habitacionales de las personas de menores ingresos y contribuir con la disminución del déficit habitacional del país mediante la asignación de un Subsidio Familiar de Vivienda (SFV). Teniendo en cuenta la situación de vulnerabilidad establecida previamente, los hogares integrados </w:t>
            </w:r>
            <w:proofErr w:type="gramStart"/>
            <w:r w:rsidRPr="00720245">
              <w:rPr>
                <w:rFonts w:ascii="Verdana" w:hAnsi="Verdana"/>
                <w:lang w:val="es-CO"/>
              </w:rPr>
              <w:t>por  personas</w:t>
            </w:r>
            <w:proofErr w:type="gramEnd"/>
            <w:r w:rsidRPr="00720245">
              <w:rPr>
                <w:rFonts w:ascii="Verdana" w:hAnsi="Verdana"/>
                <w:lang w:val="es-CO"/>
              </w:rPr>
              <w:t xml:space="preserve"> en proceso de reincorporación hacen parte de la población con menores ingresos y en situación de vulnerabilidad y de la población a priorizar para el acceso a los programas liderados por el Ministerio de Vivienda, Ciudad y Territorio.</w:t>
            </w:r>
          </w:p>
          <w:p w14:paraId="3269EE26" w14:textId="77777777" w:rsidR="00DB5DE6" w:rsidRDefault="00DB5DE6" w:rsidP="009374B0">
            <w:pPr>
              <w:jc w:val="both"/>
              <w:rPr>
                <w:rFonts w:ascii="Verdana" w:hAnsi="Verdana"/>
                <w:lang w:val="es-CO"/>
              </w:rPr>
            </w:pPr>
          </w:p>
          <w:p w14:paraId="69839D9F" w14:textId="71E13F9E" w:rsidR="002E4A97" w:rsidRPr="00DB5DE6" w:rsidRDefault="00CF0544" w:rsidP="1169C99A">
            <w:pPr>
              <w:jc w:val="both"/>
              <w:rPr>
                <w:rFonts w:ascii="Verdana" w:hAnsi="Verdana"/>
                <w:lang w:val="es-CO"/>
              </w:rPr>
            </w:pPr>
            <w:r w:rsidRPr="1169C99A">
              <w:rPr>
                <w:rFonts w:ascii="Verdana" w:hAnsi="Verdana"/>
                <w:lang w:val="es-CO"/>
              </w:rPr>
              <w:t>T</w:t>
            </w:r>
            <w:r w:rsidR="00FF5312" w:rsidRPr="1169C99A">
              <w:rPr>
                <w:rFonts w:ascii="Verdana" w:hAnsi="Verdana"/>
                <w:lang w:val="es-CO"/>
              </w:rPr>
              <w:t>eniendo en cuenta las disposiciones</w:t>
            </w:r>
            <w:r w:rsidR="003D4688" w:rsidRPr="1169C99A">
              <w:rPr>
                <w:rFonts w:ascii="Verdana" w:hAnsi="Verdana"/>
                <w:lang w:val="es-CO"/>
              </w:rPr>
              <w:t xml:space="preserve"> </w:t>
            </w:r>
            <w:r w:rsidR="00FF5312" w:rsidRPr="1169C99A">
              <w:rPr>
                <w:rFonts w:ascii="Verdana" w:hAnsi="Verdana"/>
                <w:lang w:val="es-CO"/>
              </w:rPr>
              <w:t xml:space="preserve">aquí descritas, resulta imperioso </w:t>
            </w:r>
            <w:r w:rsidR="00494CE1" w:rsidRPr="1169C99A">
              <w:rPr>
                <w:rFonts w:ascii="Verdana" w:hAnsi="Verdana"/>
                <w:lang w:val="es-CO"/>
              </w:rPr>
              <w:t>habilitar la aplicación del</w:t>
            </w:r>
            <w:r w:rsidR="00FF5312" w:rsidRPr="1169C99A">
              <w:rPr>
                <w:rFonts w:ascii="Verdana" w:hAnsi="Verdana"/>
                <w:lang w:val="es-CO"/>
              </w:rPr>
              <w:t xml:space="preserve"> </w:t>
            </w:r>
            <w:proofErr w:type="gramStart"/>
            <w:r w:rsidR="00FF5312" w:rsidRPr="1169C99A">
              <w:rPr>
                <w:rFonts w:ascii="Verdana" w:hAnsi="Verdana"/>
                <w:lang w:val="es-CO"/>
              </w:rPr>
              <w:t xml:space="preserve">programa </w:t>
            </w:r>
            <w:r w:rsidR="169D4885" w:rsidRPr="78ABA3D1">
              <w:rPr>
                <w:rFonts w:ascii="Verdana" w:hAnsi="Verdana"/>
                <w:lang w:val="es"/>
              </w:rPr>
              <w:t xml:space="preserve"> de</w:t>
            </w:r>
            <w:proofErr w:type="gramEnd"/>
            <w:r w:rsidR="169D4885" w:rsidRPr="78ABA3D1">
              <w:rPr>
                <w:rFonts w:ascii="Verdana" w:hAnsi="Verdana"/>
                <w:lang w:val="es"/>
              </w:rPr>
              <w:t xml:space="preserve"> promoción de acceso a la vivienda de interés social</w:t>
            </w:r>
            <w:r w:rsidR="00FF5312" w:rsidRPr="78ABA3D1">
              <w:rPr>
                <w:rFonts w:ascii="Verdana" w:hAnsi="Verdana"/>
                <w:lang w:val="es-CO"/>
              </w:rPr>
              <w:t>,</w:t>
            </w:r>
            <w:r w:rsidR="00FF5312" w:rsidRPr="1169C99A">
              <w:rPr>
                <w:rFonts w:ascii="Verdana" w:hAnsi="Verdana"/>
                <w:lang w:val="es-CO"/>
              </w:rPr>
              <w:t xml:space="preserve"> </w:t>
            </w:r>
            <w:r w:rsidR="00494CE1" w:rsidRPr="1169C99A">
              <w:rPr>
                <w:rFonts w:ascii="Verdana" w:hAnsi="Verdana"/>
                <w:lang w:val="es-CO"/>
              </w:rPr>
              <w:t>para</w:t>
            </w:r>
            <w:r w:rsidR="00FF5312" w:rsidRPr="1169C99A">
              <w:rPr>
                <w:rFonts w:ascii="Verdana" w:hAnsi="Verdana"/>
                <w:lang w:val="es-CO"/>
              </w:rPr>
              <w:t xml:space="preserve"> la adquisición de vivienda </w:t>
            </w:r>
            <w:r w:rsidR="00494CE1" w:rsidRPr="1169C99A">
              <w:rPr>
                <w:rFonts w:ascii="Verdana" w:hAnsi="Verdana"/>
                <w:lang w:val="es-CO"/>
              </w:rPr>
              <w:t xml:space="preserve">de interés social </w:t>
            </w:r>
            <w:r w:rsidR="00FF5312" w:rsidRPr="1169C99A">
              <w:rPr>
                <w:rFonts w:ascii="Verdana" w:hAnsi="Verdana"/>
                <w:lang w:val="es-CO"/>
              </w:rPr>
              <w:t>usada para población en proceso de reincorporación incluida en los listados expedidos por la Agencia para la Reincorporación y la Normalización - ARN o quien haga sus veces. Lo anterior, en aras de dar cumplimiento a la sentencia T- SU-020 de 2022</w:t>
            </w:r>
            <w:r w:rsidR="1A2F5544" w:rsidRPr="1169C99A">
              <w:rPr>
                <w:rFonts w:ascii="Verdana" w:hAnsi="Verdana"/>
                <w:lang w:val="es-CO"/>
              </w:rPr>
              <w:t xml:space="preserve"> y sus autos de seguimiento</w:t>
            </w:r>
            <w:r w:rsidR="003E2772" w:rsidRPr="1169C99A">
              <w:rPr>
                <w:rFonts w:ascii="Verdana" w:hAnsi="Verdana"/>
                <w:lang w:val="es-CO"/>
              </w:rPr>
              <w:t xml:space="preserve"> procurando la autonomía económica, la seguridad y el bienestar material y emocional de esta población, así como garantizar la inclusión e implementación efectiva del principio de enfoque diferencial.</w:t>
            </w:r>
            <w:r w:rsidR="00A86C80" w:rsidRPr="1169C99A">
              <w:rPr>
                <w:rFonts w:ascii="Verdana" w:hAnsi="Verdana"/>
                <w:lang w:val="es-CO"/>
              </w:rPr>
              <w:t xml:space="preserve"> </w:t>
            </w:r>
          </w:p>
          <w:p w14:paraId="632FA929" w14:textId="4E5EE830" w:rsidR="002E4A97" w:rsidRPr="00DB5DE6" w:rsidRDefault="002E4A97" w:rsidP="1169C99A">
            <w:pPr>
              <w:jc w:val="both"/>
              <w:rPr>
                <w:rFonts w:ascii="Verdana" w:hAnsi="Verdana"/>
                <w:lang w:val="es-CO"/>
              </w:rPr>
            </w:pPr>
          </w:p>
          <w:p w14:paraId="76FF7835" w14:textId="388FE124" w:rsidR="002E4A97" w:rsidRPr="00DB5DE6" w:rsidRDefault="1F308449" w:rsidP="1169C99A">
            <w:pPr>
              <w:pStyle w:val="Prrafodelista"/>
              <w:numPr>
                <w:ilvl w:val="0"/>
                <w:numId w:val="2"/>
              </w:numPr>
              <w:jc w:val="both"/>
              <w:rPr>
                <w:rFonts w:ascii="Verdana" w:hAnsi="Verdana"/>
                <w:lang w:val="es-CO"/>
              </w:rPr>
            </w:pPr>
            <w:r w:rsidRPr="1169C99A">
              <w:rPr>
                <w:rFonts w:ascii="Verdana" w:hAnsi="Verdana"/>
                <w:lang w:val="es-CO"/>
              </w:rPr>
              <w:t xml:space="preserve">Madres Comunitarias, </w:t>
            </w:r>
            <w:proofErr w:type="spellStart"/>
            <w:r w:rsidRPr="1169C99A">
              <w:rPr>
                <w:rFonts w:ascii="Verdana" w:hAnsi="Verdana"/>
                <w:lang w:val="es-CO"/>
              </w:rPr>
              <w:t>Famis</w:t>
            </w:r>
            <w:proofErr w:type="spellEnd"/>
            <w:r w:rsidRPr="1169C99A">
              <w:rPr>
                <w:rFonts w:ascii="Verdana" w:hAnsi="Verdana"/>
                <w:lang w:val="es-CO"/>
              </w:rPr>
              <w:t xml:space="preserve"> y madres sustitutas</w:t>
            </w:r>
          </w:p>
          <w:p w14:paraId="5A2D8786" w14:textId="77721A64" w:rsidR="002E4A97" w:rsidRPr="00DB5DE6" w:rsidRDefault="002E4A97" w:rsidP="1169C99A">
            <w:pPr>
              <w:jc w:val="both"/>
              <w:rPr>
                <w:rFonts w:ascii="Verdana" w:hAnsi="Verdana"/>
                <w:lang w:val="es-CO"/>
              </w:rPr>
            </w:pPr>
          </w:p>
          <w:p w14:paraId="69CAA6B9" w14:textId="74D32481" w:rsidR="1F308449" w:rsidRDefault="1F308449" w:rsidP="5CC81FDF">
            <w:pPr>
              <w:jc w:val="both"/>
              <w:rPr>
                <w:rFonts w:ascii="Verdana" w:eastAsia="Verdana" w:hAnsi="Verdana" w:cs="Verdana"/>
                <w:lang w:val="es-CO"/>
              </w:rPr>
            </w:pPr>
            <w:r w:rsidRPr="5CC81FDF">
              <w:rPr>
                <w:rFonts w:ascii="Verdana" w:hAnsi="Verdana"/>
                <w:lang w:val="es-CO"/>
              </w:rPr>
              <w:t xml:space="preserve">Se debe resaltar que </w:t>
            </w:r>
            <w:r w:rsidRPr="5CC81FDF">
              <w:rPr>
                <w:rFonts w:ascii="Verdana" w:eastAsia="Verdana" w:hAnsi="Verdana" w:cs="Verdana"/>
                <w:lang w:val="es"/>
              </w:rPr>
              <w:t xml:space="preserve">las mujeres que se desempeñan como Madres Comunitarias de Bienestar, </w:t>
            </w:r>
            <w:proofErr w:type="spellStart"/>
            <w:r w:rsidRPr="5CC81FDF">
              <w:rPr>
                <w:rFonts w:ascii="Verdana" w:eastAsia="Verdana" w:hAnsi="Verdana" w:cs="Verdana"/>
                <w:lang w:val="es"/>
              </w:rPr>
              <w:t>Famis</w:t>
            </w:r>
            <w:proofErr w:type="spellEnd"/>
            <w:r w:rsidRPr="5CC81FDF">
              <w:rPr>
                <w:rFonts w:ascii="Verdana" w:eastAsia="Verdana" w:hAnsi="Verdana" w:cs="Verdana"/>
                <w:lang w:val="es"/>
              </w:rPr>
              <w:t xml:space="preserve"> y Madres Sustitutas el artículo 3° del Decreto 126 de 2013 establece que: </w:t>
            </w:r>
            <w:r w:rsidRPr="5CC81FDF">
              <w:rPr>
                <w:rFonts w:ascii="Verdana" w:eastAsia="Verdana" w:hAnsi="Verdana" w:cs="Verdana"/>
                <w:i/>
                <w:iCs/>
                <w:lang w:val="es"/>
              </w:rPr>
              <w:t xml:space="preserve">“(…) las madres comunitarias de Bienestar, </w:t>
            </w:r>
            <w:proofErr w:type="spellStart"/>
            <w:r w:rsidRPr="5CC81FDF">
              <w:rPr>
                <w:rFonts w:ascii="Verdana" w:eastAsia="Verdana" w:hAnsi="Verdana" w:cs="Verdana"/>
                <w:i/>
                <w:iCs/>
                <w:lang w:val="es"/>
              </w:rPr>
              <w:t>Famis</w:t>
            </w:r>
            <w:proofErr w:type="spellEnd"/>
            <w:r w:rsidRPr="5CC81FDF">
              <w:rPr>
                <w:rFonts w:ascii="Verdana" w:eastAsia="Verdana" w:hAnsi="Verdana" w:cs="Verdana"/>
                <w:i/>
                <w:iCs/>
                <w:lang w:val="es"/>
              </w:rPr>
              <w:t xml:space="preserve"> y Madres Sustitutas previamente certificadas por el Instituto Colombiano de Bienestar Familiar (…) podrán postularse para aplicar al subsidio familiar de vivienda de interés social en las modalidades de adquisición de vivienda nueva o usada (…)”</w:t>
            </w:r>
            <w:r w:rsidRPr="5CC81FDF">
              <w:rPr>
                <w:rFonts w:ascii="Verdana" w:eastAsia="Verdana" w:hAnsi="Verdana" w:cs="Verdana"/>
                <w:lang w:val="es"/>
              </w:rPr>
              <w:t xml:space="preserve">, presupuesto normativo que las define como un grupo poblacional diferencial para acceder al Subsidio Familiar de Vivienda, entre estos, la adquisición de vivienda usada. </w:t>
            </w:r>
          </w:p>
          <w:p w14:paraId="04A30F25" w14:textId="12C3A74B" w:rsidR="5CC81FDF" w:rsidRDefault="5CC81FDF" w:rsidP="5CC81FDF">
            <w:pPr>
              <w:jc w:val="both"/>
              <w:rPr>
                <w:rFonts w:ascii="Verdana" w:eastAsia="Verdana" w:hAnsi="Verdana" w:cs="Verdana"/>
                <w:lang w:val="es"/>
              </w:rPr>
            </w:pPr>
          </w:p>
          <w:p w14:paraId="7A21C59B" w14:textId="02355FCB" w:rsidR="1F308449" w:rsidRDefault="1F308449" w:rsidP="0E75B6F8">
            <w:pPr>
              <w:spacing w:line="257" w:lineRule="auto"/>
              <w:jc w:val="both"/>
              <w:rPr>
                <w:rFonts w:ascii="Verdana" w:eastAsia="Verdana" w:hAnsi="Verdana" w:cs="Verdana"/>
                <w:lang w:val="es-CO"/>
              </w:rPr>
            </w:pPr>
            <w:r w:rsidRPr="0E75B6F8">
              <w:rPr>
                <w:rFonts w:ascii="Verdana" w:eastAsia="Verdana" w:hAnsi="Verdana" w:cs="Verdana"/>
                <w:lang w:val="es"/>
              </w:rPr>
              <w:t xml:space="preserve">Lo anterior, teniendo en cuenta que </w:t>
            </w:r>
            <w:r w:rsidRPr="0E75B6F8">
              <w:rPr>
                <w:rFonts w:ascii="Verdana" w:eastAsia="Verdana" w:hAnsi="Verdana" w:cs="Verdana"/>
                <w:color w:val="000000" w:themeColor="text1"/>
                <w:lang w:val="es-CO"/>
              </w:rPr>
              <w:t xml:space="preserve">la Honorable Corte Constitucional en Sentencia C-667 de 2006, ha hecho énfasis en que las mujeres son un grupo poblacional son un actor diferencial de especial protección </w:t>
            </w:r>
            <w:r w:rsidRPr="0E75B6F8">
              <w:rPr>
                <w:rFonts w:ascii="Verdana" w:eastAsia="Verdana" w:hAnsi="Verdana" w:cs="Verdana"/>
                <w:i/>
                <w:iCs/>
                <w:color w:val="000000" w:themeColor="text1"/>
                <w:lang w:val="es-CO"/>
              </w:rPr>
              <w:t>“(…) la mujer es sujeto constitucional de especial protección y en esa medida no sólo sus derechos generales sino igualmente los específicos, requieren de atención fija por parte de todo el poder público (…)”</w:t>
            </w:r>
            <w:r w:rsidRPr="0E75B6F8">
              <w:rPr>
                <w:rFonts w:ascii="Verdana" w:eastAsia="Verdana" w:hAnsi="Verdana" w:cs="Verdana"/>
                <w:color w:val="000000" w:themeColor="text1"/>
                <w:lang w:val="es-CO"/>
              </w:rPr>
              <w:t>.</w:t>
            </w:r>
            <w:r w:rsidR="340D9BCF" w:rsidRPr="0E75B6F8">
              <w:rPr>
                <w:rFonts w:ascii="Verdana" w:eastAsia="Verdana" w:hAnsi="Verdana" w:cs="Verdana"/>
                <w:color w:val="000000" w:themeColor="text1"/>
                <w:lang w:val="es-CO"/>
              </w:rPr>
              <w:t xml:space="preserve"> </w:t>
            </w:r>
            <w:r w:rsidR="340D9BCF" w:rsidRPr="0E75B6F8">
              <w:rPr>
                <w:rFonts w:ascii="Verdana" w:eastAsia="Verdana" w:hAnsi="Verdana" w:cs="Verdana"/>
                <w:lang w:val="es-CO"/>
              </w:rPr>
              <w:t>Según el informe de Mujeres y hombres: brechas de género en Colombia, en 2021 el (…) 40,3% de las mujeres estaban en condición de pobreza en el país. Es decir, los hogares integrados por mujeres, especialmente mujeres cabeza de hogar hacen parte de la población con menores ingresos y en situación de vulnerabilidad.</w:t>
            </w:r>
          </w:p>
          <w:p w14:paraId="1E6CD3E6" w14:textId="77777777" w:rsidR="002A2A77" w:rsidRDefault="002A2A77" w:rsidP="0E75B6F8">
            <w:pPr>
              <w:spacing w:line="257" w:lineRule="auto"/>
              <w:jc w:val="both"/>
              <w:rPr>
                <w:rFonts w:ascii="Verdana" w:eastAsia="Verdana" w:hAnsi="Verdana" w:cs="Verdana"/>
                <w:lang w:val="es-CO"/>
              </w:rPr>
            </w:pPr>
          </w:p>
          <w:p w14:paraId="7C3016C6" w14:textId="0A34AC16" w:rsidR="002A2A77" w:rsidRPr="00AC3440" w:rsidRDefault="002A2A77" w:rsidP="1CEBD9B9">
            <w:pPr>
              <w:jc w:val="center"/>
              <w:rPr>
                <w:rFonts w:ascii="Verdana" w:hAnsi="Verdana"/>
                <w:i/>
                <w:iCs/>
              </w:rPr>
            </w:pPr>
            <w:r w:rsidRPr="00720245">
              <w:rPr>
                <w:rFonts w:ascii="Verdana" w:hAnsi="Verdana"/>
                <w:i/>
                <w:iCs/>
              </w:rPr>
              <w:t>Tabla 1. Número de madres y padres comunitarios o sustitutos registrados por departamento</w:t>
            </w:r>
          </w:p>
          <w:tbl>
            <w:tblPr>
              <w:tblW w:w="4603" w:type="dxa"/>
              <w:jc w:val="center"/>
              <w:tblLayout w:type="fixed"/>
              <w:tblCellMar>
                <w:top w:w="15" w:type="dxa"/>
                <w:left w:w="15" w:type="dxa"/>
                <w:bottom w:w="15" w:type="dxa"/>
                <w:right w:w="15" w:type="dxa"/>
              </w:tblCellMar>
              <w:tblLook w:val="04A0" w:firstRow="1" w:lastRow="0" w:firstColumn="1" w:lastColumn="0" w:noHBand="0" w:noVBand="1"/>
            </w:tblPr>
            <w:tblGrid>
              <w:gridCol w:w="2080"/>
              <w:gridCol w:w="1323"/>
              <w:gridCol w:w="1200"/>
            </w:tblGrid>
            <w:tr w:rsidR="002A2A77" w:rsidRPr="00F77AED" w14:paraId="5B87E481" w14:textId="77777777" w:rsidTr="00960D57">
              <w:trPr>
                <w:trHeight w:val="300"/>
                <w:jc w:val="center"/>
              </w:trPr>
              <w:tc>
                <w:tcPr>
                  <w:tcW w:w="2080" w:type="dxa"/>
                  <w:tcBorders>
                    <w:top w:val="single" w:sz="4" w:space="0" w:color="505050"/>
                    <w:left w:val="single" w:sz="4" w:space="0" w:color="505050"/>
                    <w:bottom w:val="single" w:sz="4" w:space="0" w:color="505050"/>
                    <w:right w:val="single" w:sz="4" w:space="0" w:color="505050"/>
                  </w:tcBorders>
                  <w:noWrap/>
                  <w:vAlign w:val="bottom"/>
                  <w:hideMark/>
                </w:tcPr>
                <w:p w14:paraId="5BE6A8C8" w14:textId="77777777" w:rsidR="002A2A77" w:rsidRPr="00F77AED" w:rsidRDefault="002A2A77" w:rsidP="002A2A77">
                  <w:pPr>
                    <w:rPr>
                      <w:rFonts w:ascii="Calibri" w:hAnsi="Calibri"/>
                      <w:color w:val="000000"/>
                      <w:sz w:val="22"/>
                      <w:szCs w:val="22"/>
                      <w:lang w:eastAsia="en-US"/>
                    </w:rPr>
                  </w:pPr>
                  <w:r w:rsidRPr="00F77AED">
                    <w:rPr>
                      <w:rFonts w:ascii="Calibri" w:hAnsi="Calibri"/>
                      <w:color w:val="000000"/>
                      <w:sz w:val="22"/>
                      <w:szCs w:val="22"/>
                      <w:lang w:eastAsia="en-US"/>
                    </w:rPr>
                    <w:t>Departamento</w:t>
                  </w:r>
                </w:p>
              </w:tc>
              <w:tc>
                <w:tcPr>
                  <w:tcW w:w="1323" w:type="dxa"/>
                  <w:tcBorders>
                    <w:top w:val="single" w:sz="4" w:space="0" w:color="505050"/>
                    <w:left w:val="single" w:sz="4" w:space="0" w:color="505050"/>
                    <w:bottom w:val="single" w:sz="4" w:space="0" w:color="505050"/>
                    <w:right w:val="single" w:sz="4" w:space="0" w:color="505050"/>
                  </w:tcBorders>
                  <w:noWrap/>
                  <w:vAlign w:val="bottom"/>
                  <w:hideMark/>
                </w:tcPr>
                <w:p w14:paraId="3AE5EE6D" w14:textId="77777777" w:rsidR="002A2A77" w:rsidRPr="00F77AED" w:rsidRDefault="002A2A77" w:rsidP="002A2A77">
                  <w:pPr>
                    <w:rPr>
                      <w:rFonts w:ascii="Calibri" w:hAnsi="Calibri"/>
                      <w:color w:val="000000"/>
                      <w:sz w:val="22"/>
                      <w:szCs w:val="22"/>
                      <w:lang w:eastAsia="en-US"/>
                    </w:rPr>
                  </w:pPr>
                  <w:r w:rsidRPr="00F77AED">
                    <w:rPr>
                      <w:rFonts w:ascii="Calibri" w:hAnsi="Calibri"/>
                      <w:color w:val="000000"/>
                      <w:sz w:val="22"/>
                      <w:szCs w:val="22"/>
                      <w:lang w:eastAsia="en-US"/>
                    </w:rPr>
                    <w:t xml:space="preserve">Número de madres y padres comunitarios o sustitutos </w:t>
                  </w:r>
                </w:p>
              </w:tc>
              <w:tc>
                <w:tcPr>
                  <w:tcW w:w="1200" w:type="dxa"/>
                  <w:tcBorders>
                    <w:top w:val="single" w:sz="4" w:space="0" w:color="505050"/>
                    <w:left w:val="single" w:sz="4" w:space="0" w:color="505050"/>
                    <w:bottom w:val="single" w:sz="4" w:space="0" w:color="505050"/>
                    <w:right w:val="single" w:sz="4" w:space="0" w:color="505050"/>
                  </w:tcBorders>
                  <w:noWrap/>
                  <w:vAlign w:val="bottom"/>
                  <w:hideMark/>
                </w:tcPr>
                <w:p w14:paraId="21F8A969" w14:textId="77777777" w:rsidR="002A2A77" w:rsidRPr="00F77AED" w:rsidRDefault="002A2A77" w:rsidP="002A2A77">
                  <w:pPr>
                    <w:rPr>
                      <w:rFonts w:ascii="Calibri" w:hAnsi="Calibri"/>
                      <w:color w:val="000000"/>
                      <w:sz w:val="22"/>
                      <w:szCs w:val="22"/>
                      <w:lang w:eastAsia="en-US"/>
                    </w:rPr>
                  </w:pPr>
                  <w:r w:rsidRPr="00F77AED">
                    <w:rPr>
                      <w:rFonts w:ascii="Calibri" w:hAnsi="Calibri"/>
                      <w:color w:val="000000"/>
                      <w:sz w:val="22"/>
                      <w:szCs w:val="22"/>
                      <w:lang w:eastAsia="en-US"/>
                    </w:rPr>
                    <w:t>Porcentaje</w:t>
                  </w:r>
                </w:p>
              </w:tc>
            </w:tr>
            <w:tr w:rsidR="002A2A77" w:rsidRPr="00F77AED" w14:paraId="495737BC" w14:textId="77777777" w:rsidTr="00960D57">
              <w:trPr>
                <w:trHeight w:val="300"/>
                <w:jc w:val="center"/>
              </w:trPr>
              <w:tc>
                <w:tcPr>
                  <w:tcW w:w="2080" w:type="dxa"/>
                  <w:tcBorders>
                    <w:top w:val="single" w:sz="4" w:space="0" w:color="505050"/>
                    <w:left w:val="single" w:sz="4" w:space="0" w:color="505050"/>
                    <w:bottom w:val="single" w:sz="4" w:space="0" w:color="505050"/>
                    <w:right w:val="single" w:sz="4" w:space="0" w:color="505050"/>
                  </w:tcBorders>
                  <w:noWrap/>
                  <w:vAlign w:val="bottom"/>
                  <w:hideMark/>
                </w:tcPr>
                <w:p w14:paraId="07560E05" w14:textId="77777777" w:rsidR="002A2A77" w:rsidRPr="00F77AED" w:rsidRDefault="002A2A77" w:rsidP="002A2A77">
                  <w:pPr>
                    <w:rPr>
                      <w:rFonts w:ascii="Calibri" w:hAnsi="Calibri"/>
                      <w:color w:val="000000"/>
                      <w:sz w:val="22"/>
                      <w:szCs w:val="22"/>
                      <w:lang w:eastAsia="en-US"/>
                    </w:rPr>
                  </w:pPr>
                  <w:r w:rsidRPr="00F77AED">
                    <w:rPr>
                      <w:rFonts w:ascii="Calibri" w:hAnsi="Calibri"/>
                      <w:color w:val="000000"/>
                      <w:sz w:val="22"/>
                      <w:szCs w:val="22"/>
                      <w:lang w:eastAsia="en-US"/>
                    </w:rPr>
                    <w:t>Amazonas</w:t>
                  </w:r>
                </w:p>
              </w:tc>
              <w:tc>
                <w:tcPr>
                  <w:tcW w:w="1323" w:type="dxa"/>
                  <w:tcBorders>
                    <w:top w:val="single" w:sz="4" w:space="0" w:color="505050"/>
                    <w:left w:val="single" w:sz="4" w:space="0" w:color="505050"/>
                    <w:bottom w:val="single" w:sz="4" w:space="0" w:color="505050"/>
                    <w:right w:val="single" w:sz="4" w:space="0" w:color="505050"/>
                  </w:tcBorders>
                  <w:noWrap/>
                  <w:vAlign w:val="bottom"/>
                  <w:hideMark/>
                </w:tcPr>
                <w:p w14:paraId="0B64918A"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0</w:t>
                  </w:r>
                </w:p>
              </w:tc>
              <w:tc>
                <w:tcPr>
                  <w:tcW w:w="1200" w:type="dxa"/>
                  <w:tcBorders>
                    <w:top w:val="single" w:sz="4" w:space="0" w:color="505050"/>
                    <w:left w:val="single" w:sz="4" w:space="0" w:color="505050"/>
                    <w:bottom w:val="single" w:sz="4" w:space="0" w:color="505050"/>
                    <w:right w:val="single" w:sz="4" w:space="0" w:color="505050"/>
                  </w:tcBorders>
                  <w:noWrap/>
                  <w:vAlign w:val="bottom"/>
                  <w:hideMark/>
                </w:tcPr>
                <w:p w14:paraId="2C3005B2"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0%</w:t>
                  </w:r>
                </w:p>
              </w:tc>
            </w:tr>
            <w:tr w:rsidR="002A2A77" w:rsidRPr="00F77AED" w14:paraId="7312F18F" w14:textId="77777777" w:rsidTr="00960D57">
              <w:trPr>
                <w:trHeight w:val="300"/>
                <w:jc w:val="center"/>
              </w:trPr>
              <w:tc>
                <w:tcPr>
                  <w:tcW w:w="2080" w:type="dxa"/>
                  <w:tcBorders>
                    <w:top w:val="single" w:sz="4" w:space="0" w:color="505050"/>
                    <w:left w:val="single" w:sz="4" w:space="0" w:color="505050"/>
                    <w:bottom w:val="single" w:sz="4" w:space="0" w:color="505050"/>
                    <w:right w:val="single" w:sz="4" w:space="0" w:color="505050"/>
                  </w:tcBorders>
                  <w:noWrap/>
                  <w:vAlign w:val="bottom"/>
                  <w:hideMark/>
                </w:tcPr>
                <w:p w14:paraId="3201F85F" w14:textId="77777777" w:rsidR="002A2A77" w:rsidRPr="00F77AED" w:rsidRDefault="002A2A77" w:rsidP="002A2A77">
                  <w:pPr>
                    <w:rPr>
                      <w:rFonts w:ascii="Calibri" w:hAnsi="Calibri"/>
                      <w:color w:val="000000"/>
                      <w:sz w:val="22"/>
                      <w:szCs w:val="22"/>
                      <w:lang w:eastAsia="en-US"/>
                    </w:rPr>
                  </w:pPr>
                  <w:r w:rsidRPr="00F77AED">
                    <w:rPr>
                      <w:rFonts w:ascii="Calibri" w:hAnsi="Calibri"/>
                      <w:color w:val="000000"/>
                      <w:sz w:val="22"/>
                      <w:szCs w:val="22"/>
                      <w:lang w:eastAsia="en-US"/>
                    </w:rPr>
                    <w:t>Antioquia</w:t>
                  </w:r>
                </w:p>
              </w:tc>
              <w:tc>
                <w:tcPr>
                  <w:tcW w:w="1323" w:type="dxa"/>
                  <w:tcBorders>
                    <w:top w:val="single" w:sz="4" w:space="0" w:color="505050"/>
                    <w:left w:val="single" w:sz="4" w:space="0" w:color="505050"/>
                    <w:bottom w:val="single" w:sz="4" w:space="0" w:color="505050"/>
                    <w:right w:val="single" w:sz="4" w:space="0" w:color="505050"/>
                  </w:tcBorders>
                  <w:noWrap/>
                  <w:vAlign w:val="bottom"/>
                  <w:hideMark/>
                </w:tcPr>
                <w:p w14:paraId="10A21C85"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3069</w:t>
                  </w:r>
                </w:p>
              </w:tc>
              <w:tc>
                <w:tcPr>
                  <w:tcW w:w="1200" w:type="dxa"/>
                  <w:tcBorders>
                    <w:top w:val="single" w:sz="4" w:space="0" w:color="505050"/>
                    <w:left w:val="single" w:sz="4" w:space="0" w:color="505050"/>
                    <w:bottom w:val="single" w:sz="4" w:space="0" w:color="505050"/>
                    <w:right w:val="single" w:sz="4" w:space="0" w:color="505050"/>
                  </w:tcBorders>
                  <w:noWrap/>
                  <w:vAlign w:val="bottom"/>
                  <w:hideMark/>
                </w:tcPr>
                <w:p w14:paraId="362CE326"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7%</w:t>
                  </w:r>
                </w:p>
              </w:tc>
            </w:tr>
            <w:tr w:rsidR="002A2A77" w:rsidRPr="00F77AED" w14:paraId="4D56DE0E" w14:textId="77777777" w:rsidTr="00960D57">
              <w:trPr>
                <w:trHeight w:val="300"/>
                <w:jc w:val="center"/>
              </w:trPr>
              <w:tc>
                <w:tcPr>
                  <w:tcW w:w="2080" w:type="dxa"/>
                  <w:tcBorders>
                    <w:top w:val="single" w:sz="4" w:space="0" w:color="505050"/>
                    <w:left w:val="single" w:sz="4" w:space="0" w:color="505050"/>
                    <w:bottom w:val="single" w:sz="4" w:space="0" w:color="505050"/>
                    <w:right w:val="single" w:sz="4" w:space="0" w:color="505050"/>
                  </w:tcBorders>
                  <w:noWrap/>
                  <w:vAlign w:val="bottom"/>
                  <w:hideMark/>
                </w:tcPr>
                <w:p w14:paraId="38C9E31A" w14:textId="77777777" w:rsidR="002A2A77" w:rsidRPr="00F77AED" w:rsidRDefault="002A2A77" w:rsidP="002A2A77">
                  <w:pPr>
                    <w:rPr>
                      <w:rFonts w:ascii="Calibri" w:hAnsi="Calibri"/>
                      <w:color w:val="000000"/>
                      <w:sz w:val="22"/>
                      <w:szCs w:val="22"/>
                      <w:lang w:eastAsia="en-US"/>
                    </w:rPr>
                  </w:pPr>
                  <w:r w:rsidRPr="00F77AED">
                    <w:rPr>
                      <w:rFonts w:ascii="Calibri" w:hAnsi="Calibri"/>
                      <w:color w:val="000000"/>
                      <w:sz w:val="22"/>
                      <w:szCs w:val="22"/>
                      <w:lang w:eastAsia="en-US"/>
                    </w:rPr>
                    <w:t>Arauca</w:t>
                  </w:r>
                </w:p>
              </w:tc>
              <w:tc>
                <w:tcPr>
                  <w:tcW w:w="1323" w:type="dxa"/>
                  <w:tcBorders>
                    <w:top w:val="single" w:sz="4" w:space="0" w:color="505050"/>
                    <w:left w:val="single" w:sz="4" w:space="0" w:color="505050"/>
                    <w:bottom w:val="single" w:sz="4" w:space="0" w:color="505050"/>
                    <w:right w:val="single" w:sz="4" w:space="0" w:color="505050"/>
                  </w:tcBorders>
                  <w:noWrap/>
                  <w:vAlign w:val="bottom"/>
                  <w:hideMark/>
                </w:tcPr>
                <w:p w14:paraId="341A2281"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56</w:t>
                  </w:r>
                </w:p>
              </w:tc>
              <w:tc>
                <w:tcPr>
                  <w:tcW w:w="1200" w:type="dxa"/>
                  <w:tcBorders>
                    <w:top w:val="single" w:sz="4" w:space="0" w:color="505050"/>
                    <w:left w:val="single" w:sz="4" w:space="0" w:color="505050"/>
                    <w:bottom w:val="single" w:sz="4" w:space="0" w:color="505050"/>
                    <w:right w:val="single" w:sz="4" w:space="0" w:color="505050"/>
                  </w:tcBorders>
                  <w:noWrap/>
                  <w:vAlign w:val="bottom"/>
                  <w:hideMark/>
                </w:tcPr>
                <w:p w14:paraId="69AA8255"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0%</w:t>
                  </w:r>
                </w:p>
              </w:tc>
            </w:tr>
            <w:tr w:rsidR="002A2A77" w:rsidRPr="00F77AED" w14:paraId="01047C9A" w14:textId="77777777" w:rsidTr="00960D57">
              <w:trPr>
                <w:trHeight w:val="300"/>
                <w:jc w:val="center"/>
              </w:trPr>
              <w:tc>
                <w:tcPr>
                  <w:tcW w:w="2080" w:type="dxa"/>
                  <w:tcBorders>
                    <w:top w:val="single" w:sz="4" w:space="0" w:color="505050"/>
                    <w:left w:val="single" w:sz="4" w:space="0" w:color="505050"/>
                    <w:bottom w:val="single" w:sz="4" w:space="0" w:color="505050"/>
                    <w:right w:val="single" w:sz="4" w:space="0" w:color="505050"/>
                  </w:tcBorders>
                  <w:noWrap/>
                  <w:vAlign w:val="bottom"/>
                  <w:hideMark/>
                </w:tcPr>
                <w:p w14:paraId="18919D80" w14:textId="77777777" w:rsidR="002A2A77" w:rsidRPr="00F77AED" w:rsidRDefault="002A2A77" w:rsidP="002A2A77">
                  <w:pPr>
                    <w:rPr>
                      <w:rFonts w:ascii="Calibri" w:hAnsi="Calibri"/>
                      <w:color w:val="000000"/>
                      <w:sz w:val="22"/>
                      <w:szCs w:val="22"/>
                      <w:lang w:eastAsia="en-US"/>
                    </w:rPr>
                  </w:pPr>
                  <w:r w:rsidRPr="00F77AED">
                    <w:rPr>
                      <w:rFonts w:ascii="Calibri" w:hAnsi="Calibri"/>
                      <w:color w:val="000000"/>
                      <w:sz w:val="22"/>
                      <w:szCs w:val="22"/>
                      <w:lang w:eastAsia="en-US"/>
                    </w:rPr>
                    <w:t>Atlántico</w:t>
                  </w:r>
                </w:p>
              </w:tc>
              <w:tc>
                <w:tcPr>
                  <w:tcW w:w="1323" w:type="dxa"/>
                  <w:tcBorders>
                    <w:top w:val="single" w:sz="4" w:space="0" w:color="505050"/>
                    <w:left w:val="single" w:sz="4" w:space="0" w:color="505050"/>
                    <w:bottom w:val="single" w:sz="4" w:space="0" w:color="505050"/>
                    <w:right w:val="single" w:sz="4" w:space="0" w:color="505050"/>
                  </w:tcBorders>
                  <w:noWrap/>
                  <w:vAlign w:val="bottom"/>
                  <w:hideMark/>
                </w:tcPr>
                <w:p w14:paraId="2553E5E2"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3716</w:t>
                  </w:r>
                </w:p>
              </w:tc>
              <w:tc>
                <w:tcPr>
                  <w:tcW w:w="1200" w:type="dxa"/>
                  <w:tcBorders>
                    <w:top w:val="single" w:sz="4" w:space="0" w:color="505050"/>
                    <w:left w:val="single" w:sz="4" w:space="0" w:color="505050"/>
                    <w:bottom w:val="single" w:sz="4" w:space="0" w:color="505050"/>
                    <w:right w:val="single" w:sz="4" w:space="0" w:color="505050"/>
                  </w:tcBorders>
                  <w:noWrap/>
                  <w:vAlign w:val="bottom"/>
                  <w:hideMark/>
                </w:tcPr>
                <w:p w14:paraId="1EA6D34A"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9%</w:t>
                  </w:r>
                </w:p>
              </w:tc>
            </w:tr>
            <w:tr w:rsidR="002A2A77" w:rsidRPr="00F77AED" w14:paraId="1C084C45" w14:textId="77777777" w:rsidTr="00960D57">
              <w:trPr>
                <w:trHeight w:val="300"/>
                <w:jc w:val="center"/>
              </w:trPr>
              <w:tc>
                <w:tcPr>
                  <w:tcW w:w="2080" w:type="dxa"/>
                  <w:tcBorders>
                    <w:top w:val="single" w:sz="4" w:space="0" w:color="505050"/>
                    <w:left w:val="single" w:sz="4" w:space="0" w:color="505050"/>
                    <w:bottom w:val="single" w:sz="4" w:space="0" w:color="505050"/>
                    <w:right w:val="single" w:sz="4" w:space="0" w:color="505050"/>
                  </w:tcBorders>
                  <w:noWrap/>
                  <w:vAlign w:val="bottom"/>
                  <w:hideMark/>
                </w:tcPr>
                <w:p w14:paraId="242CD4B2" w14:textId="44CAC894" w:rsidR="002A2A77" w:rsidRPr="00F77AED" w:rsidRDefault="00744F17" w:rsidP="002A2A77">
                  <w:pPr>
                    <w:rPr>
                      <w:rFonts w:ascii="Calibri" w:hAnsi="Calibri"/>
                      <w:color w:val="000000"/>
                      <w:sz w:val="22"/>
                      <w:szCs w:val="22"/>
                      <w:lang w:eastAsia="en-US"/>
                    </w:rPr>
                  </w:pPr>
                  <w:r w:rsidRPr="00F77AED">
                    <w:rPr>
                      <w:rFonts w:ascii="Calibri" w:hAnsi="Calibri"/>
                      <w:color w:val="000000"/>
                      <w:sz w:val="22"/>
                      <w:szCs w:val="22"/>
                      <w:lang w:eastAsia="en-US"/>
                    </w:rPr>
                    <w:t>Bogotá</w:t>
                  </w:r>
                  <w:r w:rsidR="002A2A77" w:rsidRPr="00F77AED">
                    <w:rPr>
                      <w:rFonts w:ascii="Calibri" w:hAnsi="Calibri"/>
                      <w:color w:val="000000"/>
                      <w:sz w:val="22"/>
                      <w:szCs w:val="22"/>
                      <w:lang w:eastAsia="en-US"/>
                    </w:rPr>
                    <w:t xml:space="preserve"> D.C.</w:t>
                  </w:r>
                </w:p>
              </w:tc>
              <w:tc>
                <w:tcPr>
                  <w:tcW w:w="1323" w:type="dxa"/>
                  <w:tcBorders>
                    <w:top w:val="single" w:sz="4" w:space="0" w:color="505050"/>
                    <w:left w:val="single" w:sz="4" w:space="0" w:color="505050"/>
                    <w:bottom w:val="single" w:sz="4" w:space="0" w:color="505050"/>
                    <w:right w:val="single" w:sz="4" w:space="0" w:color="505050"/>
                  </w:tcBorders>
                  <w:noWrap/>
                  <w:vAlign w:val="bottom"/>
                  <w:hideMark/>
                </w:tcPr>
                <w:p w14:paraId="66E885B5"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2574</w:t>
                  </w:r>
                </w:p>
              </w:tc>
              <w:tc>
                <w:tcPr>
                  <w:tcW w:w="1200" w:type="dxa"/>
                  <w:tcBorders>
                    <w:top w:val="single" w:sz="4" w:space="0" w:color="505050"/>
                    <w:left w:val="single" w:sz="4" w:space="0" w:color="505050"/>
                    <w:bottom w:val="single" w:sz="4" w:space="0" w:color="505050"/>
                    <w:right w:val="single" w:sz="4" w:space="0" w:color="505050"/>
                  </w:tcBorders>
                  <w:noWrap/>
                  <w:vAlign w:val="bottom"/>
                  <w:hideMark/>
                </w:tcPr>
                <w:p w14:paraId="015E5C51"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6%</w:t>
                  </w:r>
                </w:p>
              </w:tc>
            </w:tr>
            <w:tr w:rsidR="002A2A77" w:rsidRPr="00F77AED" w14:paraId="2A1F85AB" w14:textId="77777777" w:rsidTr="00960D57">
              <w:trPr>
                <w:trHeight w:val="300"/>
                <w:jc w:val="center"/>
              </w:trPr>
              <w:tc>
                <w:tcPr>
                  <w:tcW w:w="2080" w:type="dxa"/>
                  <w:tcBorders>
                    <w:top w:val="single" w:sz="4" w:space="0" w:color="505050"/>
                    <w:left w:val="single" w:sz="4" w:space="0" w:color="505050"/>
                    <w:bottom w:val="single" w:sz="4" w:space="0" w:color="505050"/>
                    <w:right w:val="single" w:sz="4" w:space="0" w:color="505050"/>
                  </w:tcBorders>
                  <w:noWrap/>
                  <w:vAlign w:val="bottom"/>
                  <w:hideMark/>
                </w:tcPr>
                <w:p w14:paraId="0562B96E" w14:textId="77777777" w:rsidR="002A2A77" w:rsidRPr="00F77AED" w:rsidRDefault="002A2A77" w:rsidP="002A2A77">
                  <w:pPr>
                    <w:rPr>
                      <w:rFonts w:ascii="Calibri" w:hAnsi="Calibri"/>
                      <w:color w:val="000000"/>
                      <w:sz w:val="22"/>
                      <w:szCs w:val="22"/>
                      <w:lang w:eastAsia="en-US"/>
                    </w:rPr>
                  </w:pPr>
                  <w:r w:rsidRPr="00F77AED">
                    <w:rPr>
                      <w:rFonts w:ascii="Calibri" w:hAnsi="Calibri"/>
                      <w:color w:val="000000"/>
                      <w:sz w:val="22"/>
                      <w:szCs w:val="22"/>
                      <w:lang w:eastAsia="en-US"/>
                    </w:rPr>
                    <w:t>Bolívar</w:t>
                  </w:r>
                </w:p>
              </w:tc>
              <w:tc>
                <w:tcPr>
                  <w:tcW w:w="1323" w:type="dxa"/>
                  <w:tcBorders>
                    <w:top w:val="single" w:sz="4" w:space="0" w:color="505050"/>
                    <w:left w:val="single" w:sz="4" w:space="0" w:color="505050"/>
                    <w:bottom w:val="single" w:sz="4" w:space="0" w:color="505050"/>
                    <w:right w:val="single" w:sz="4" w:space="0" w:color="505050"/>
                  </w:tcBorders>
                  <w:noWrap/>
                  <w:vAlign w:val="bottom"/>
                  <w:hideMark/>
                </w:tcPr>
                <w:p w14:paraId="37705F15"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3432</w:t>
                  </w:r>
                </w:p>
              </w:tc>
              <w:tc>
                <w:tcPr>
                  <w:tcW w:w="1200" w:type="dxa"/>
                  <w:tcBorders>
                    <w:top w:val="single" w:sz="4" w:space="0" w:color="505050"/>
                    <w:left w:val="single" w:sz="4" w:space="0" w:color="505050"/>
                    <w:bottom w:val="single" w:sz="4" w:space="0" w:color="505050"/>
                    <w:right w:val="single" w:sz="4" w:space="0" w:color="505050"/>
                  </w:tcBorders>
                  <w:noWrap/>
                  <w:vAlign w:val="bottom"/>
                  <w:hideMark/>
                </w:tcPr>
                <w:p w14:paraId="6CFC679B"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8%</w:t>
                  </w:r>
                </w:p>
              </w:tc>
            </w:tr>
            <w:tr w:rsidR="002A2A77" w:rsidRPr="00F77AED" w14:paraId="7F35383A" w14:textId="77777777" w:rsidTr="00960D57">
              <w:trPr>
                <w:trHeight w:val="300"/>
                <w:jc w:val="center"/>
              </w:trPr>
              <w:tc>
                <w:tcPr>
                  <w:tcW w:w="2080" w:type="dxa"/>
                  <w:tcBorders>
                    <w:top w:val="single" w:sz="4" w:space="0" w:color="505050"/>
                    <w:left w:val="single" w:sz="4" w:space="0" w:color="505050"/>
                    <w:bottom w:val="single" w:sz="4" w:space="0" w:color="505050"/>
                    <w:right w:val="single" w:sz="4" w:space="0" w:color="505050"/>
                  </w:tcBorders>
                  <w:noWrap/>
                  <w:vAlign w:val="bottom"/>
                  <w:hideMark/>
                </w:tcPr>
                <w:p w14:paraId="1657BB61" w14:textId="77777777" w:rsidR="002A2A77" w:rsidRPr="00F77AED" w:rsidRDefault="002A2A77" w:rsidP="002A2A77">
                  <w:pPr>
                    <w:rPr>
                      <w:rFonts w:ascii="Calibri" w:hAnsi="Calibri"/>
                      <w:color w:val="000000"/>
                      <w:sz w:val="22"/>
                      <w:szCs w:val="22"/>
                      <w:lang w:eastAsia="en-US"/>
                    </w:rPr>
                  </w:pPr>
                  <w:r w:rsidRPr="00F77AED">
                    <w:rPr>
                      <w:rFonts w:ascii="Calibri" w:hAnsi="Calibri"/>
                      <w:color w:val="000000"/>
                      <w:sz w:val="22"/>
                      <w:szCs w:val="22"/>
                      <w:lang w:eastAsia="en-US"/>
                    </w:rPr>
                    <w:lastRenderedPageBreak/>
                    <w:t>Boyacá</w:t>
                  </w:r>
                </w:p>
              </w:tc>
              <w:tc>
                <w:tcPr>
                  <w:tcW w:w="1323" w:type="dxa"/>
                  <w:tcBorders>
                    <w:top w:val="single" w:sz="4" w:space="0" w:color="505050"/>
                    <w:left w:val="single" w:sz="4" w:space="0" w:color="505050"/>
                    <w:bottom w:val="single" w:sz="4" w:space="0" w:color="505050"/>
                    <w:right w:val="single" w:sz="4" w:space="0" w:color="505050"/>
                  </w:tcBorders>
                  <w:noWrap/>
                  <w:vAlign w:val="bottom"/>
                  <w:hideMark/>
                </w:tcPr>
                <w:p w14:paraId="3EBC2BF0"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1463</w:t>
                  </w:r>
                </w:p>
              </w:tc>
              <w:tc>
                <w:tcPr>
                  <w:tcW w:w="1200" w:type="dxa"/>
                  <w:tcBorders>
                    <w:top w:val="single" w:sz="4" w:space="0" w:color="505050"/>
                    <w:left w:val="single" w:sz="4" w:space="0" w:color="505050"/>
                    <w:bottom w:val="single" w:sz="4" w:space="0" w:color="505050"/>
                    <w:right w:val="single" w:sz="4" w:space="0" w:color="505050"/>
                  </w:tcBorders>
                  <w:noWrap/>
                  <w:vAlign w:val="bottom"/>
                  <w:hideMark/>
                </w:tcPr>
                <w:p w14:paraId="53EE7CC3"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4%</w:t>
                  </w:r>
                </w:p>
              </w:tc>
            </w:tr>
            <w:tr w:rsidR="002A2A77" w:rsidRPr="00F77AED" w14:paraId="194FA779" w14:textId="77777777" w:rsidTr="00960D57">
              <w:trPr>
                <w:trHeight w:val="300"/>
                <w:jc w:val="center"/>
              </w:trPr>
              <w:tc>
                <w:tcPr>
                  <w:tcW w:w="2080" w:type="dxa"/>
                  <w:tcBorders>
                    <w:top w:val="single" w:sz="4" w:space="0" w:color="505050"/>
                    <w:left w:val="single" w:sz="4" w:space="0" w:color="505050"/>
                    <w:bottom w:val="single" w:sz="4" w:space="0" w:color="505050"/>
                    <w:right w:val="single" w:sz="4" w:space="0" w:color="505050"/>
                  </w:tcBorders>
                  <w:noWrap/>
                  <w:vAlign w:val="bottom"/>
                  <w:hideMark/>
                </w:tcPr>
                <w:p w14:paraId="37BAFEC9" w14:textId="77777777" w:rsidR="002A2A77" w:rsidRPr="00F77AED" w:rsidRDefault="002A2A77" w:rsidP="002A2A77">
                  <w:pPr>
                    <w:rPr>
                      <w:rFonts w:ascii="Calibri" w:hAnsi="Calibri"/>
                      <w:color w:val="000000"/>
                      <w:sz w:val="22"/>
                      <w:szCs w:val="22"/>
                      <w:lang w:eastAsia="en-US"/>
                    </w:rPr>
                  </w:pPr>
                  <w:r w:rsidRPr="00F77AED">
                    <w:rPr>
                      <w:rFonts w:ascii="Calibri" w:hAnsi="Calibri"/>
                      <w:color w:val="000000"/>
                      <w:sz w:val="22"/>
                      <w:szCs w:val="22"/>
                      <w:lang w:eastAsia="en-US"/>
                    </w:rPr>
                    <w:t>Caldas</w:t>
                  </w:r>
                </w:p>
              </w:tc>
              <w:tc>
                <w:tcPr>
                  <w:tcW w:w="1323" w:type="dxa"/>
                  <w:tcBorders>
                    <w:top w:val="single" w:sz="4" w:space="0" w:color="505050"/>
                    <w:left w:val="single" w:sz="4" w:space="0" w:color="505050"/>
                    <w:bottom w:val="single" w:sz="4" w:space="0" w:color="505050"/>
                    <w:right w:val="single" w:sz="4" w:space="0" w:color="505050"/>
                  </w:tcBorders>
                  <w:noWrap/>
                  <w:vAlign w:val="bottom"/>
                  <w:hideMark/>
                </w:tcPr>
                <w:p w14:paraId="1BCD2649"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161</w:t>
                  </w:r>
                </w:p>
              </w:tc>
              <w:tc>
                <w:tcPr>
                  <w:tcW w:w="1200" w:type="dxa"/>
                  <w:tcBorders>
                    <w:top w:val="single" w:sz="4" w:space="0" w:color="505050"/>
                    <w:left w:val="single" w:sz="4" w:space="0" w:color="505050"/>
                    <w:bottom w:val="single" w:sz="4" w:space="0" w:color="505050"/>
                    <w:right w:val="single" w:sz="4" w:space="0" w:color="505050"/>
                  </w:tcBorders>
                  <w:noWrap/>
                  <w:vAlign w:val="bottom"/>
                  <w:hideMark/>
                </w:tcPr>
                <w:p w14:paraId="28427A04"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0%</w:t>
                  </w:r>
                </w:p>
              </w:tc>
            </w:tr>
            <w:tr w:rsidR="002A2A77" w:rsidRPr="00F77AED" w14:paraId="6BA6B911" w14:textId="77777777" w:rsidTr="00960D57">
              <w:trPr>
                <w:trHeight w:val="300"/>
                <w:jc w:val="center"/>
              </w:trPr>
              <w:tc>
                <w:tcPr>
                  <w:tcW w:w="2080" w:type="dxa"/>
                  <w:tcBorders>
                    <w:top w:val="single" w:sz="4" w:space="0" w:color="505050"/>
                    <w:left w:val="single" w:sz="4" w:space="0" w:color="505050"/>
                    <w:bottom w:val="single" w:sz="4" w:space="0" w:color="505050"/>
                    <w:right w:val="single" w:sz="4" w:space="0" w:color="505050"/>
                  </w:tcBorders>
                  <w:noWrap/>
                  <w:vAlign w:val="bottom"/>
                  <w:hideMark/>
                </w:tcPr>
                <w:p w14:paraId="1FD89364" w14:textId="77777777" w:rsidR="002A2A77" w:rsidRPr="00F77AED" w:rsidRDefault="002A2A77" w:rsidP="002A2A77">
                  <w:pPr>
                    <w:rPr>
                      <w:rFonts w:ascii="Calibri" w:hAnsi="Calibri"/>
                      <w:color w:val="000000"/>
                      <w:sz w:val="22"/>
                      <w:szCs w:val="22"/>
                      <w:lang w:eastAsia="en-US"/>
                    </w:rPr>
                  </w:pPr>
                  <w:r w:rsidRPr="00F77AED">
                    <w:rPr>
                      <w:rFonts w:ascii="Calibri" w:hAnsi="Calibri"/>
                      <w:color w:val="000000"/>
                      <w:sz w:val="22"/>
                      <w:szCs w:val="22"/>
                      <w:lang w:eastAsia="en-US"/>
                    </w:rPr>
                    <w:t>Caquetá</w:t>
                  </w:r>
                </w:p>
              </w:tc>
              <w:tc>
                <w:tcPr>
                  <w:tcW w:w="1323" w:type="dxa"/>
                  <w:tcBorders>
                    <w:top w:val="single" w:sz="4" w:space="0" w:color="505050"/>
                    <w:left w:val="single" w:sz="4" w:space="0" w:color="505050"/>
                    <w:bottom w:val="single" w:sz="4" w:space="0" w:color="505050"/>
                    <w:right w:val="single" w:sz="4" w:space="0" w:color="505050"/>
                  </w:tcBorders>
                  <w:noWrap/>
                  <w:vAlign w:val="bottom"/>
                  <w:hideMark/>
                </w:tcPr>
                <w:p w14:paraId="529B3347"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169</w:t>
                  </w:r>
                </w:p>
              </w:tc>
              <w:tc>
                <w:tcPr>
                  <w:tcW w:w="1200" w:type="dxa"/>
                  <w:tcBorders>
                    <w:top w:val="single" w:sz="4" w:space="0" w:color="505050"/>
                    <w:left w:val="single" w:sz="4" w:space="0" w:color="505050"/>
                    <w:bottom w:val="single" w:sz="4" w:space="0" w:color="505050"/>
                    <w:right w:val="single" w:sz="4" w:space="0" w:color="505050"/>
                  </w:tcBorders>
                  <w:noWrap/>
                  <w:vAlign w:val="bottom"/>
                  <w:hideMark/>
                </w:tcPr>
                <w:p w14:paraId="270AFD5E"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0%</w:t>
                  </w:r>
                </w:p>
              </w:tc>
            </w:tr>
            <w:tr w:rsidR="002A2A77" w:rsidRPr="00F77AED" w14:paraId="7355BCED" w14:textId="77777777" w:rsidTr="00960D57">
              <w:trPr>
                <w:trHeight w:val="300"/>
                <w:jc w:val="center"/>
              </w:trPr>
              <w:tc>
                <w:tcPr>
                  <w:tcW w:w="2080" w:type="dxa"/>
                  <w:tcBorders>
                    <w:top w:val="single" w:sz="4" w:space="0" w:color="505050"/>
                    <w:left w:val="single" w:sz="4" w:space="0" w:color="505050"/>
                    <w:bottom w:val="single" w:sz="4" w:space="0" w:color="505050"/>
                    <w:right w:val="single" w:sz="4" w:space="0" w:color="505050"/>
                  </w:tcBorders>
                  <w:noWrap/>
                  <w:vAlign w:val="bottom"/>
                  <w:hideMark/>
                </w:tcPr>
                <w:p w14:paraId="7616AAAC" w14:textId="77777777" w:rsidR="002A2A77" w:rsidRPr="00F77AED" w:rsidRDefault="002A2A77" w:rsidP="002A2A77">
                  <w:pPr>
                    <w:rPr>
                      <w:rFonts w:ascii="Calibri" w:hAnsi="Calibri"/>
                      <w:color w:val="000000"/>
                      <w:sz w:val="22"/>
                      <w:szCs w:val="22"/>
                      <w:lang w:eastAsia="en-US"/>
                    </w:rPr>
                  </w:pPr>
                  <w:r w:rsidRPr="00F77AED">
                    <w:rPr>
                      <w:rFonts w:ascii="Calibri" w:hAnsi="Calibri"/>
                      <w:color w:val="000000"/>
                      <w:sz w:val="22"/>
                      <w:szCs w:val="22"/>
                      <w:lang w:eastAsia="en-US"/>
                    </w:rPr>
                    <w:t>Casanare</w:t>
                  </w:r>
                </w:p>
              </w:tc>
              <w:tc>
                <w:tcPr>
                  <w:tcW w:w="1323" w:type="dxa"/>
                  <w:tcBorders>
                    <w:top w:val="single" w:sz="4" w:space="0" w:color="505050"/>
                    <w:left w:val="single" w:sz="4" w:space="0" w:color="505050"/>
                    <w:bottom w:val="single" w:sz="4" w:space="0" w:color="505050"/>
                    <w:right w:val="single" w:sz="4" w:space="0" w:color="505050"/>
                  </w:tcBorders>
                  <w:noWrap/>
                  <w:vAlign w:val="bottom"/>
                  <w:hideMark/>
                </w:tcPr>
                <w:p w14:paraId="5E9E7F18"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0</w:t>
                  </w:r>
                </w:p>
              </w:tc>
              <w:tc>
                <w:tcPr>
                  <w:tcW w:w="1200" w:type="dxa"/>
                  <w:tcBorders>
                    <w:top w:val="single" w:sz="4" w:space="0" w:color="505050"/>
                    <w:left w:val="single" w:sz="4" w:space="0" w:color="505050"/>
                    <w:bottom w:val="single" w:sz="4" w:space="0" w:color="505050"/>
                    <w:right w:val="single" w:sz="4" w:space="0" w:color="505050"/>
                  </w:tcBorders>
                  <w:noWrap/>
                  <w:vAlign w:val="bottom"/>
                  <w:hideMark/>
                </w:tcPr>
                <w:p w14:paraId="017EAA3E"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0%</w:t>
                  </w:r>
                </w:p>
              </w:tc>
            </w:tr>
            <w:tr w:rsidR="002A2A77" w:rsidRPr="00F77AED" w14:paraId="7E75AD9E" w14:textId="77777777" w:rsidTr="00960D57">
              <w:trPr>
                <w:trHeight w:val="300"/>
                <w:jc w:val="center"/>
              </w:trPr>
              <w:tc>
                <w:tcPr>
                  <w:tcW w:w="2080" w:type="dxa"/>
                  <w:tcBorders>
                    <w:top w:val="single" w:sz="4" w:space="0" w:color="505050"/>
                    <w:left w:val="single" w:sz="4" w:space="0" w:color="505050"/>
                    <w:bottom w:val="single" w:sz="4" w:space="0" w:color="505050"/>
                    <w:right w:val="single" w:sz="4" w:space="0" w:color="505050"/>
                  </w:tcBorders>
                  <w:noWrap/>
                  <w:vAlign w:val="bottom"/>
                  <w:hideMark/>
                </w:tcPr>
                <w:p w14:paraId="3B3DB6FA" w14:textId="77777777" w:rsidR="002A2A77" w:rsidRPr="00F77AED" w:rsidRDefault="002A2A77" w:rsidP="002A2A77">
                  <w:pPr>
                    <w:rPr>
                      <w:rFonts w:ascii="Calibri" w:hAnsi="Calibri"/>
                      <w:color w:val="000000"/>
                      <w:sz w:val="22"/>
                      <w:szCs w:val="22"/>
                      <w:lang w:eastAsia="en-US"/>
                    </w:rPr>
                  </w:pPr>
                  <w:r w:rsidRPr="00F77AED">
                    <w:rPr>
                      <w:rFonts w:ascii="Calibri" w:hAnsi="Calibri"/>
                      <w:color w:val="000000"/>
                      <w:sz w:val="22"/>
                      <w:szCs w:val="22"/>
                      <w:lang w:eastAsia="en-US"/>
                    </w:rPr>
                    <w:t>Cauca</w:t>
                  </w:r>
                </w:p>
              </w:tc>
              <w:tc>
                <w:tcPr>
                  <w:tcW w:w="1323" w:type="dxa"/>
                  <w:tcBorders>
                    <w:top w:val="single" w:sz="4" w:space="0" w:color="505050"/>
                    <w:left w:val="single" w:sz="4" w:space="0" w:color="505050"/>
                    <w:bottom w:val="single" w:sz="4" w:space="0" w:color="505050"/>
                    <w:right w:val="single" w:sz="4" w:space="0" w:color="505050"/>
                  </w:tcBorders>
                  <w:noWrap/>
                  <w:vAlign w:val="bottom"/>
                  <w:hideMark/>
                </w:tcPr>
                <w:p w14:paraId="49A162F8"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2164</w:t>
                  </w:r>
                </w:p>
              </w:tc>
              <w:tc>
                <w:tcPr>
                  <w:tcW w:w="1200" w:type="dxa"/>
                  <w:tcBorders>
                    <w:top w:val="single" w:sz="4" w:space="0" w:color="505050"/>
                    <w:left w:val="single" w:sz="4" w:space="0" w:color="505050"/>
                    <w:bottom w:val="single" w:sz="4" w:space="0" w:color="505050"/>
                    <w:right w:val="single" w:sz="4" w:space="0" w:color="505050"/>
                  </w:tcBorders>
                  <w:noWrap/>
                  <w:vAlign w:val="bottom"/>
                  <w:hideMark/>
                </w:tcPr>
                <w:p w14:paraId="4F5EAF3E"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5%</w:t>
                  </w:r>
                </w:p>
              </w:tc>
            </w:tr>
            <w:tr w:rsidR="002A2A77" w:rsidRPr="00F77AED" w14:paraId="2FA80EA8" w14:textId="77777777" w:rsidTr="00960D57">
              <w:trPr>
                <w:trHeight w:val="300"/>
                <w:jc w:val="center"/>
              </w:trPr>
              <w:tc>
                <w:tcPr>
                  <w:tcW w:w="2080" w:type="dxa"/>
                  <w:tcBorders>
                    <w:top w:val="single" w:sz="4" w:space="0" w:color="505050"/>
                    <w:left w:val="single" w:sz="4" w:space="0" w:color="505050"/>
                    <w:bottom w:val="single" w:sz="4" w:space="0" w:color="505050"/>
                    <w:right w:val="single" w:sz="4" w:space="0" w:color="505050"/>
                  </w:tcBorders>
                  <w:noWrap/>
                  <w:vAlign w:val="bottom"/>
                  <w:hideMark/>
                </w:tcPr>
                <w:p w14:paraId="03928D46" w14:textId="77777777" w:rsidR="002A2A77" w:rsidRPr="00F77AED" w:rsidRDefault="002A2A77" w:rsidP="002A2A77">
                  <w:pPr>
                    <w:rPr>
                      <w:rFonts w:ascii="Calibri" w:hAnsi="Calibri"/>
                      <w:color w:val="000000"/>
                      <w:sz w:val="22"/>
                      <w:szCs w:val="22"/>
                      <w:lang w:eastAsia="en-US"/>
                    </w:rPr>
                  </w:pPr>
                  <w:r w:rsidRPr="00F77AED">
                    <w:rPr>
                      <w:rFonts w:ascii="Calibri" w:hAnsi="Calibri"/>
                      <w:color w:val="000000"/>
                      <w:sz w:val="22"/>
                      <w:szCs w:val="22"/>
                      <w:lang w:eastAsia="en-US"/>
                    </w:rPr>
                    <w:t>Cesar</w:t>
                  </w:r>
                </w:p>
              </w:tc>
              <w:tc>
                <w:tcPr>
                  <w:tcW w:w="1323" w:type="dxa"/>
                  <w:tcBorders>
                    <w:top w:val="single" w:sz="4" w:space="0" w:color="505050"/>
                    <w:left w:val="single" w:sz="4" w:space="0" w:color="505050"/>
                    <w:bottom w:val="single" w:sz="4" w:space="0" w:color="505050"/>
                    <w:right w:val="single" w:sz="4" w:space="0" w:color="505050"/>
                  </w:tcBorders>
                  <w:noWrap/>
                  <w:vAlign w:val="bottom"/>
                  <w:hideMark/>
                </w:tcPr>
                <w:p w14:paraId="2842681C"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1778</w:t>
                  </w:r>
                </w:p>
              </w:tc>
              <w:tc>
                <w:tcPr>
                  <w:tcW w:w="1200" w:type="dxa"/>
                  <w:tcBorders>
                    <w:top w:val="single" w:sz="4" w:space="0" w:color="505050"/>
                    <w:left w:val="single" w:sz="4" w:space="0" w:color="505050"/>
                    <w:bottom w:val="single" w:sz="4" w:space="0" w:color="505050"/>
                    <w:right w:val="single" w:sz="4" w:space="0" w:color="505050"/>
                  </w:tcBorders>
                  <w:noWrap/>
                  <w:vAlign w:val="bottom"/>
                  <w:hideMark/>
                </w:tcPr>
                <w:p w14:paraId="16A0BE0F"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4%</w:t>
                  </w:r>
                </w:p>
              </w:tc>
            </w:tr>
            <w:tr w:rsidR="002A2A77" w:rsidRPr="00F77AED" w14:paraId="6BF1DC31" w14:textId="77777777" w:rsidTr="00960D57">
              <w:trPr>
                <w:trHeight w:val="300"/>
                <w:jc w:val="center"/>
              </w:trPr>
              <w:tc>
                <w:tcPr>
                  <w:tcW w:w="2080" w:type="dxa"/>
                  <w:tcBorders>
                    <w:top w:val="single" w:sz="4" w:space="0" w:color="505050"/>
                    <w:left w:val="single" w:sz="4" w:space="0" w:color="505050"/>
                    <w:bottom w:val="single" w:sz="4" w:space="0" w:color="505050"/>
                    <w:right w:val="single" w:sz="4" w:space="0" w:color="505050"/>
                  </w:tcBorders>
                  <w:noWrap/>
                  <w:vAlign w:val="bottom"/>
                  <w:hideMark/>
                </w:tcPr>
                <w:p w14:paraId="5D470843" w14:textId="77777777" w:rsidR="002A2A77" w:rsidRPr="00F77AED" w:rsidRDefault="002A2A77" w:rsidP="002A2A77">
                  <w:pPr>
                    <w:rPr>
                      <w:rFonts w:ascii="Calibri" w:hAnsi="Calibri"/>
                      <w:color w:val="000000"/>
                      <w:sz w:val="22"/>
                      <w:szCs w:val="22"/>
                      <w:lang w:eastAsia="en-US"/>
                    </w:rPr>
                  </w:pPr>
                  <w:r w:rsidRPr="00F77AED">
                    <w:rPr>
                      <w:rFonts w:ascii="Calibri" w:hAnsi="Calibri"/>
                      <w:color w:val="000000"/>
                      <w:sz w:val="22"/>
                      <w:szCs w:val="22"/>
                      <w:lang w:eastAsia="en-US"/>
                    </w:rPr>
                    <w:t>Chocó</w:t>
                  </w:r>
                </w:p>
              </w:tc>
              <w:tc>
                <w:tcPr>
                  <w:tcW w:w="1323" w:type="dxa"/>
                  <w:tcBorders>
                    <w:top w:val="single" w:sz="4" w:space="0" w:color="505050"/>
                    <w:left w:val="single" w:sz="4" w:space="0" w:color="505050"/>
                    <w:bottom w:val="single" w:sz="4" w:space="0" w:color="505050"/>
                    <w:right w:val="single" w:sz="4" w:space="0" w:color="505050"/>
                  </w:tcBorders>
                  <w:noWrap/>
                  <w:vAlign w:val="bottom"/>
                  <w:hideMark/>
                </w:tcPr>
                <w:p w14:paraId="0914EC40"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949</w:t>
                  </w:r>
                </w:p>
              </w:tc>
              <w:tc>
                <w:tcPr>
                  <w:tcW w:w="1200" w:type="dxa"/>
                  <w:tcBorders>
                    <w:top w:val="single" w:sz="4" w:space="0" w:color="505050"/>
                    <w:left w:val="single" w:sz="4" w:space="0" w:color="505050"/>
                    <w:bottom w:val="single" w:sz="4" w:space="0" w:color="505050"/>
                    <w:right w:val="single" w:sz="4" w:space="0" w:color="505050"/>
                  </w:tcBorders>
                  <w:noWrap/>
                  <w:vAlign w:val="bottom"/>
                  <w:hideMark/>
                </w:tcPr>
                <w:p w14:paraId="02B81B09"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2%</w:t>
                  </w:r>
                </w:p>
              </w:tc>
            </w:tr>
            <w:tr w:rsidR="002A2A77" w:rsidRPr="00F77AED" w14:paraId="240F012C" w14:textId="77777777" w:rsidTr="00960D57">
              <w:trPr>
                <w:trHeight w:val="300"/>
                <w:jc w:val="center"/>
              </w:trPr>
              <w:tc>
                <w:tcPr>
                  <w:tcW w:w="2080" w:type="dxa"/>
                  <w:tcBorders>
                    <w:top w:val="single" w:sz="4" w:space="0" w:color="505050"/>
                    <w:left w:val="single" w:sz="4" w:space="0" w:color="505050"/>
                    <w:bottom w:val="single" w:sz="4" w:space="0" w:color="505050"/>
                    <w:right w:val="single" w:sz="4" w:space="0" w:color="505050"/>
                  </w:tcBorders>
                  <w:noWrap/>
                  <w:vAlign w:val="bottom"/>
                  <w:hideMark/>
                </w:tcPr>
                <w:p w14:paraId="38993F49" w14:textId="77777777" w:rsidR="002A2A77" w:rsidRPr="00F77AED" w:rsidRDefault="002A2A77" w:rsidP="002A2A77">
                  <w:pPr>
                    <w:rPr>
                      <w:rFonts w:ascii="Calibri" w:hAnsi="Calibri"/>
                      <w:color w:val="000000"/>
                      <w:sz w:val="22"/>
                      <w:szCs w:val="22"/>
                      <w:lang w:eastAsia="en-US"/>
                    </w:rPr>
                  </w:pPr>
                  <w:r w:rsidRPr="00F77AED">
                    <w:rPr>
                      <w:rFonts w:ascii="Calibri" w:hAnsi="Calibri"/>
                      <w:color w:val="000000"/>
                      <w:sz w:val="22"/>
                      <w:szCs w:val="22"/>
                      <w:lang w:eastAsia="en-US"/>
                    </w:rPr>
                    <w:t>Córdoba</w:t>
                  </w:r>
                </w:p>
              </w:tc>
              <w:tc>
                <w:tcPr>
                  <w:tcW w:w="1323" w:type="dxa"/>
                  <w:tcBorders>
                    <w:top w:val="single" w:sz="4" w:space="0" w:color="505050"/>
                    <w:left w:val="single" w:sz="4" w:space="0" w:color="505050"/>
                    <w:bottom w:val="single" w:sz="4" w:space="0" w:color="505050"/>
                    <w:right w:val="single" w:sz="4" w:space="0" w:color="505050"/>
                  </w:tcBorders>
                  <w:noWrap/>
                  <w:vAlign w:val="bottom"/>
                  <w:hideMark/>
                </w:tcPr>
                <w:p w14:paraId="6A1DAB42"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3610</w:t>
                  </w:r>
                </w:p>
              </w:tc>
              <w:tc>
                <w:tcPr>
                  <w:tcW w:w="1200" w:type="dxa"/>
                  <w:tcBorders>
                    <w:top w:val="single" w:sz="4" w:space="0" w:color="505050"/>
                    <w:left w:val="single" w:sz="4" w:space="0" w:color="505050"/>
                    <w:bottom w:val="single" w:sz="4" w:space="0" w:color="505050"/>
                    <w:right w:val="single" w:sz="4" w:space="0" w:color="505050"/>
                  </w:tcBorders>
                  <w:noWrap/>
                  <w:vAlign w:val="bottom"/>
                  <w:hideMark/>
                </w:tcPr>
                <w:p w14:paraId="0F3FF7B8"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9%</w:t>
                  </w:r>
                </w:p>
              </w:tc>
            </w:tr>
            <w:tr w:rsidR="002A2A77" w:rsidRPr="00F77AED" w14:paraId="101D91DB" w14:textId="77777777" w:rsidTr="00960D57">
              <w:trPr>
                <w:trHeight w:val="300"/>
                <w:jc w:val="center"/>
              </w:trPr>
              <w:tc>
                <w:tcPr>
                  <w:tcW w:w="2080" w:type="dxa"/>
                  <w:tcBorders>
                    <w:top w:val="single" w:sz="4" w:space="0" w:color="505050"/>
                    <w:left w:val="single" w:sz="4" w:space="0" w:color="505050"/>
                    <w:bottom w:val="single" w:sz="4" w:space="0" w:color="505050"/>
                    <w:right w:val="single" w:sz="4" w:space="0" w:color="505050"/>
                  </w:tcBorders>
                  <w:noWrap/>
                  <w:vAlign w:val="bottom"/>
                  <w:hideMark/>
                </w:tcPr>
                <w:p w14:paraId="6EACB8B8" w14:textId="77777777" w:rsidR="002A2A77" w:rsidRPr="00F77AED" w:rsidRDefault="002A2A77" w:rsidP="002A2A77">
                  <w:pPr>
                    <w:rPr>
                      <w:rFonts w:ascii="Calibri" w:hAnsi="Calibri"/>
                      <w:color w:val="000000"/>
                      <w:sz w:val="22"/>
                      <w:szCs w:val="22"/>
                      <w:lang w:eastAsia="en-US"/>
                    </w:rPr>
                  </w:pPr>
                  <w:r w:rsidRPr="00F77AED">
                    <w:rPr>
                      <w:rFonts w:ascii="Calibri" w:hAnsi="Calibri"/>
                      <w:color w:val="000000"/>
                      <w:sz w:val="22"/>
                      <w:szCs w:val="22"/>
                      <w:lang w:eastAsia="en-US"/>
                    </w:rPr>
                    <w:t>Cundinamarca</w:t>
                  </w:r>
                </w:p>
              </w:tc>
              <w:tc>
                <w:tcPr>
                  <w:tcW w:w="1323" w:type="dxa"/>
                  <w:tcBorders>
                    <w:top w:val="single" w:sz="4" w:space="0" w:color="505050"/>
                    <w:left w:val="single" w:sz="4" w:space="0" w:color="505050"/>
                    <w:bottom w:val="single" w:sz="4" w:space="0" w:color="505050"/>
                    <w:right w:val="single" w:sz="4" w:space="0" w:color="505050"/>
                  </w:tcBorders>
                  <w:noWrap/>
                  <w:vAlign w:val="bottom"/>
                  <w:hideMark/>
                </w:tcPr>
                <w:p w14:paraId="73374C79"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853</w:t>
                  </w:r>
                </w:p>
              </w:tc>
              <w:tc>
                <w:tcPr>
                  <w:tcW w:w="1200" w:type="dxa"/>
                  <w:tcBorders>
                    <w:top w:val="single" w:sz="4" w:space="0" w:color="505050"/>
                    <w:left w:val="single" w:sz="4" w:space="0" w:color="505050"/>
                    <w:bottom w:val="single" w:sz="4" w:space="0" w:color="505050"/>
                    <w:right w:val="single" w:sz="4" w:space="0" w:color="505050"/>
                  </w:tcBorders>
                  <w:noWrap/>
                  <w:vAlign w:val="bottom"/>
                  <w:hideMark/>
                </w:tcPr>
                <w:p w14:paraId="2B7DB1DF"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2%</w:t>
                  </w:r>
                </w:p>
              </w:tc>
            </w:tr>
            <w:tr w:rsidR="002A2A77" w:rsidRPr="00F77AED" w14:paraId="466717AD" w14:textId="77777777" w:rsidTr="00960D57">
              <w:trPr>
                <w:trHeight w:val="300"/>
                <w:jc w:val="center"/>
              </w:trPr>
              <w:tc>
                <w:tcPr>
                  <w:tcW w:w="2080" w:type="dxa"/>
                  <w:tcBorders>
                    <w:top w:val="single" w:sz="4" w:space="0" w:color="505050"/>
                    <w:left w:val="single" w:sz="4" w:space="0" w:color="505050"/>
                    <w:bottom w:val="single" w:sz="4" w:space="0" w:color="505050"/>
                    <w:right w:val="single" w:sz="4" w:space="0" w:color="505050"/>
                  </w:tcBorders>
                  <w:noWrap/>
                  <w:vAlign w:val="bottom"/>
                  <w:hideMark/>
                </w:tcPr>
                <w:p w14:paraId="597129DE" w14:textId="77777777" w:rsidR="002A2A77" w:rsidRPr="00F77AED" w:rsidRDefault="002A2A77" w:rsidP="002A2A77">
                  <w:pPr>
                    <w:rPr>
                      <w:rFonts w:ascii="Calibri" w:hAnsi="Calibri"/>
                      <w:color w:val="000000"/>
                      <w:sz w:val="22"/>
                      <w:szCs w:val="22"/>
                      <w:lang w:eastAsia="en-US"/>
                    </w:rPr>
                  </w:pPr>
                  <w:r w:rsidRPr="00F77AED">
                    <w:rPr>
                      <w:rFonts w:ascii="Calibri" w:hAnsi="Calibri"/>
                      <w:color w:val="000000"/>
                      <w:sz w:val="22"/>
                      <w:szCs w:val="22"/>
                      <w:lang w:eastAsia="en-US"/>
                    </w:rPr>
                    <w:t>Guainía</w:t>
                  </w:r>
                </w:p>
              </w:tc>
              <w:tc>
                <w:tcPr>
                  <w:tcW w:w="1323" w:type="dxa"/>
                  <w:tcBorders>
                    <w:top w:val="single" w:sz="4" w:space="0" w:color="505050"/>
                    <w:left w:val="single" w:sz="4" w:space="0" w:color="505050"/>
                    <w:bottom w:val="single" w:sz="4" w:space="0" w:color="505050"/>
                    <w:right w:val="single" w:sz="4" w:space="0" w:color="505050"/>
                  </w:tcBorders>
                  <w:noWrap/>
                  <w:vAlign w:val="bottom"/>
                  <w:hideMark/>
                </w:tcPr>
                <w:p w14:paraId="65600309"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0</w:t>
                  </w:r>
                </w:p>
              </w:tc>
              <w:tc>
                <w:tcPr>
                  <w:tcW w:w="1200" w:type="dxa"/>
                  <w:tcBorders>
                    <w:top w:val="single" w:sz="4" w:space="0" w:color="505050"/>
                    <w:left w:val="single" w:sz="4" w:space="0" w:color="505050"/>
                    <w:bottom w:val="single" w:sz="4" w:space="0" w:color="505050"/>
                    <w:right w:val="single" w:sz="4" w:space="0" w:color="505050"/>
                  </w:tcBorders>
                  <w:noWrap/>
                  <w:vAlign w:val="bottom"/>
                  <w:hideMark/>
                </w:tcPr>
                <w:p w14:paraId="2F6164DC"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0%</w:t>
                  </w:r>
                </w:p>
              </w:tc>
            </w:tr>
            <w:tr w:rsidR="002A2A77" w:rsidRPr="00F77AED" w14:paraId="1E804E66" w14:textId="77777777" w:rsidTr="00960D57">
              <w:trPr>
                <w:trHeight w:val="300"/>
                <w:jc w:val="center"/>
              </w:trPr>
              <w:tc>
                <w:tcPr>
                  <w:tcW w:w="2080" w:type="dxa"/>
                  <w:tcBorders>
                    <w:top w:val="single" w:sz="4" w:space="0" w:color="505050"/>
                    <w:left w:val="single" w:sz="4" w:space="0" w:color="505050"/>
                    <w:bottom w:val="single" w:sz="4" w:space="0" w:color="505050"/>
                    <w:right w:val="single" w:sz="4" w:space="0" w:color="505050"/>
                  </w:tcBorders>
                  <w:noWrap/>
                  <w:vAlign w:val="bottom"/>
                  <w:hideMark/>
                </w:tcPr>
                <w:p w14:paraId="7C0413D2" w14:textId="77777777" w:rsidR="002A2A77" w:rsidRPr="00F77AED" w:rsidRDefault="002A2A77" w:rsidP="002A2A77">
                  <w:pPr>
                    <w:rPr>
                      <w:rFonts w:ascii="Calibri" w:hAnsi="Calibri"/>
                      <w:color w:val="000000"/>
                      <w:sz w:val="22"/>
                      <w:szCs w:val="22"/>
                      <w:lang w:eastAsia="en-US"/>
                    </w:rPr>
                  </w:pPr>
                  <w:r w:rsidRPr="00F77AED">
                    <w:rPr>
                      <w:rFonts w:ascii="Calibri" w:hAnsi="Calibri"/>
                      <w:color w:val="000000"/>
                      <w:sz w:val="22"/>
                      <w:szCs w:val="22"/>
                      <w:lang w:eastAsia="en-US"/>
                    </w:rPr>
                    <w:t>Guaviare</w:t>
                  </w:r>
                </w:p>
              </w:tc>
              <w:tc>
                <w:tcPr>
                  <w:tcW w:w="1323" w:type="dxa"/>
                  <w:tcBorders>
                    <w:top w:val="single" w:sz="4" w:space="0" w:color="505050"/>
                    <w:left w:val="single" w:sz="4" w:space="0" w:color="505050"/>
                    <w:bottom w:val="single" w:sz="4" w:space="0" w:color="505050"/>
                    <w:right w:val="single" w:sz="4" w:space="0" w:color="505050"/>
                  </w:tcBorders>
                  <w:noWrap/>
                  <w:vAlign w:val="bottom"/>
                  <w:hideMark/>
                </w:tcPr>
                <w:p w14:paraId="43796689"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22</w:t>
                  </w:r>
                </w:p>
              </w:tc>
              <w:tc>
                <w:tcPr>
                  <w:tcW w:w="1200" w:type="dxa"/>
                  <w:tcBorders>
                    <w:top w:val="single" w:sz="4" w:space="0" w:color="505050"/>
                    <w:left w:val="single" w:sz="4" w:space="0" w:color="505050"/>
                    <w:bottom w:val="single" w:sz="4" w:space="0" w:color="505050"/>
                    <w:right w:val="single" w:sz="4" w:space="0" w:color="505050"/>
                  </w:tcBorders>
                  <w:noWrap/>
                  <w:vAlign w:val="bottom"/>
                  <w:hideMark/>
                </w:tcPr>
                <w:p w14:paraId="235F6A5E"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0%</w:t>
                  </w:r>
                </w:p>
              </w:tc>
            </w:tr>
            <w:tr w:rsidR="002A2A77" w:rsidRPr="00F77AED" w14:paraId="5EBE8D0D" w14:textId="77777777" w:rsidTr="00960D57">
              <w:trPr>
                <w:trHeight w:val="300"/>
                <w:jc w:val="center"/>
              </w:trPr>
              <w:tc>
                <w:tcPr>
                  <w:tcW w:w="2080" w:type="dxa"/>
                  <w:tcBorders>
                    <w:top w:val="single" w:sz="4" w:space="0" w:color="505050"/>
                    <w:left w:val="single" w:sz="4" w:space="0" w:color="505050"/>
                    <w:bottom w:val="single" w:sz="4" w:space="0" w:color="505050"/>
                    <w:right w:val="single" w:sz="4" w:space="0" w:color="505050"/>
                  </w:tcBorders>
                  <w:noWrap/>
                  <w:vAlign w:val="bottom"/>
                  <w:hideMark/>
                </w:tcPr>
                <w:p w14:paraId="3B4C6603" w14:textId="77777777" w:rsidR="002A2A77" w:rsidRPr="00F77AED" w:rsidRDefault="002A2A77" w:rsidP="002A2A77">
                  <w:pPr>
                    <w:rPr>
                      <w:rFonts w:ascii="Calibri" w:hAnsi="Calibri"/>
                      <w:color w:val="000000"/>
                      <w:sz w:val="22"/>
                      <w:szCs w:val="22"/>
                      <w:lang w:eastAsia="en-US"/>
                    </w:rPr>
                  </w:pPr>
                  <w:r w:rsidRPr="00F77AED">
                    <w:rPr>
                      <w:rFonts w:ascii="Calibri" w:hAnsi="Calibri"/>
                      <w:color w:val="000000"/>
                      <w:sz w:val="22"/>
                      <w:szCs w:val="22"/>
                      <w:lang w:eastAsia="en-US"/>
                    </w:rPr>
                    <w:t>Huila</w:t>
                  </w:r>
                </w:p>
              </w:tc>
              <w:tc>
                <w:tcPr>
                  <w:tcW w:w="1323" w:type="dxa"/>
                  <w:tcBorders>
                    <w:top w:val="single" w:sz="4" w:space="0" w:color="505050"/>
                    <w:left w:val="single" w:sz="4" w:space="0" w:color="505050"/>
                    <w:bottom w:val="single" w:sz="4" w:space="0" w:color="505050"/>
                    <w:right w:val="single" w:sz="4" w:space="0" w:color="505050"/>
                  </w:tcBorders>
                  <w:noWrap/>
                  <w:vAlign w:val="bottom"/>
                  <w:hideMark/>
                </w:tcPr>
                <w:p w14:paraId="7CF25B73"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1231</w:t>
                  </w:r>
                </w:p>
              </w:tc>
              <w:tc>
                <w:tcPr>
                  <w:tcW w:w="1200" w:type="dxa"/>
                  <w:tcBorders>
                    <w:top w:val="single" w:sz="4" w:space="0" w:color="505050"/>
                    <w:left w:val="single" w:sz="4" w:space="0" w:color="505050"/>
                    <w:bottom w:val="single" w:sz="4" w:space="0" w:color="505050"/>
                    <w:right w:val="single" w:sz="4" w:space="0" w:color="505050"/>
                  </w:tcBorders>
                  <w:noWrap/>
                  <w:vAlign w:val="bottom"/>
                  <w:hideMark/>
                </w:tcPr>
                <w:p w14:paraId="78AB4D39"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3%</w:t>
                  </w:r>
                </w:p>
              </w:tc>
            </w:tr>
            <w:tr w:rsidR="002A2A77" w:rsidRPr="00F77AED" w14:paraId="1683B225" w14:textId="77777777" w:rsidTr="00960D57">
              <w:trPr>
                <w:trHeight w:val="300"/>
                <w:jc w:val="center"/>
              </w:trPr>
              <w:tc>
                <w:tcPr>
                  <w:tcW w:w="2080" w:type="dxa"/>
                  <w:tcBorders>
                    <w:top w:val="single" w:sz="4" w:space="0" w:color="505050"/>
                    <w:left w:val="single" w:sz="4" w:space="0" w:color="505050"/>
                    <w:bottom w:val="single" w:sz="4" w:space="0" w:color="505050"/>
                    <w:right w:val="single" w:sz="4" w:space="0" w:color="505050"/>
                  </w:tcBorders>
                  <w:noWrap/>
                  <w:vAlign w:val="bottom"/>
                  <w:hideMark/>
                </w:tcPr>
                <w:p w14:paraId="4F36039D" w14:textId="77777777" w:rsidR="002A2A77" w:rsidRPr="00F77AED" w:rsidRDefault="002A2A77" w:rsidP="002A2A77">
                  <w:pPr>
                    <w:rPr>
                      <w:rFonts w:ascii="Calibri" w:hAnsi="Calibri"/>
                      <w:color w:val="000000"/>
                      <w:sz w:val="22"/>
                      <w:szCs w:val="22"/>
                      <w:lang w:eastAsia="en-US"/>
                    </w:rPr>
                  </w:pPr>
                  <w:r w:rsidRPr="00F77AED">
                    <w:rPr>
                      <w:rFonts w:ascii="Calibri" w:hAnsi="Calibri"/>
                      <w:color w:val="000000"/>
                      <w:sz w:val="22"/>
                      <w:szCs w:val="22"/>
                      <w:lang w:eastAsia="en-US"/>
                    </w:rPr>
                    <w:t>La Guajira</w:t>
                  </w:r>
                </w:p>
              </w:tc>
              <w:tc>
                <w:tcPr>
                  <w:tcW w:w="1323" w:type="dxa"/>
                  <w:tcBorders>
                    <w:top w:val="single" w:sz="4" w:space="0" w:color="505050"/>
                    <w:left w:val="single" w:sz="4" w:space="0" w:color="505050"/>
                    <w:bottom w:val="single" w:sz="4" w:space="0" w:color="505050"/>
                    <w:right w:val="single" w:sz="4" w:space="0" w:color="505050"/>
                  </w:tcBorders>
                  <w:noWrap/>
                  <w:vAlign w:val="bottom"/>
                  <w:hideMark/>
                </w:tcPr>
                <w:p w14:paraId="66357A58"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601</w:t>
                  </w:r>
                </w:p>
              </w:tc>
              <w:tc>
                <w:tcPr>
                  <w:tcW w:w="1200" w:type="dxa"/>
                  <w:tcBorders>
                    <w:top w:val="single" w:sz="4" w:space="0" w:color="505050"/>
                    <w:left w:val="single" w:sz="4" w:space="0" w:color="505050"/>
                    <w:bottom w:val="single" w:sz="4" w:space="0" w:color="505050"/>
                    <w:right w:val="single" w:sz="4" w:space="0" w:color="505050"/>
                  </w:tcBorders>
                  <w:noWrap/>
                  <w:vAlign w:val="bottom"/>
                  <w:hideMark/>
                </w:tcPr>
                <w:p w14:paraId="2CA379C8"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1%</w:t>
                  </w:r>
                </w:p>
              </w:tc>
            </w:tr>
            <w:tr w:rsidR="002A2A77" w:rsidRPr="00F77AED" w14:paraId="3D7E8238" w14:textId="77777777" w:rsidTr="00960D57">
              <w:trPr>
                <w:trHeight w:val="300"/>
                <w:jc w:val="center"/>
              </w:trPr>
              <w:tc>
                <w:tcPr>
                  <w:tcW w:w="2080" w:type="dxa"/>
                  <w:tcBorders>
                    <w:top w:val="single" w:sz="4" w:space="0" w:color="505050"/>
                    <w:left w:val="single" w:sz="4" w:space="0" w:color="505050"/>
                    <w:bottom w:val="single" w:sz="4" w:space="0" w:color="505050"/>
                    <w:right w:val="single" w:sz="4" w:space="0" w:color="505050"/>
                  </w:tcBorders>
                  <w:noWrap/>
                  <w:vAlign w:val="bottom"/>
                  <w:hideMark/>
                </w:tcPr>
                <w:p w14:paraId="5555E9AA" w14:textId="77777777" w:rsidR="002A2A77" w:rsidRPr="00F77AED" w:rsidRDefault="002A2A77" w:rsidP="002A2A77">
                  <w:pPr>
                    <w:rPr>
                      <w:rFonts w:ascii="Calibri" w:hAnsi="Calibri"/>
                      <w:color w:val="000000"/>
                      <w:sz w:val="22"/>
                      <w:szCs w:val="22"/>
                      <w:lang w:eastAsia="en-US"/>
                    </w:rPr>
                  </w:pPr>
                  <w:r w:rsidRPr="00F77AED">
                    <w:rPr>
                      <w:rFonts w:ascii="Calibri" w:hAnsi="Calibri"/>
                      <w:color w:val="000000"/>
                      <w:sz w:val="22"/>
                      <w:szCs w:val="22"/>
                      <w:lang w:eastAsia="en-US"/>
                    </w:rPr>
                    <w:t>Magdalena</w:t>
                  </w:r>
                </w:p>
              </w:tc>
              <w:tc>
                <w:tcPr>
                  <w:tcW w:w="1323" w:type="dxa"/>
                  <w:tcBorders>
                    <w:top w:val="single" w:sz="4" w:space="0" w:color="505050"/>
                    <w:left w:val="single" w:sz="4" w:space="0" w:color="505050"/>
                    <w:bottom w:val="single" w:sz="4" w:space="0" w:color="505050"/>
                    <w:right w:val="single" w:sz="4" w:space="0" w:color="505050"/>
                  </w:tcBorders>
                  <w:noWrap/>
                  <w:vAlign w:val="bottom"/>
                  <w:hideMark/>
                </w:tcPr>
                <w:p w14:paraId="5BF20FC0"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2907</w:t>
                  </w:r>
                </w:p>
              </w:tc>
              <w:tc>
                <w:tcPr>
                  <w:tcW w:w="1200" w:type="dxa"/>
                  <w:tcBorders>
                    <w:top w:val="single" w:sz="4" w:space="0" w:color="505050"/>
                    <w:left w:val="single" w:sz="4" w:space="0" w:color="505050"/>
                    <w:bottom w:val="single" w:sz="4" w:space="0" w:color="505050"/>
                    <w:right w:val="single" w:sz="4" w:space="0" w:color="505050"/>
                  </w:tcBorders>
                  <w:noWrap/>
                  <w:vAlign w:val="bottom"/>
                  <w:hideMark/>
                </w:tcPr>
                <w:p w14:paraId="70530F4A"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7%</w:t>
                  </w:r>
                </w:p>
              </w:tc>
            </w:tr>
            <w:tr w:rsidR="002A2A77" w:rsidRPr="00F77AED" w14:paraId="6A922F51" w14:textId="77777777" w:rsidTr="00960D57">
              <w:trPr>
                <w:trHeight w:val="300"/>
                <w:jc w:val="center"/>
              </w:trPr>
              <w:tc>
                <w:tcPr>
                  <w:tcW w:w="2080" w:type="dxa"/>
                  <w:tcBorders>
                    <w:top w:val="single" w:sz="4" w:space="0" w:color="505050"/>
                    <w:left w:val="single" w:sz="4" w:space="0" w:color="505050"/>
                    <w:bottom w:val="single" w:sz="4" w:space="0" w:color="505050"/>
                    <w:right w:val="single" w:sz="4" w:space="0" w:color="505050"/>
                  </w:tcBorders>
                  <w:noWrap/>
                  <w:vAlign w:val="bottom"/>
                  <w:hideMark/>
                </w:tcPr>
                <w:p w14:paraId="39566D65" w14:textId="77777777" w:rsidR="002A2A77" w:rsidRPr="00F77AED" w:rsidRDefault="002A2A77" w:rsidP="002A2A77">
                  <w:pPr>
                    <w:rPr>
                      <w:rFonts w:ascii="Calibri" w:hAnsi="Calibri"/>
                      <w:color w:val="000000"/>
                      <w:sz w:val="22"/>
                      <w:szCs w:val="22"/>
                      <w:lang w:eastAsia="en-US"/>
                    </w:rPr>
                  </w:pPr>
                  <w:r w:rsidRPr="00F77AED">
                    <w:rPr>
                      <w:rFonts w:ascii="Calibri" w:hAnsi="Calibri"/>
                      <w:color w:val="000000"/>
                      <w:sz w:val="22"/>
                      <w:szCs w:val="22"/>
                      <w:lang w:eastAsia="en-US"/>
                    </w:rPr>
                    <w:t>Meta</w:t>
                  </w:r>
                </w:p>
              </w:tc>
              <w:tc>
                <w:tcPr>
                  <w:tcW w:w="1323" w:type="dxa"/>
                  <w:tcBorders>
                    <w:top w:val="single" w:sz="4" w:space="0" w:color="505050"/>
                    <w:left w:val="single" w:sz="4" w:space="0" w:color="505050"/>
                    <w:bottom w:val="single" w:sz="4" w:space="0" w:color="505050"/>
                    <w:right w:val="single" w:sz="4" w:space="0" w:color="505050"/>
                  </w:tcBorders>
                  <w:noWrap/>
                  <w:vAlign w:val="bottom"/>
                  <w:hideMark/>
                </w:tcPr>
                <w:p w14:paraId="43AF875E"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676</w:t>
                  </w:r>
                </w:p>
              </w:tc>
              <w:tc>
                <w:tcPr>
                  <w:tcW w:w="1200" w:type="dxa"/>
                  <w:tcBorders>
                    <w:top w:val="single" w:sz="4" w:space="0" w:color="505050"/>
                    <w:left w:val="single" w:sz="4" w:space="0" w:color="505050"/>
                    <w:bottom w:val="single" w:sz="4" w:space="0" w:color="505050"/>
                    <w:right w:val="single" w:sz="4" w:space="0" w:color="505050"/>
                  </w:tcBorders>
                  <w:noWrap/>
                  <w:vAlign w:val="bottom"/>
                  <w:hideMark/>
                </w:tcPr>
                <w:p w14:paraId="3FE90C85"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2%</w:t>
                  </w:r>
                </w:p>
              </w:tc>
            </w:tr>
            <w:tr w:rsidR="002A2A77" w:rsidRPr="00F77AED" w14:paraId="22CD4556" w14:textId="77777777" w:rsidTr="00960D57">
              <w:trPr>
                <w:trHeight w:val="300"/>
                <w:jc w:val="center"/>
              </w:trPr>
              <w:tc>
                <w:tcPr>
                  <w:tcW w:w="2080" w:type="dxa"/>
                  <w:tcBorders>
                    <w:top w:val="single" w:sz="4" w:space="0" w:color="505050"/>
                    <w:left w:val="single" w:sz="4" w:space="0" w:color="505050"/>
                    <w:bottom w:val="single" w:sz="4" w:space="0" w:color="505050"/>
                    <w:right w:val="single" w:sz="4" w:space="0" w:color="505050"/>
                  </w:tcBorders>
                  <w:noWrap/>
                  <w:vAlign w:val="bottom"/>
                  <w:hideMark/>
                </w:tcPr>
                <w:p w14:paraId="052E30F0" w14:textId="77777777" w:rsidR="002A2A77" w:rsidRPr="00F77AED" w:rsidRDefault="002A2A77" w:rsidP="002A2A77">
                  <w:pPr>
                    <w:rPr>
                      <w:rFonts w:ascii="Calibri" w:hAnsi="Calibri"/>
                      <w:color w:val="000000"/>
                      <w:sz w:val="22"/>
                      <w:szCs w:val="22"/>
                      <w:lang w:eastAsia="en-US"/>
                    </w:rPr>
                  </w:pPr>
                  <w:r w:rsidRPr="00F77AED">
                    <w:rPr>
                      <w:rFonts w:ascii="Calibri" w:hAnsi="Calibri"/>
                      <w:color w:val="000000"/>
                      <w:sz w:val="22"/>
                      <w:szCs w:val="22"/>
                      <w:lang w:eastAsia="en-US"/>
                    </w:rPr>
                    <w:t>Nariño</w:t>
                  </w:r>
                </w:p>
              </w:tc>
              <w:tc>
                <w:tcPr>
                  <w:tcW w:w="1323" w:type="dxa"/>
                  <w:tcBorders>
                    <w:top w:val="single" w:sz="4" w:space="0" w:color="505050"/>
                    <w:left w:val="single" w:sz="4" w:space="0" w:color="505050"/>
                    <w:bottom w:val="single" w:sz="4" w:space="0" w:color="505050"/>
                    <w:right w:val="single" w:sz="4" w:space="0" w:color="505050"/>
                  </w:tcBorders>
                  <w:noWrap/>
                  <w:vAlign w:val="bottom"/>
                  <w:hideMark/>
                </w:tcPr>
                <w:p w14:paraId="581819FD"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2482</w:t>
                  </w:r>
                </w:p>
              </w:tc>
              <w:tc>
                <w:tcPr>
                  <w:tcW w:w="1200" w:type="dxa"/>
                  <w:tcBorders>
                    <w:top w:val="single" w:sz="4" w:space="0" w:color="505050"/>
                    <w:left w:val="single" w:sz="4" w:space="0" w:color="505050"/>
                    <w:bottom w:val="single" w:sz="4" w:space="0" w:color="505050"/>
                    <w:right w:val="single" w:sz="4" w:space="0" w:color="505050"/>
                  </w:tcBorders>
                  <w:noWrap/>
                  <w:vAlign w:val="bottom"/>
                  <w:hideMark/>
                </w:tcPr>
                <w:p w14:paraId="2FA9DE98"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6%</w:t>
                  </w:r>
                </w:p>
              </w:tc>
            </w:tr>
            <w:tr w:rsidR="002A2A77" w:rsidRPr="00F77AED" w14:paraId="5A6F0175" w14:textId="77777777" w:rsidTr="00960D57">
              <w:trPr>
                <w:trHeight w:val="300"/>
                <w:jc w:val="center"/>
              </w:trPr>
              <w:tc>
                <w:tcPr>
                  <w:tcW w:w="2080" w:type="dxa"/>
                  <w:tcBorders>
                    <w:top w:val="single" w:sz="4" w:space="0" w:color="505050"/>
                    <w:left w:val="single" w:sz="4" w:space="0" w:color="505050"/>
                    <w:bottom w:val="single" w:sz="4" w:space="0" w:color="505050"/>
                    <w:right w:val="single" w:sz="4" w:space="0" w:color="505050"/>
                  </w:tcBorders>
                  <w:noWrap/>
                  <w:vAlign w:val="bottom"/>
                  <w:hideMark/>
                </w:tcPr>
                <w:p w14:paraId="37E9BF19" w14:textId="77777777" w:rsidR="002A2A77" w:rsidRPr="00F77AED" w:rsidRDefault="002A2A77" w:rsidP="002A2A77">
                  <w:pPr>
                    <w:rPr>
                      <w:rFonts w:ascii="Calibri" w:hAnsi="Calibri"/>
                      <w:color w:val="000000"/>
                      <w:sz w:val="22"/>
                      <w:szCs w:val="22"/>
                      <w:lang w:eastAsia="en-US"/>
                    </w:rPr>
                  </w:pPr>
                  <w:r w:rsidRPr="00F77AED">
                    <w:rPr>
                      <w:rFonts w:ascii="Calibri" w:hAnsi="Calibri"/>
                      <w:color w:val="000000"/>
                      <w:sz w:val="22"/>
                      <w:szCs w:val="22"/>
                      <w:lang w:eastAsia="en-US"/>
                    </w:rPr>
                    <w:t>Norte de Santander</w:t>
                  </w:r>
                </w:p>
              </w:tc>
              <w:tc>
                <w:tcPr>
                  <w:tcW w:w="1323" w:type="dxa"/>
                  <w:tcBorders>
                    <w:top w:val="single" w:sz="4" w:space="0" w:color="505050"/>
                    <w:left w:val="single" w:sz="4" w:space="0" w:color="505050"/>
                    <w:bottom w:val="single" w:sz="4" w:space="0" w:color="505050"/>
                    <w:right w:val="single" w:sz="4" w:space="0" w:color="505050"/>
                  </w:tcBorders>
                  <w:noWrap/>
                  <w:vAlign w:val="bottom"/>
                  <w:hideMark/>
                </w:tcPr>
                <w:p w14:paraId="1D54E72B"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1653</w:t>
                  </w:r>
                </w:p>
              </w:tc>
              <w:tc>
                <w:tcPr>
                  <w:tcW w:w="1200" w:type="dxa"/>
                  <w:tcBorders>
                    <w:top w:val="single" w:sz="4" w:space="0" w:color="505050"/>
                    <w:left w:val="single" w:sz="4" w:space="0" w:color="505050"/>
                    <w:bottom w:val="single" w:sz="4" w:space="0" w:color="505050"/>
                    <w:right w:val="single" w:sz="4" w:space="0" w:color="505050"/>
                  </w:tcBorders>
                  <w:noWrap/>
                  <w:vAlign w:val="bottom"/>
                  <w:hideMark/>
                </w:tcPr>
                <w:p w14:paraId="5D35223A"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4%</w:t>
                  </w:r>
                </w:p>
              </w:tc>
            </w:tr>
            <w:tr w:rsidR="002A2A77" w:rsidRPr="00F77AED" w14:paraId="59FD373F" w14:textId="77777777" w:rsidTr="00960D57">
              <w:trPr>
                <w:trHeight w:val="300"/>
                <w:jc w:val="center"/>
              </w:trPr>
              <w:tc>
                <w:tcPr>
                  <w:tcW w:w="2080" w:type="dxa"/>
                  <w:tcBorders>
                    <w:top w:val="single" w:sz="4" w:space="0" w:color="505050"/>
                    <w:left w:val="single" w:sz="4" w:space="0" w:color="505050"/>
                    <w:bottom w:val="single" w:sz="4" w:space="0" w:color="505050"/>
                    <w:right w:val="single" w:sz="4" w:space="0" w:color="505050"/>
                  </w:tcBorders>
                  <w:noWrap/>
                  <w:vAlign w:val="bottom"/>
                  <w:hideMark/>
                </w:tcPr>
                <w:p w14:paraId="6F97BF0A" w14:textId="77777777" w:rsidR="002A2A77" w:rsidRPr="00F77AED" w:rsidRDefault="002A2A77" w:rsidP="002A2A77">
                  <w:pPr>
                    <w:rPr>
                      <w:rFonts w:ascii="Calibri" w:hAnsi="Calibri"/>
                      <w:color w:val="000000"/>
                      <w:sz w:val="22"/>
                      <w:szCs w:val="22"/>
                      <w:lang w:eastAsia="en-US"/>
                    </w:rPr>
                  </w:pPr>
                  <w:r w:rsidRPr="00F77AED">
                    <w:rPr>
                      <w:rFonts w:ascii="Calibri" w:hAnsi="Calibri"/>
                      <w:color w:val="000000"/>
                      <w:sz w:val="22"/>
                      <w:szCs w:val="22"/>
                      <w:lang w:eastAsia="en-US"/>
                    </w:rPr>
                    <w:t>Putumayo</w:t>
                  </w:r>
                </w:p>
              </w:tc>
              <w:tc>
                <w:tcPr>
                  <w:tcW w:w="1323" w:type="dxa"/>
                  <w:tcBorders>
                    <w:top w:val="single" w:sz="4" w:space="0" w:color="505050"/>
                    <w:left w:val="single" w:sz="4" w:space="0" w:color="505050"/>
                    <w:bottom w:val="single" w:sz="4" w:space="0" w:color="505050"/>
                    <w:right w:val="single" w:sz="4" w:space="0" w:color="505050"/>
                  </w:tcBorders>
                  <w:noWrap/>
                  <w:vAlign w:val="bottom"/>
                  <w:hideMark/>
                </w:tcPr>
                <w:p w14:paraId="2B88E529"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36</w:t>
                  </w:r>
                </w:p>
              </w:tc>
              <w:tc>
                <w:tcPr>
                  <w:tcW w:w="1200" w:type="dxa"/>
                  <w:tcBorders>
                    <w:top w:val="single" w:sz="4" w:space="0" w:color="505050"/>
                    <w:left w:val="single" w:sz="4" w:space="0" w:color="505050"/>
                    <w:bottom w:val="single" w:sz="4" w:space="0" w:color="505050"/>
                    <w:right w:val="single" w:sz="4" w:space="0" w:color="505050"/>
                  </w:tcBorders>
                  <w:noWrap/>
                  <w:vAlign w:val="bottom"/>
                  <w:hideMark/>
                </w:tcPr>
                <w:p w14:paraId="3DCC198E"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0%</w:t>
                  </w:r>
                </w:p>
              </w:tc>
            </w:tr>
            <w:tr w:rsidR="002A2A77" w:rsidRPr="00F77AED" w14:paraId="7DFCD9BE" w14:textId="77777777" w:rsidTr="00960D57">
              <w:trPr>
                <w:trHeight w:val="300"/>
                <w:jc w:val="center"/>
              </w:trPr>
              <w:tc>
                <w:tcPr>
                  <w:tcW w:w="2080" w:type="dxa"/>
                  <w:tcBorders>
                    <w:top w:val="single" w:sz="4" w:space="0" w:color="505050"/>
                    <w:left w:val="single" w:sz="4" w:space="0" w:color="505050"/>
                    <w:bottom w:val="single" w:sz="4" w:space="0" w:color="505050"/>
                    <w:right w:val="single" w:sz="4" w:space="0" w:color="505050"/>
                  </w:tcBorders>
                  <w:noWrap/>
                  <w:vAlign w:val="bottom"/>
                  <w:hideMark/>
                </w:tcPr>
                <w:p w14:paraId="623D63D8" w14:textId="77777777" w:rsidR="002A2A77" w:rsidRPr="00F77AED" w:rsidRDefault="002A2A77" w:rsidP="002A2A77">
                  <w:pPr>
                    <w:rPr>
                      <w:rFonts w:ascii="Calibri" w:hAnsi="Calibri"/>
                      <w:color w:val="000000"/>
                      <w:sz w:val="22"/>
                      <w:szCs w:val="22"/>
                      <w:lang w:eastAsia="en-US"/>
                    </w:rPr>
                  </w:pPr>
                  <w:r w:rsidRPr="00F77AED">
                    <w:rPr>
                      <w:rFonts w:ascii="Calibri" w:hAnsi="Calibri"/>
                      <w:color w:val="000000"/>
                      <w:sz w:val="22"/>
                      <w:szCs w:val="22"/>
                      <w:lang w:eastAsia="en-US"/>
                    </w:rPr>
                    <w:t>Quindío</w:t>
                  </w:r>
                </w:p>
              </w:tc>
              <w:tc>
                <w:tcPr>
                  <w:tcW w:w="1323" w:type="dxa"/>
                  <w:tcBorders>
                    <w:top w:val="single" w:sz="4" w:space="0" w:color="505050"/>
                    <w:left w:val="single" w:sz="4" w:space="0" w:color="505050"/>
                    <w:bottom w:val="single" w:sz="4" w:space="0" w:color="505050"/>
                    <w:right w:val="single" w:sz="4" w:space="0" w:color="505050"/>
                  </w:tcBorders>
                  <w:noWrap/>
                  <w:vAlign w:val="bottom"/>
                  <w:hideMark/>
                </w:tcPr>
                <w:p w14:paraId="682C4E40"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203</w:t>
                  </w:r>
                </w:p>
              </w:tc>
              <w:tc>
                <w:tcPr>
                  <w:tcW w:w="1200" w:type="dxa"/>
                  <w:tcBorders>
                    <w:top w:val="single" w:sz="4" w:space="0" w:color="505050"/>
                    <w:left w:val="single" w:sz="4" w:space="0" w:color="505050"/>
                    <w:bottom w:val="single" w:sz="4" w:space="0" w:color="505050"/>
                    <w:right w:val="single" w:sz="4" w:space="0" w:color="505050"/>
                  </w:tcBorders>
                  <w:noWrap/>
                  <w:vAlign w:val="bottom"/>
                  <w:hideMark/>
                </w:tcPr>
                <w:p w14:paraId="06C2E5F7"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0%</w:t>
                  </w:r>
                </w:p>
              </w:tc>
            </w:tr>
            <w:tr w:rsidR="002A2A77" w:rsidRPr="00F77AED" w14:paraId="455F40A4" w14:textId="77777777" w:rsidTr="00960D57">
              <w:trPr>
                <w:trHeight w:val="300"/>
                <w:jc w:val="center"/>
              </w:trPr>
              <w:tc>
                <w:tcPr>
                  <w:tcW w:w="2080" w:type="dxa"/>
                  <w:tcBorders>
                    <w:top w:val="single" w:sz="4" w:space="0" w:color="505050"/>
                    <w:left w:val="single" w:sz="4" w:space="0" w:color="505050"/>
                    <w:bottom w:val="single" w:sz="4" w:space="0" w:color="505050"/>
                    <w:right w:val="single" w:sz="4" w:space="0" w:color="505050"/>
                  </w:tcBorders>
                  <w:noWrap/>
                  <w:vAlign w:val="bottom"/>
                  <w:hideMark/>
                </w:tcPr>
                <w:p w14:paraId="683A43E2" w14:textId="77777777" w:rsidR="002A2A77" w:rsidRPr="00F77AED" w:rsidRDefault="002A2A77" w:rsidP="002A2A77">
                  <w:pPr>
                    <w:rPr>
                      <w:rFonts w:ascii="Calibri" w:hAnsi="Calibri"/>
                      <w:color w:val="000000"/>
                      <w:sz w:val="22"/>
                      <w:szCs w:val="22"/>
                      <w:lang w:eastAsia="en-US"/>
                    </w:rPr>
                  </w:pPr>
                  <w:r w:rsidRPr="00F77AED">
                    <w:rPr>
                      <w:rFonts w:ascii="Calibri" w:hAnsi="Calibri"/>
                      <w:color w:val="000000"/>
                      <w:sz w:val="22"/>
                      <w:szCs w:val="22"/>
                      <w:lang w:eastAsia="en-US"/>
                    </w:rPr>
                    <w:t>Risaralda</w:t>
                  </w:r>
                </w:p>
              </w:tc>
              <w:tc>
                <w:tcPr>
                  <w:tcW w:w="1323" w:type="dxa"/>
                  <w:tcBorders>
                    <w:top w:val="single" w:sz="4" w:space="0" w:color="505050"/>
                    <w:left w:val="single" w:sz="4" w:space="0" w:color="505050"/>
                    <w:bottom w:val="single" w:sz="4" w:space="0" w:color="505050"/>
                    <w:right w:val="single" w:sz="4" w:space="0" w:color="505050"/>
                  </w:tcBorders>
                  <w:noWrap/>
                  <w:vAlign w:val="bottom"/>
                  <w:hideMark/>
                </w:tcPr>
                <w:p w14:paraId="1E4B2AAB"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500</w:t>
                  </w:r>
                </w:p>
              </w:tc>
              <w:tc>
                <w:tcPr>
                  <w:tcW w:w="1200" w:type="dxa"/>
                  <w:tcBorders>
                    <w:top w:val="single" w:sz="4" w:space="0" w:color="505050"/>
                    <w:left w:val="single" w:sz="4" w:space="0" w:color="505050"/>
                    <w:bottom w:val="single" w:sz="4" w:space="0" w:color="505050"/>
                    <w:right w:val="single" w:sz="4" w:space="0" w:color="505050"/>
                  </w:tcBorders>
                  <w:noWrap/>
                  <w:vAlign w:val="bottom"/>
                  <w:hideMark/>
                </w:tcPr>
                <w:p w14:paraId="44B0955F"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1%</w:t>
                  </w:r>
                </w:p>
              </w:tc>
            </w:tr>
            <w:tr w:rsidR="002A2A77" w:rsidRPr="00F77AED" w14:paraId="5080E6CD" w14:textId="77777777" w:rsidTr="00960D57">
              <w:trPr>
                <w:trHeight w:val="300"/>
                <w:jc w:val="center"/>
              </w:trPr>
              <w:tc>
                <w:tcPr>
                  <w:tcW w:w="2080" w:type="dxa"/>
                  <w:tcBorders>
                    <w:top w:val="single" w:sz="4" w:space="0" w:color="505050"/>
                    <w:left w:val="single" w:sz="4" w:space="0" w:color="505050"/>
                    <w:bottom w:val="single" w:sz="4" w:space="0" w:color="505050"/>
                    <w:right w:val="single" w:sz="4" w:space="0" w:color="505050"/>
                  </w:tcBorders>
                  <w:noWrap/>
                  <w:vAlign w:val="bottom"/>
                  <w:hideMark/>
                </w:tcPr>
                <w:p w14:paraId="723FB954" w14:textId="77777777" w:rsidR="002A2A77" w:rsidRPr="00F77AED" w:rsidRDefault="002A2A77" w:rsidP="002A2A77">
                  <w:pPr>
                    <w:rPr>
                      <w:rFonts w:ascii="Calibri" w:hAnsi="Calibri"/>
                      <w:color w:val="000000"/>
                      <w:sz w:val="22"/>
                      <w:szCs w:val="22"/>
                      <w:lang w:eastAsia="en-US"/>
                    </w:rPr>
                  </w:pPr>
                  <w:r w:rsidRPr="00F77AED">
                    <w:rPr>
                      <w:rFonts w:ascii="Calibri" w:hAnsi="Calibri"/>
                      <w:color w:val="000000"/>
                      <w:sz w:val="22"/>
                      <w:szCs w:val="22"/>
                      <w:lang w:eastAsia="en-US"/>
                    </w:rPr>
                    <w:t>San Andrés</w:t>
                  </w:r>
                </w:p>
              </w:tc>
              <w:tc>
                <w:tcPr>
                  <w:tcW w:w="1323" w:type="dxa"/>
                  <w:tcBorders>
                    <w:top w:val="single" w:sz="4" w:space="0" w:color="505050"/>
                    <w:left w:val="single" w:sz="4" w:space="0" w:color="505050"/>
                    <w:bottom w:val="single" w:sz="4" w:space="0" w:color="505050"/>
                    <w:right w:val="single" w:sz="4" w:space="0" w:color="505050"/>
                  </w:tcBorders>
                  <w:noWrap/>
                  <w:vAlign w:val="bottom"/>
                  <w:hideMark/>
                </w:tcPr>
                <w:p w14:paraId="11B5BEFC"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27</w:t>
                  </w:r>
                </w:p>
              </w:tc>
              <w:tc>
                <w:tcPr>
                  <w:tcW w:w="1200" w:type="dxa"/>
                  <w:tcBorders>
                    <w:top w:val="single" w:sz="4" w:space="0" w:color="505050"/>
                    <w:left w:val="single" w:sz="4" w:space="0" w:color="505050"/>
                    <w:bottom w:val="single" w:sz="4" w:space="0" w:color="505050"/>
                    <w:right w:val="single" w:sz="4" w:space="0" w:color="505050"/>
                  </w:tcBorders>
                  <w:noWrap/>
                  <w:vAlign w:val="bottom"/>
                  <w:hideMark/>
                </w:tcPr>
                <w:p w14:paraId="046C7994"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0%</w:t>
                  </w:r>
                </w:p>
              </w:tc>
            </w:tr>
            <w:tr w:rsidR="002A2A77" w:rsidRPr="00F77AED" w14:paraId="1F55D59B" w14:textId="77777777" w:rsidTr="00960D57">
              <w:trPr>
                <w:trHeight w:val="300"/>
                <w:jc w:val="center"/>
              </w:trPr>
              <w:tc>
                <w:tcPr>
                  <w:tcW w:w="2080" w:type="dxa"/>
                  <w:tcBorders>
                    <w:top w:val="single" w:sz="4" w:space="0" w:color="505050"/>
                    <w:left w:val="single" w:sz="4" w:space="0" w:color="505050"/>
                    <w:bottom w:val="single" w:sz="4" w:space="0" w:color="505050"/>
                    <w:right w:val="single" w:sz="4" w:space="0" w:color="505050"/>
                  </w:tcBorders>
                  <w:noWrap/>
                  <w:vAlign w:val="bottom"/>
                  <w:hideMark/>
                </w:tcPr>
                <w:p w14:paraId="7C231D9C" w14:textId="77777777" w:rsidR="002A2A77" w:rsidRPr="00F77AED" w:rsidRDefault="002A2A77" w:rsidP="002A2A77">
                  <w:pPr>
                    <w:rPr>
                      <w:rFonts w:ascii="Calibri" w:hAnsi="Calibri"/>
                      <w:color w:val="000000"/>
                      <w:sz w:val="22"/>
                      <w:szCs w:val="22"/>
                      <w:lang w:eastAsia="en-US"/>
                    </w:rPr>
                  </w:pPr>
                  <w:r w:rsidRPr="00F77AED">
                    <w:rPr>
                      <w:rFonts w:ascii="Calibri" w:hAnsi="Calibri"/>
                      <w:color w:val="000000"/>
                      <w:sz w:val="22"/>
                      <w:szCs w:val="22"/>
                      <w:lang w:eastAsia="en-US"/>
                    </w:rPr>
                    <w:t>Santander</w:t>
                  </w:r>
                </w:p>
              </w:tc>
              <w:tc>
                <w:tcPr>
                  <w:tcW w:w="1323" w:type="dxa"/>
                  <w:tcBorders>
                    <w:top w:val="single" w:sz="4" w:space="0" w:color="505050"/>
                    <w:left w:val="single" w:sz="4" w:space="0" w:color="505050"/>
                    <w:bottom w:val="single" w:sz="4" w:space="0" w:color="505050"/>
                    <w:right w:val="single" w:sz="4" w:space="0" w:color="505050"/>
                  </w:tcBorders>
                  <w:noWrap/>
                  <w:vAlign w:val="bottom"/>
                  <w:hideMark/>
                </w:tcPr>
                <w:p w14:paraId="6A33F363"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1424</w:t>
                  </w:r>
                </w:p>
              </w:tc>
              <w:tc>
                <w:tcPr>
                  <w:tcW w:w="1200" w:type="dxa"/>
                  <w:tcBorders>
                    <w:top w:val="single" w:sz="4" w:space="0" w:color="505050"/>
                    <w:left w:val="single" w:sz="4" w:space="0" w:color="505050"/>
                    <w:bottom w:val="single" w:sz="4" w:space="0" w:color="505050"/>
                    <w:right w:val="single" w:sz="4" w:space="0" w:color="505050"/>
                  </w:tcBorders>
                  <w:noWrap/>
                  <w:vAlign w:val="bottom"/>
                  <w:hideMark/>
                </w:tcPr>
                <w:p w14:paraId="660D17C5"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3%</w:t>
                  </w:r>
                </w:p>
              </w:tc>
            </w:tr>
            <w:tr w:rsidR="002A2A77" w:rsidRPr="00F77AED" w14:paraId="5A62B88C" w14:textId="77777777" w:rsidTr="00960D57">
              <w:trPr>
                <w:trHeight w:val="300"/>
                <w:jc w:val="center"/>
              </w:trPr>
              <w:tc>
                <w:tcPr>
                  <w:tcW w:w="2080" w:type="dxa"/>
                  <w:tcBorders>
                    <w:top w:val="single" w:sz="4" w:space="0" w:color="505050"/>
                    <w:left w:val="single" w:sz="4" w:space="0" w:color="505050"/>
                    <w:bottom w:val="single" w:sz="4" w:space="0" w:color="505050"/>
                    <w:right w:val="single" w:sz="4" w:space="0" w:color="505050"/>
                  </w:tcBorders>
                  <w:noWrap/>
                  <w:vAlign w:val="bottom"/>
                  <w:hideMark/>
                </w:tcPr>
                <w:p w14:paraId="3AF06A82" w14:textId="77777777" w:rsidR="002A2A77" w:rsidRPr="00F77AED" w:rsidRDefault="002A2A77" w:rsidP="002A2A77">
                  <w:pPr>
                    <w:rPr>
                      <w:rFonts w:ascii="Calibri" w:hAnsi="Calibri"/>
                      <w:color w:val="000000"/>
                      <w:sz w:val="22"/>
                      <w:szCs w:val="22"/>
                      <w:lang w:eastAsia="en-US"/>
                    </w:rPr>
                  </w:pPr>
                  <w:r w:rsidRPr="00F77AED">
                    <w:rPr>
                      <w:rFonts w:ascii="Calibri" w:hAnsi="Calibri"/>
                      <w:color w:val="000000"/>
                      <w:sz w:val="22"/>
                      <w:szCs w:val="22"/>
                      <w:lang w:eastAsia="en-US"/>
                    </w:rPr>
                    <w:t>Sucre</w:t>
                  </w:r>
                </w:p>
              </w:tc>
              <w:tc>
                <w:tcPr>
                  <w:tcW w:w="1323" w:type="dxa"/>
                  <w:tcBorders>
                    <w:top w:val="single" w:sz="4" w:space="0" w:color="505050"/>
                    <w:left w:val="single" w:sz="4" w:space="0" w:color="505050"/>
                    <w:bottom w:val="single" w:sz="4" w:space="0" w:color="505050"/>
                    <w:right w:val="single" w:sz="4" w:space="0" w:color="505050"/>
                  </w:tcBorders>
                  <w:noWrap/>
                  <w:vAlign w:val="bottom"/>
                  <w:hideMark/>
                </w:tcPr>
                <w:p w14:paraId="3432D6D8"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2084</w:t>
                  </w:r>
                </w:p>
              </w:tc>
              <w:tc>
                <w:tcPr>
                  <w:tcW w:w="1200" w:type="dxa"/>
                  <w:tcBorders>
                    <w:top w:val="single" w:sz="4" w:space="0" w:color="505050"/>
                    <w:left w:val="single" w:sz="4" w:space="0" w:color="505050"/>
                    <w:bottom w:val="single" w:sz="4" w:space="0" w:color="505050"/>
                    <w:right w:val="single" w:sz="4" w:space="0" w:color="505050"/>
                  </w:tcBorders>
                  <w:noWrap/>
                  <w:vAlign w:val="bottom"/>
                  <w:hideMark/>
                </w:tcPr>
                <w:p w14:paraId="1D68D93D"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5%</w:t>
                  </w:r>
                </w:p>
              </w:tc>
            </w:tr>
            <w:tr w:rsidR="002A2A77" w:rsidRPr="00F77AED" w14:paraId="6A1E9871" w14:textId="77777777" w:rsidTr="00960D57">
              <w:trPr>
                <w:trHeight w:val="300"/>
                <w:jc w:val="center"/>
              </w:trPr>
              <w:tc>
                <w:tcPr>
                  <w:tcW w:w="2080" w:type="dxa"/>
                  <w:tcBorders>
                    <w:top w:val="single" w:sz="4" w:space="0" w:color="505050"/>
                    <w:left w:val="single" w:sz="4" w:space="0" w:color="505050"/>
                    <w:bottom w:val="single" w:sz="4" w:space="0" w:color="505050"/>
                    <w:right w:val="single" w:sz="4" w:space="0" w:color="505050"/>
                  </w:tcBorders>
                  <w:noWrap/>
                  <w:vAlign w:val="bottom"/>
                  <w:hideMark/>
                </w:tcPr>
                <w:p w14:paraId="184EC654" w14:textId="77777777" w:rsidR="002A2A77" w:rsidRPr="00F77AED" w:rsidRDefault="002A2A77" w:rsidP="002A2A77">
                  <w:pPr>
                    <w:rPr>
                      <w:rFonts w:ascii="Calibri" w:hAnsi="Calibri"/>
                      <w:color w:val="000000"/>
                      <w:sz w:val="22"/>
                      <w:szCs w:val="22"/>
                      <w:lang w:eastAsia="en-US"/>
                    </w:rPr>
                  </w:pPr>
                  <w:r w:rsidRPr="00F77AED">
                    <w:rPr>
                      <w:rFonts w:ascii="Calibri" w:hAnsi="Calibri"/>
                      <w:color w:val="000000"/>
                      <w:sz w:val="22"/>
                      <w:szCs w:val="22"/>
                      <w:lang w:eastAsia="en-US"/>
                    </w:rPr>
                    <w:t>Tolima</w:t>
                  </w:r>
                </w:p>
              </w:tc>
              <w:tc>
                <w:tcPr>
                  <w:tcW w:w="1323" w:type="dxa"/>
                  <w:tcBorders>
                    <w:top w:val="single" w:sz="4" w:space="0" w:color="505050"/>
                    <w:left w:val="single" w:sz="4" w:space="0" w:color="505050"/>
                    <w:bottom w:val="single" w:sz="4" w:space="0" w:color="505050"/>
                    <w:right w:val="single" w:sz="4" w:space="0" w:color="505050"/>
                  </w:tcBorders>
                  <w:noWrap/>
                  <w:vAlign w:val="bottom"/>
                  <w:hideMark/>
                </w:tcPr>
                <w:p w14:paraId="211B3479"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448</w:t>
                  </w:r>
                </w:p>
              </w:tc>
              <w:tc>
                <w:tcPr>
                  <w:tcW w:w="1200" w:type="dxa"/>
                  <w:tcBorders>
                    <w:top w:val="single" w:sz="4" w:space="0" w:color="505050"/>
                    <w:left w:val="single" w:sz="4" w:space="0" w:color="505050"/>
                    <w:bottom w:val="single" w:sz="4" w:space="0" w:color="505050"/>
                    <w:right w:val="single" w:sz="4" w:space="0" w:color="505050"/>
                  </w:tcBorders>
                  <w:noWrap/>
                  <w:vAlign w:val="bottom"/>
                  <w:hideMark/>
                </w:tcPr>
                <w:p w14:paraId="2BB8C306"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1%</w:t>
                  </w:r>
                </w:p>
              </w:tc>
            </w:tr>
            <w:tr w:rsidR="002A2A77" w:rsidRPr="00F77AED" w14:paraId="6B2098CA" w14:textId="77777777" w:rsidTr="00960D57">
              <w:trPr>
                <w:trHeight w:val="300"/>
                <w:jc w:val="center"/>
              </w:trPr>
              <w:tc>
                <w:tcPr>
                  <w:tcW w:w="2080" w:type="dxa"/>
                  <w:tcBorders>
                    <w:top w:val="single" w:sz="4" w:space="0" w:color="505050"/>
                    <w:left w:val="single" w:sz="4" w:space="0" w:color="505050"/>
                    <w:bottom w:val="single" w:sz="4" w:space="0" w:color="505050"/>
                    <w:right w:val="single" w:sz="4" w:space="0" w:color="505050"/>
                  </w:tcBorders>
                  <w:noWrap/>
                  <w:vAlign w:val="bottom"/>
                  <w:hideMark/>
                </w:tcPr>
                <w:p w14:paraId="32CB0A08" w14:textId="77777777" w:rsidR="002A2A77" w:rsidRPr="00F77AED" w:rsidRDefault="002A2A77" w:rsidP="002A2A77">
                  <w:pPr>
                    <w:rPr>
                      <w:rFonts w:ascii="Calibri" w:hAnsi="Calibri"/>
                      <w:color w:val="000000"/>
                      <w:sz w:val="22"/>
                      <w:szCs w:val="22"/>
                      <w:lang w:eastAsia="en-US"/>
                    </w:rPr>
                  </w:pPr>
                  <w:r w:rsidRPr="00F77AED">
                    <w:rPr>
                      <w:rFonts w:ascii="Calibri" w:hAnsi="Calibri"/>
                      <w:color w:val="000000"/>
                      <w:sz w:val="22"/>
                      <w:szCs w:val="22"/>
                      <w:lang w:eastAsia="en-US"/>
                    </w:rPr>
                    <w:t xml:space="preserve">Valle del Cauca </w:t>
                  </w:r>
                </w:p>
              </w:tc>
              <w:tc>
                <w:tcPr>
                  <w:tcW w:w="1323" w:type="dxa"/>
                  <w:tcBorders>
                    <w:top w:val="single" w:sz="4" w:space="0" w:color="505050"/>
                    <w:left w:val="single" w:sz="4" w:space="0" w:color="505050"/>
                    <w:bottom w:val="single" w:sz="4" w:space="0" w:color="505050"/>
                    <w:right w:val="single" w:sz="4" w:space="0" w:color="505050"/>
                  </w:tcBorders>
                  <w:noWrap/>
                  <w:vAlign w:val="bottom"/>
                  <w:hideMark/>
                </w:tcPr>
                <w:p w14:paraId="324CACB9"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3274</w:t>
                  </w:r>
                </w:p>
              </w:tc>
              <w:tc>
                <w:tcPr>
                  <w:tcW w:w="1200" w:type="dxa"/>
                  <w:tcBorders>
                    <w:top w:val="single" w:sz="4" w:space="0" w:color="505050"/>
                    <w:left w:val="single" w:sz="4" w:space="0" w:color="505050"/>
                    <w:bottom w:val="single" w:sz="4" w:space="0" w:color="505050"/>
                    <w:right w:val="single" w:sz="4" w:space="0" w:color="505050"/>
                  </w:tcBorders>
                  <w:noWrap/>
                  <w:vAlign w:val="bottom"/>
                  <w:hideMark/>
                </w:tcPr>
                <w:p w14:paraId="428B0A8D"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8%</w:t>
                  </w:r>
                </w:p>
              </w:tc>
            </w:tr>
            <w:tr w:rsidR="002A2A77" w:rsidRPr="00F77AED" w14:paraId="539C6E9E" w14:textId="77777777" w:rsidTr="00960D57">
              <w:trPr>
                <w:trHeight w:val="300"/>
                <w:jc w:val="center"/>
              </w:trPr>
              <w:tc>
                <w:tcPr>
                  <w:tcW w:w="2080" w:type="dxa"/>
                  <w:tcBorders>
                    <w:top w:val="single" w:sz="4" w:space="0" w:color="505050"/>
                    <w:left w:val="single" w:sz="4" w:space="0" w:color="505050"/>
                    <w:bottom w:val="single" w:sz="4" w:space="0" w:color="505050"/>
                    <w:right w:val="single" w:sz="4" w:space="0" w:color="505050"/>
                  </w:tcBorders>
                  <w:noWrap/>
                  <w:vAlign w:val="bottom"/>
                  <w:hideMark/>
                </w:tcPr>
                <w:p w14:paraId="5C9267DB" w14:textId="77777777" w:rsidR="002A2A77" w:rsidRPr="00F77AED" w:rsidRDefault="002A2A77" w:rsidP="002A2A77">
                  <w:pPr>
                    <w:rPr>
                      <w:rFonts w:ascii="Calibri" w:hAnsi="Calibri"/>
                      <w:color w:val="000000"/>
                      <w:sz w:val="22"/>
                      <w:szCs w:val="22"/>
                      <w:lang w:eastAsia="en-US"/>
                    </w:rPr>
                  </w:pPr>
                  <w:r w:rsidRPr="00F77AED">
                    <w:rPr>
                      <w:rFonts w:ascii="Calibri" w:hAnsi="Calibri"/>
                      <w:color w:val="000000"/>
                      <w:sz w:val="22"/>
                      <w:szCs w:val="22"/>
                      <w:lang w:eastAsia="en-US"/>
                    </w:rPr>
                    <w:t>Vaupés</w:t>
                  </w:r>
                </w:p>
              </w:tc>
              <w:tc>
                <w:tcPr>
                  <w:tcW w:w="1323" w:type="dxa"/>
                  <w:tcBorders>
                    <w:top w:val="single" w:sz="4" w:space="0" w:color="505050"/>
                    <w:left w:val="single" w:sz="4" w:space="0" w:color="505050"/>
                    <w:bottom w:val="single" w:sz="4" w:space="0" w:color="505050"/>
                    <w:right w:val="single" w:sz="4" w:space="0" w:color="505050"/>
                  </w:tcBorders>
                  <w:noWrap/>
                  <w:vAlign w:val="bottom"/>
                  <w:hideMark/>
                </w:tcPr>
                <w:p w14:paraId="77A71ABE"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7</w:t>
                  </w:r>
                </w:p>
              </w:tc>
              <w:tc>
                <w:tcPr>
                  <w:tcW w:w="1200" w:type="dxa"/>
                  <w:tcBorders>
                    <w:top w:val="single" w:sz="4" w:space="0" w:color="505050"/>
                    <w:left w:val="single" w:sz="4" w:space="0" w:color="505050"/>
                    <w:bottom w:val="single" w:sz="4" w:space="0" w:color="505050"/>
                    <w:right w:val="single" w:sz="4" w:space="0" w:color="505050"/>
                  </w:tcBorders>
                  <w:noWrap/>
                  <w:vAlign w:val="bottom"/>
                  <w:hideMark/>
                </w:tcPr>
                <w:p w14:paraId="60B9D139"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0%</w:t>
                  </w:r>
                </w:p>
              </w:tc>
            </w:tr>
            <w:tr w:rsidR="002A2A77" w:rsidRPr="00F77AED" w14:paraId="6B08A12A" w14:textId="77777777" w:rsidTr="00960D57">
              <w:trPr>
                <w:trHeight w:val="300"/>
                <w:jc w:val="center"/>
              </w:trPr>
              <w:tc>
                <w:tcPr>
                  <w:tcW w:w="2080" w:type="dxa"/>
                  <w:tcBorders>
                    <w:top w:val="single" w:sz="4" w:space="0" w:color="505050"/>
                    <w:left w:val="single" w:sz="4" w:space="0" w:color="505050"/>
                    <w:bottom w:val="single" w:sz="4" w:space="0" w:color="505050"/>
                    <w:right w:val="single" w:sz="4" w:space="0" w:color="505050"/>
                  </w:tcBorders>
                  <w:noWrap/>
                  <w:vAlign w:val="bottom"/>
                  <w:hideMark/>
                </w:tcPr>
                <w:p w14:paraId="334C875B" w14:textId="77777777" w:rsidR="002A2A77" w:rsidRPr="00F77AED" w:rsidRDefault="002A2A77" w:rsidP="002A2A77">
                  <w:pPr>
                    <w:rPr>
                      <w:rFonts w:ascii="Calibri" w:hAnsi="Calibri"/>
                      <w:color w:val="000000"/>
                      <w:sz w:val="22"/>
                      <w:szCs w:val="22"/>
                      <w:lang w:eastAsia="en-US"/>
                    </w:rPr>
                  </w:pPr>
                  <w:r w:rsidRPr="00F77AED">
                    <w:rPr>
                      <w:rFonts w:ascii="Calibri" w:hAnsi="Calibri"/>
                      <w:color w:val="000000"/>
                      <w:sz w:val="22"/>
                      <w:szCs w:val="22"/>
                      <w:lang w:eastAsia="en-US"/>
                    </w:rPr>
                    <w:t>Vichada</w:t>
                  </w:r>
                </w:p>
              </w:tc>
              <w:tc>
                <w:tcPr>
                  <w:tcW w:w="1323" w:type="dxa"/>
                  <w:tcBorders>
                    <w:top w:val="single" w:sz="4" w:space="0" w:color="505050"/>
                    <w:left w:val="single" w:sz="4" w:space="0" w:color="505050"/>
                    <w:bottom w:val="single" w:sz="4" w:space="0" w:color="505050"/>
                    <w:right w:val="single" w:sz="4" w:space="0" w:color="505050"/>
                  </w:tcBorders>
                  <w:noWrap/>
                  <w:vAlign w:val="bottom"/>
                  <w:hideMark/>
                </w:tcPr>
                <w:p w14:paraId="19F16D60"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20</w:t>
                  </w:r>
                </w:p>
              </w:tc>
              <w:tc>
                <w:tcPr>
                  <w:tcW w:w="1200" w:type="dxa"/>
                  <w:tcBorders>
                    <w:top w:val="single" w:sz="4" w:space="0" w:color="505050"/>
                    <w:left w:val="single" w:sz="4" w:space="0" w:color="505050"/>
                    <w:bottom w:val="single" w:sz="4" w:space="0" w:color="505050"/>
                    <w:right w:val="single" w:sz="4" w:space="0" w:color="505050"/>
                  </w:tcBorders>
                  <w:noWrap/>
                  <w:vAlign w:val="bottom"/>
                  <w:hideMark/>
                </w:tcPr>
                <w:p w14:paraId="5DFDC202"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0%</w:t>
                  </w:r>
                </w:p>
              </w:tc>
            </w:tr>
            <w:tr w:rsidR="002A2A77" w:rsidRPr="00F77AED" w14:paraId="7F2D4ACE" w14:textId="77777777" w:rsidTr="00960D57">
              <w:trPr>
                <w:trHeight w:val="300"/>
                <w:jc w:val="center"/>
              </w:trPr>
              <w:tc>
                <w:tcPr>
                  <w:tcW w:w="2080" w:type="dxa"/>
                  <w:tcBorders>
                    <w:top w:val="single" w:sz="4" w:space="0" w:color="505050"/>
                    <w:left w:val="single" w:sz="4" w:space="0" w:color="505050"/>
                    <w:bottom w:val="single" w:sz="4" w:space="0" w:color="505050"/>
                    <w:right w:val="single" w:sz="4" w:space="0" w:color="505050"/>
                  </w:tcBorders>
                  <w:noWrap/>
                  <w:vAlign w:val="bottom"/>
                  <w:hideMark/>
                </w:tcPr>
                <w:p w14:paraId="451BAB50" w14:textId="77777777" w:rsidR="002A2A77" w:rsidRPr="00F77AED" w:rsidRDefault="002A2A77" w:rsidP="002A2A77">
                  <w:pPr>
                    <w:rPr>
                      <w:rFonts w:ascii="Calibri" w:hAnsi="Calibri"/>
                      <w:color w:val="000000"/>
                      <w:sz w:val="22"/>
                      <w:szCs w:val="22"/>
                      <w:lang w:eastAsia="en-US"/>
                    </w:rPr>
                  </w:pPr>
                  <w:proofErr w:type="gramStart"/>
                  <w:r w:rsidRPr="00F77AED">
                    <w:rPr>
                      <w:rFonts w:ascii="Calibri" w:hAnsi="Calibri"/>
                      <w:color w:val="000000"/>
                      <w:sz w:val="22"/>
                      <w:szCs w:val="22"/>
                      <w:lang w:eastAsia="en-US"/>
                    </w:rPr>
                    <w:t>Total</w:t>
                  </w:r>
                  <w:proofErr w:type="gramEnd"/>
                  <w:r w:rsidRPr="00F77AED">
                    <w:rPr>
                      <w:rFonts w:ascii="Calibri" w:hAnsi="Calibri"/>
                      <w:color w:val="000000"/>
                      <w:sz w:val="22"/>
                      <w:szCs w:val="22"/>
                      <w:lang w:eastAsia="en-US"/>
                    </w:rPr>
                    <w:t xml:space="preserve"> general</w:t>
                  </w:r>
                </w:p>
              </w:tc>
              <w:tc>
                <w:tcPr>
                  <w:tcW w:w="1323" w:type="dxa"/>
                  <w:tcBorders>
                    <w:top w:val="single" w:sz="4" w:space="0" w:color="505050"/>
                    <w:left w:val="single" w:sz="4" w:space="0" w:color="505050"/>
                    <w:bottom w:val="single" w:sz="4" w:space="0" w:color="505050"/>
                    <w:right w:val="single" w:sz="4" w:space="0" w:color="505050"/>
                  </w:tcBorders>
                  <w:noWrap/>
                  <w:vAlign w:val="bottom"/>
                  <w:hideMark/>
                </w:tcPr>
                <w:p w14:paraId="5187FAFF" w14:textId="77777777" w:rsidR="002A2A77" w:rsidRPr="00F77AED" w:rsidRDefault="002A2A77" w:rsidP="002A2A77">
                  <w:pPr>
                    <w:jc w:val="right"/>
                    <w:rPr>
                      <w:rFonts w:ascii="Calibri" w:hAnsi="Calibri"/>
                      <w:color w:val="000000"/>
                      <w:sz w:val="22"/>
                      <w:szCs w:val="22"/>
                      <w:lang w:eastAsia="en-US"/>
                    </w:rPr>
                  </w:pPr>
                  <w:r w:rsidRPr="00F77AED">
                    <w:rPr>
                      <w:rFonts w:ascii="Calibri" w:hAnsi="Calibri"/>
                      <w:color w:val="000000"/>
                      <w:sz w:val="22"/>
                      <w:szCs w:val="22"/>
                      <w:lang w:eastAsia="en-US"/>
                    </w:rPr>
                    <w:t>41589</w:t>
                  </w:r>
                </w:p>
              </w:tc>
              <w:tc>
                <w:tcPr>
                  <w:tcW w:w="1200" w:type="dxa"/>
                  <w:tcBorders>
                    <w:top w:val="single" w:sz="4" w:space="0" w:color="505050"/>
                    <w:left w:val="single" w:sz="4" w:space="0" w:color="505050"/>
                    <w:bottom w:val="single" w:sz="4" w:space="0" w:color="505050"/>
                    <w:right w:val="single" w:sz="4" w:space="0" w:color="505050"/>
                  </w:tcBorders>
                  <w:noWrap/>
                  <w:vAlign w:val="bottom"/>
                  <w:hideMark/>
                </w:tcPr>
                <w:p w14:paraId="68B4E7CB" w14:textId="77777777" w:rsidR="002A2A77" w:rsidRPr="00F77AED" w:rsidRDefault="002A2A77" w:rsidP="002A2A77">
                  <w:pPr>
                    <w:jc w:val="right"/>
                    <w:rPr>
                      <w:rFonts w:ascii="Calibri" w:hAnsi="Calibri"/>
                      <w:color w:val="000000"/>
                      <w:sz w:val="22"/>
                      <w:szCs w:val="22"/>
                      <w:lang w:eastAsia="en-US"/>
                    </w:rPr>
                  </w:pPr>
                </w:p>
              </w:tc>
            </w:tr>
          </w:tbl>
          <w:p w14:paraId="079BCEE7" w14:textId="77777777" w:rsidR="002A2A77" w:rsidRPr="00F77AED" w:rsidRDefault="002A2A77" w:rsidP="187EA5DE">
            <w:pPr>
              <w:spacing w:after="160" w:line="278" w:lineRule="auto"/>
              <w:jc w:val="center"/>
              <w:rPr>
                <w:rFonts w:asciiTheme="minorHAnsi" w:eastAsiaTheme="minorEastAsia" w:hAnsiTheme="minorHAnsi" w:cstheme="minorBidi"/>
                <w:kern w:val="2"/>
                <w:sz w:val="24"/>
                <w:szCs w:val="24"/>
                <w:lang w:eastAsia="en-US"/>
                <w14:ligatures w14:val="standardContextual"/>
              </w:rPr>
            </w:pPr>
            <w:r w:rsidRPr="187EA5DE">
              <w:rPr>
                <w:rFonts w:asciiTheme="minorHAnsi" w:eastAsiaTheme="minorEastAsia" w:hAnsiTheme="minorHAnsi" w:cstheme="minorBidi"/>
                <w:kern w:val="2"/>
                <w:sz w:val="24"/>
                <w:szCs w:val="24"/>
                <w:lang w:eastAsia="en-US"/>
                <w14:ligatures w14:val="standardContextual"/>
              </w:rPr>
              <w:t>Fuente: elaboración propia con base en ICBF.</w:t>
            </w:r>
          </w:p>
          <w:p w14:paraId="7F5D3660" w14:textId="3F4493E5" w:rsidR="002A2A77" w:rsidRPr="00720245" w:rsidRDefault="002A2A77" w:rsidP="002A2A77">
            <w:pPr>
              <w:jc w:val="both"/>
              <w:rPr>
                <w:rFonts w:ascii="Verdana" w:hAnsi="Verdana"/>
              </w:rPr>
            </w:pPr>
            <w:r w:rsidRPr="00720245">
              <w:rPr>
                <w:rFonts w:ascii="Verdana" w:hAnsi="Verdana"/>
              </w:rPr>
              <w:t xml:space="preserve">De acuerdo con la información aportada por el ICBF, actualmente hay 41.589 madres y padres comunitarios o sustitutos. Cabe mencionar que, de acuerdo con el análisis de los datos, existen personas que cumplen funciones de madre comunitaria al tiempo que son madres sustitutas. Adicionalmente, el departamento con mayor cantidad de madres y padres comunitarios o sustitutos es Atlántico (con 3.716 responsables del cuidado de </w:t>
            </w:r>
            <w:proofErr w:type="gramStart"/>
            <w:r w:rsidRPr="00720245">
              <w:rPr>
                <w:rFonts w:ascii="Verdana" w:hAnsi="Verdana"/>
              </w:rPr>
              <w:t>los niños y las niñas</w:t>
            </w:r>
            <w:proofErr w:type="gramEnd"/>
            <w:r w:rsidRPr="00720245">
              <w:rPr>
                <w:rFonts w:ascii="Verdana" w:hAnsi="Verdana"/>
              </w:rPr>
              <w:t xml:space="preserve">), seguido de los departamentos de Córdoba, </w:t>
            </w:r>
            <w:r w:rsidR="00B6266A" w:rsidRPr="00720245">
              <w:rPr>
                <w:rFonts w:ascii="Verdana" w:hAnsi="Verdana"/>
              </w:rPr>
              <w:t>Bolívar</w:t>
            </w:r>
            <w:r w:rsidRPr="00720245">
              <w:rPr>
                <w:rFonts w:ascii="Verdana" w:hAnsi="Verdana"/>
              </w:rPr>
              <w:t>, Valle del Cauca, Antioquia, Magdalena y Bogotá; relacionado con su presencia de las ciudades capitales</w:t>
            </w:r>
          </w:p>
          <w:p w14:paraId="1DB30FB2" w14:textId="762ADD04" w:rsidR="0E75B6F8" w:rsidRDefault="002A2A77" w:rsidP="00B6266A">
            <w:pPr>
              <w:spacing w:after="160" w:line="257" w:lineRule="auto"/>
              <w:jc w:val="both"/>
              <w:rPr>
                <w:rFonts w:ascii="Verdana" w:eastAsia="Verdana" w:hAnsi="Verdana" w:cs="Verdana"/>
                <w:color w:val="000000" w:themeColor="text1"/>
                <w:lang w:val="es-CO"/>
              </w:rPr>
            </w:pPr>
            <w:r w:rsidRPr="00720245">
              <w:rPr>
                <w:rFonts w:ascii="Verdana" w:hAnsi="Verdana"/>
              </w:rPr>
              <w:t>más grandes (Barranquilla, Cartagena, Cali, Medellín, Santa Marta y Montería).</w:t>
            </w:r>
          </w:p>
          <w:p w14:paraId="791AD289" w14:textId="105756D0" w:rsidR="1F308449" w:rsidRDefault="1F308449" w:rsidP="0E75B6F8">
            <w:pPr>
              <w:pStyle w:val="Encabezado"/>
              <w:ind w:right="21"/>
              <w:jc w:val="both"/>
              <w:rPr>
                <w:rFonts w:ascii="Verdana" w:hAnsi="Verdana"/>
                <w:lang w:val="es-CO"/>
              </w:rPr>
            </w:pPr>
            <w:r w:rsidRPr="1CEBD9B9">
              <w:rPr>
                <w:rFonts w:ascii="Verdana" w:hAnsi="Verdana"/>
                <w:lang w:val="es-CO"/>
              </w:rPr>
              <w:t xml:space="preserve">Se debe establecer que, el Ministerio de Vivienda, Ciudad y Territorio crea e implementa programas tendientes a promover el acceso a la vivienda, con el fin de mejorar las condiciones habitacionales de las </w:t>
            </w:r>
            <w:r w:rsidRPr="1CEBD9B9">
              <w:rPr>
                <w:rFonts w:ascii="Verdana" w:hAnsi="Verdana"/>
                <w:lang w:val="es-CO"/>
              </w:rPr>
              <w:lastRenderedPageBreak/>
              <w:t xml:space="preserve">personas de menores ingresos y contribuir con la disminución del déficit habitacional del país mediante la asignación de un Subsidio Familiar de Vivienda (SFV). Teniendo en cuenta la situación de vulnerabilidad </w:t>
            </w:r>
            <w:r w:rsidR="00EA2029" w:rsidRPr="00720245">
              <w:rPr>
                <w:rFonts w:ascii="Verdana" w:hAnsi="Verdana"/>
                <w:lang w:val="es-CO"/>
              </w:rPr>
              <w:t xml:space="preserve">establecida previamente, </w:t>
            </w:r>
            <w:r w:rsidRPr="00720245">
              <w:rPr>
                <w:rFonts w:ascii="Verdana" w:hAnsi="Verdana"/>
                <w:lang w:val="es-CO"/>
              </w:rPr>
              <w:t>los</w:t>
            </w:r>
            <w:r w:rsidRPr="1CEBD9B9">
              <w:rPr>
                <w:rFonts w:ascii="Verdana" w:hAnsi="Verdana"/>
                <w:lang w:val="es-CO"/>
              </w:rPr>
              <w:t xml:space="preserve"> hogares integrados por madres comunitarias hacen parte de la población con menores ingresos y en situación de vulnerabilidad y de la población a priorizar para el acceso a los programas liderados por el Ministerio de Vivienda, Ciudad y Territorio.</w:t>
            </w:r>
          </w:p>
          <w:p w14:paraId="6B053293" w14:textId="745FF1D5" w:rsidR="638A15E1" w:rsidRDefault="638A15E1" w:rsidP="638A15E1">
            <w:pPr>
              <w:pStyle w:val="Encabezado"/>
              <w:ind w:right="21"/>
              <w:jc w:val="both"/>
              <w:rPr>
                <w:rFonts w:ascii="Verdana" w:hAnsi="Verdana"/>
                <w:lang w:val="es-CO"/>
              </w:rPr>
            </w:pPr>
          </w:p>
          <w:p w14:paraId="6A74453C" w14:textId="1EFD831B" w:rsidR="0E75B6F8" w:rsidRDefault="0A8ED4AA" w:rsidP="00656E21">
            <w:pPr>
              <w:spacing w:after="160" w:line="276" w:lineRule="auto"/>
              <w:jc w:val="both"/>
              <w:rPr>
                <w:rFonts w:ascii="Verdana" w:eastAsia="Verdana" w:hAnsi="Verdana" w:cs="Verdana"/>
                <w:lang w:val="es"/>
              </w:rPr>
            </w:pPr>
            <w:r w:rsidRPr="001A1F1A">
              <w:rPr>
                <w:rFonts w:ascii="Verdana" w:hAnsi="Verdana"/>
                <w:lang w:val="es-CO"/>
              </w:rPr>
              <w:t>Tomando en cuenta que, de conformidad con lo establecido en el artículo 2.1.1.1.1.1.7 del Decreto 1077 de 2015 las Cajas de Compensación Familiar</w:t>
            </w:r>
            <w:r w:rsidR="49872A58" w:rsidRPr="09400DC1">
              <w:rPr>
                <w:rFonts w:ascii="Verdana" w:hAnsi="Verdana"/>
                <w:lang w:val="es-CO"/>
              </w:rPr>
              <w:t xml:space="preserve"> </w:t>
            </w:r>
            <w:r w:rsidRPr="001A1F1A">
              <w:rPr>
                <w:rFonts w:ascii="Verdana" w:hAnsi="Verdana"/>
                <w:lang w:val="es-CO"/>
              </w:rPr>
              <w:t xml:space="preserve">pueden otorgar subsidios familiares de vivienda para la adquisición de vivienda de interés social usada a las madres comunitarias de Bienestar, </w:t>
            </w:r>
            <w:proofErr w:type="spellStart"/>
            <w:r w:rsidRPr="001A1F1A">
              <w:rPr>
                <w:rFonts w:ascii="Verdana" w:hAnsi="Verdana"/>
                <w:lang w:val="es-CO"/>
              </w:rPr>
              <w:t>Famis</w:t>
            </w:r>
            <w:proofErr w:type="spellEnd"/>
            <w:r w:rsidRPr="001A1F1A">
              <w:rPr>
                <w:rFonts w:ascii="Verdana" w:hAnsi="Verdana"/>
                <w:lang w:val="es-CO"/>
              </w:rPr>
              <w:t xml:space="preserve"> y Madres Sustitutas, se estima pertinente en aras de ampliar la oferta, </w:t>
            </w:r>
            <w:r w:rsidR="0EF1219E" w:rsidRPr="09400DC1">
              <w:rPr>
                <w:rFonts w:ascii="Verdana" w:hAnsi="Verdana"/>
                <w:lang w:val="es-CO"/>
              </w:rPr>
              <w:t xml:space="preserve">habilitar la aplicación del </w:t>
            </w:r>
            <w:r w:rsidRPr="001A1F1A">
              <w:rPr>
                <w:rFonts w:ascii="Verdana" w:hAnsi="Verdana"/>
                <w:lang w:val="es"/>
              </w:rPr>
              <w:t>programa de promoción de acceso a la vivienda de interés social, para la adquisición de vivienda de interés social usada a los hogares donde al menos un miembro cumpla con la condición</w:t>
            </w:r>
            <w:r w:rsidRPr="09400DC1">
              <w:rPr>
                <w:rFonts w:ascii="Verdana" w:hAnsi="Verdana"/>
                <w:lang w:val="es"/>
              </w:rPr>
              <w:t xml:space="preserve"> de ser madre comunitaria vinculada a los programas de hogares comunitarios de bienestar, </w:t>
            </w:r>
            <w:proofErr w:type="spellStart"/>
            <w:r w:rsidR="1D9FE012" w:rsidRPr="09400DC1">
              <w:rPr>
                <w:rFonts w:ascii="Verdana" w:hAnsi="Verdana"/>
                <w:lang w:val="es"/>
              </w:rPr>
              <w:t>Famis</w:t>
            </w:r>
            <w:proofErr w:type="spellEnd"/>
            <w:r w:rsidR="1D9FE012" w:rsidRPr="09400DC1">
              <w:rPr>
                <w:rFonts w:ascii="Verdana" w:hAnsi="Verdana"/>
                <w:lang w:val="es"/>
              </w:rPr>
              <w:t xml:space="preserve"> y madres sustitutas, certificadas por el Instituto Colombiano de Bienestar Familiar</w:t>
            </w:r>
            <w:r w:rsidRPr="001A1F1A">
              <w:rPr>
                <w:rFonts w:ascii="Verdana" w:hAnsi="Verdana"/>
                <w:lang w:val="es"/>
              </w:rPr>
              <w:t>.</w:t>
            </w:r>
          </w:p>
          <w:p w14:paraId="439B4C95" w14:textId="7E9B5C33" w:rsidR="0025004B" w:rsidRDefault="00494CE1" w:rsidP="00FB314A">
            <w:pPr>
              <w:jc w:val="both"/>
              <w:rPr>
                <w:rFonts w:ascii="Verdana" w:hAnsi="Verdana"/>
                <w:lang w:val="es-CO"/>
              </w:rPr>
            </w:pPr>
            <w:r w:rsidRPr="091E99A1">
              <w:rPr>
                <w:rFonts w:ascii="Verdana" w:hAnsi="Verdana"/>
                <w:lang w:val="es-CO"/>
              </w:rPr>
              <w:t xml:space="preserve">Habilitar la </w:t>
            </w:r>
            <w:r w:rsidR="00FD1CE6" w:rsidRPr="091E99A1">
              <w:rPr>
                <w:rFonts w:ascii="Verdana" w:hAnsi="Verdana"/>
                <w:lang w:val="es-CO"/>
              </w:rPr>
              <w:t xml:space="preserve">adquisición de vivienda usada a través del programa </w:t>
            </w:r>
            <w:r w:rsidR="1F6A8B6E" w:rsidRPr="091E99A1">
              <w:rPr>
                <w:rFonts w:ascii="Verdana" w:hAnsi="Verdana"/>
                <w:lang w:val="es"/>
              </w:rPr>
              <w:t>de promoción de acceso a la vivienda de interés social</w:t>
            </w:r>
            <w:r w:rsidRPr="091E99A1">
              <w:rPr>
                <w:rFonts w:ascii="Verdana" w:hAnsi="Verdana"/>
                <w:lang w:val="es-CO"/>
              </w:rPr>
              <w:t xml:space="preserve">, permite que </w:t>
            </w:r>
            <w:r w:rsidR="006004EB" w:rsidRPr="091E99A1">
              <w:rPr>
                <w:rFonts w:ascii="Verdana" w:hAnsi="Verdana"/>
                <w:lang w:val="es-CO"/>
              </w:rPr>
              <w:t xml:space="preserve">estos grupos poblacionales </w:t>
            </w:r>
            <w:r w:rsidRPr="091E99A1">
              <w:rPr>
                <w:rFonts w:ascii="Verdana" w:hAnsi="Verdana"/>
                <w:lang w:val="es-CO"/>
              </w:rPr>
              <w:t xml:space="preserve">tengan mayores oportunidades de acceso a una vivienda digna, </w:t>
            </w:r>
            <w:r w:rsidR="00870C2E" w:rsidRPr="091E99A1">
              <w:rPr>
                <w:rFonts w:ascii="Verdana" w:hAnsi="Verdana"/>
                <w:lang w:val="es-CO"/>
              </w:rPr>
              <w:t>como una estrategia que permite superar las barreras para la utilización del subsidio familiar de vivienda destinado a la adquisición</w:t>
            </w:r>
            <w:r w:rsidRPr="091E99A1">
              <w:rPr>
                <w:rFonts w:ascii="Verdana" w:hAnsi="Verdana"/>
                <w:lang w:val="es-CO"/>
              </w:rPr>
              <w:t>.</w:t>
            </w:r>
            <w:r w:rsidR="0025004B" w:rsidRPr="091E99A1">
              <w:rPr>
                <w:rFonts w:ascii="Verdana" w:hAnsi="Verdana"/>
                <w:lang w:val="es-CO"/>
              </w:rPr>
              <w:t xml:space="preserve"> </w:t>
            </w:r>
          </w:p>
          <w:p w14:paraId="37D5D50F" w14:textId="77777777" w:rsidR="0012181C" w:rsidRDefault="0012181C" w:rsidP="5DF6734C">
            <w:pPr>
              <w:jc w:val="both"/>
              <w:rPr>
                <w:rFonts w:ascii="Verdana" w:hAnsi="Verdana"/>
                <w:lang w:val="es-CO"/>
              </w:rPr>
            </w:pPr>
          </w:p>
          <w:p w14:paraId="6D210CC1" w14:textId="676AE820" w:rsidR="6E3E1846" w:rsidRPr="006A3B1C" w:rsidRDefault="006A3B1C" w:rsidP="1CEBD9B9">
            <w:pPr>
              <w:jc w:val="both"/>
              <w:rPr>
                <w:rFonts w:ascii="Verdana" w:hAnsi="Verdana"/>
                <w:strike/>
                <w:lang w:val="es-CO"/>
              </w:rPr>
            </w:pPr>
            <w:r w:rsidRPr="00720245">
              <w:rPr>
                <w:rFonts w:ascii="Verdana" w:hAnsi="Verdana"/>
                <w:lang w:val="es-CO"/>
              </w:rPr>
              <w:t xml:space="preserve"> </w:t>
            </w:r>
            <w:r w:rsidR="39DF15D5" w:rsidRPr="00720245">
              <w:rPr>
                <w:rFonts w:ascii="Verdana" w:hAnsi="Verdana"/>
                <w:lang w:val="es-CO"/>
              </w:rPr>
              <w:t xml:space="preserve">d. </w:t>
            </w:r>
            <w:r w:rsidRPr="00720245">
              <w:rPr>
                <w:rFonts w:ascii="Verdana" w:hAnsi="Verdana"/>
                <w:lang w:val="es-CO"/>
              </w:rPr>
              <w:t>Recicladores de oficio</w:t>
            </w:r>
          </w:p>
          <w:p w14:paraId="28AAF6B6" w14:textId="497384D3" w:rsidR="5DF6734C" w:rsidRDefault="5DF6734C" w:rsidP="5DF6734C">
            <w:pPr>
              <w:pStyle w:val="Prrafodelista"/>
              <w:ind w:left="720"/>
              <w:jc w:val="both"/>
              <w:rPr>
                <w:rFonts w:ascii="Verdana" w:hAnsi="Verdana"/>
                <w:lang w:val="es-CO"/>
              </w:rPr>
            </w:pPr>
          </w:p>
          <w:p w14:paraId="215B6DA1" w14:textId="0F857CA8" w:rsidR="0012181C" w:rsidRDefault="009F0AA5" w:rsidP="0012181C">
            <w:pPr>
              <w:jc w:val="both"/>
              <w:rPr>
                <w:rFonts w:ascii="Verdana" w:hAnsi="Verdana"/>
              </w:rPr>
            </w:pPr>
            <w:r w:rsidRPr="5DF6734C">
              <w:rPr>
                <w:rFonts w:ascii="Verdana" w:hAnsi="Verdana"/>
                <w:lang w:val="es-MX"/>
              </w:rPr>
              <w:t>Respecto a la población recicladora, c</w:t>
            </w:r>
            <w:r w:rsidR="0012181C" w:rsidRPr="5DF6734C">
              <w:rPr>
                <w:rFonts w:ascii="Verdana" w:hAnsi="Verdana"/>
                <w:lang w:val="es-MX"/>
              </w:rPr>
              <w:t xml:space="preserve">on base en la información dispuesta en el Sistema Único de Información- SUI- de la Superintendencia de Servicios Públicos Domiciliarios (SSPD) y de la Unidad Administrativa Especial de Servicios Públicos (UAESP) de Bogotá, se identificaron datos importantes relacionados con el diagnostico de los recicladores de oficio en términos de cantidad de recicladores identificados y registrados, </w:t>
            </w:r>
            <w:r w:rsidR="53D93C4E" w:rsidRPr="5DF6734C">
              <w:rPr>
                <w:rFonts w:ascii="Verdana" w:hAnsi="Verdana"/>
                <w:lang w:val="es-MX"/>
              </w:rPr>
              <w:t xml:space="preserve">así como </w:t>
            </w:r>
            <w:r w:rsidR="0012181C" w:rsidRPr="5DF6734C">
              <w:rPr>
                <w:rFonts w:ascii="Verdana" w:hAnsi="Verdana"/>
                <w:lang w:val="es-MX"/>
              </w:rPr>
              <w:t xml:space="preserve">el acceso de estos a salud, vivienda y educación. </w:t>
            </w:r>
          </w:p>
          <w:p w14:paraId="4B897069" w14:textId="77777777" w:rsidR="0012181C" w:rsidRPr="004A500F" w:rsidRDefault="0012181C" w:rsidP="0012181C">
            <w:pPr>
              <w:jc w:val="both"/>
              <w:rPr>
                <w:rFonts w:ascii="Verdana" w:hAnsi="Verdana"/>
              </w:rPr>
            </w:pPr>
          </w:p>
          <w:p w14:paraId="72AA4B73" w14:textId="77777777" w:rsidR="0012181C" w:rsidRPr="004A500F" w:rsidRDefault="0012181C" w:rsidP="00342E90">
            <w:pPr>
              <w:pStyle w:val="Prrafodelista"/>
              <w:numPr>
                <w:ilvl w:val="0"/>
                <w:numId w:val="6"/>
              </w:numPr>
              <w:spacing w:after="160" w:line="278" w:lineRule="auto"/>
              <w:contextualSpacing/>
              <w:jc w:val="both"/>
              <w:rPr>
                <w:rFonts w:ascii="Verdana" w:hAnsi="Verdana"/>
              </w:rPr>
            </w:pPr>
            <w:r w:rsidRPr="687EFF7E">
              <w:rPr>
                <w:rFonts w:ascii="Verdana" w:hAnsi="Verdana"/>
              </w:rPr>
              <w:t>Registro de recicladores de oficio en el marco del servicio público de aseo.</w:t>
            </w:r>
          </w:p>
          <w:p w14:paraId="0A1D7CC8" w14:textId="442CD94C" w:rsidR="0012181C" w:rsidRPr="004A500F" w:rsidRDefault="0012181C" w:rsidP="0012181C">
            <w:pPr>
              <w:jc w:val="both"/>
              <w:rPr>
                <w:rFonts w:ascii="Verdana" w:hAnsi="Verdana"/>
              </w:rPr>
            </w:pPr>
            <w:r w:rsidRPr="388D4128">
              <w:rPr>
                <w:rFonts w:ascii="Verdana" w:hAnsi="Verdana"/>
                <w:lang w:val="es-MX"/>
              </w:rPr>
              <w:t>De acuerdo con la información reportada por las organizaciones de recicladores de oficio prestadoras de la actividad de aprovechamiento ante la Superintendencia de Servicios Públicos Domiciliarios a través del registro de miembros de la organización en el Sistema Único de Información (SUI), entre los años 2016 y 2022, la población de recicladores de oficio en el país se incrementó en un 446,6%; pasando de 12.459 recicladores en el año 2016 a 68.100 en el año 2022</w:t>
            </w:r>
            <w:r w:rsidRPr="388D4128">
              <w:rPr>
                <w:rFonts w:ascii="Verdana" w:hAnsi="Verdana"/>
                <w:vertAlign w:val="superscript"/>
                <w:lang w:val="es-MX"/>
              </w:rPr>
              <w:footnoteReference w:id="10"/>
            </w:r>
            <w:r w:rsidRPr="388D4128">
              <w:rPr>
                <w:rFonts w:ascii="Verdana" w:hAnsi="Verdana"/>
                <w:lang w:val="es-MX"/>
              </w:rPr>
              <w:t xml:space="preserve">, como se evidencia en la </w:t>
            </w:r>
            <w:r w:rsidRPr="388D4128">
              <w:rPr>
                <w:rFonts w:ascii="Verdana" w:hAnsi="Verdana"/>
              </w:rPr>
              <w:t>Gráfica 1, a continuación:</w:t>
            </w:r>
          </w:p>
          <w:p w14:paraId="2848BDD4" w14:textId="77777777" w:rsidR="0012181C" w:rsidRDefault="0012181C" w:rsidP="00FB314A">
            <w:pPr>
              <w:jc w:val="both"/>
              <w:rPr>
                <w:rFonts w:ascii="Verdana" w:hAnsi="Verdana"/>
                <w:bCs/>
                <w:lang w:val="es-CO"/>
              </w:rPr>
            </w:pPr>
          </w:p>
          <w:p w14:paraId="01C8EE43" w14:textId="77777777" w:rsidR="0052226D" w:rsidRDefault="0052226D" w:rsidP="005D2878">
            <w:pPr>
              <w:jc w:val="center"/>
              <w:rPr>
                <w:rFonts w:ascii="Verdana" w:hAnsi="Verdana"/>
                <w:i/>
                <w:iCs/>
              </w:rPr>
            </w:pPr>
          </w:p>
          <w:p w14:paraId="21D63789" w14:textId="77777777" w:rsidR="0052226D" w:rsidRDefault="0052226D" w:rsidP="005D2878">
            <w:pPr>
              <w:jc w:val="center"/>
              <w:rPr>
                <w:rFonts w:ascii="Verdana" w:hAnsi="Verdana"/>
                <w:i/>
                <w:iCs/>
              </w:rPr>
            </w:pPr>
          </w:p>
          <w:p w14:paraId="279CAAB4" w14:textId="77777777" w:rsidR="0052226D" w:rsidRDefault="0052226D" w:rsidP="005D2878">
            <w:pPr>
              <w:jc w:val="center"/>
              <w:rPr>
                <w:rFonts w:ascii="Verdana" w:hAnsi="Verdana"/>
                <w:i/>
                <w:iCs/>
              </w:rPr>
            </w:pPr>
          </w:p>
          <w:p w14:paraId="7A6E7518" w14:textId="77777777" w:rsidR="0052226D" w:rsidRDefault="0052226D" w:rsidP="005D2878">
            <w:pPr>
              <w:jc w:val="center"/>
              <w:rPr>
                <w:rFonts w:ascii="Verdana" w:hAnsi="Verdana"/>
                <w:i/>
                <w:iCs/>
              </w:rPr>
            </w:pPr>
          </w:p>
          <w:p w14:paraId="5F919C84" w14:textId="77777777" w:rsidR="0052226D" w:rsidRDefault="0052226D" w:rsidP="005D2878">
            <w:pPr>
              <w:jc w:val="center"/>
              <w:rPr>
                <w:rFonts w:ascii="Verdana" w:hAnsi="Verdana"/>
                <w:i/>
                <w:iCs/>
              </w:rPr>
            </w:pPr>
          </w:p>
          <w:p w14:paraId="3DEF1973" w14:textId="77777777" w:rsidR="0052226D" w:rsidRDefault="0052226D" w:rsidP="005D2878">
            <w:pPr>
              <w:jc w:val="center"/>
              <w:rPr>
                <w:rFonts w:ascii="Verdana" w:hAnsi="Verdana"/>
                <w:i/>
                <w:iCs/>
              </w:rPr>
            </w:pPr>
          </w:p>
          <w:p w14:paraId="38F845BA" w14:textId="77777777" w:rsidR="0052226D" w:rsidRDefault="0052226D" w:rsidP="005D2878">
            <w:pPr>
              <w:jc w:val="center"/>
              <w:rPr>
                <w:rFonts w:ascii="Verdana" w:hAnsi="Verdana"/>
                <w:i/>
                <w:iCs/>
              </w:rPr>
            </w:pPr>
          </w:p>
          <w:p w14:paraId="04683964" w14:textId="77777777" w:rsidR="0052226D" w:rsidRDefault="0052226D" w:rsidP="005D2878">
            <w:pPr>
              <w:jc w:val="center"/>
              <w:rPr>
                <w:rFonts w:ascii="Verdana" w:hAnsi="Verdana"/>
                <w:i/>
                <w:iCs/>
              </w:rPr>
            </w:pPr>
          </w:p>
          <w:p w14:paraId="7EC208A5" w14:textId="77777777" w:rsidR="0052226D" w:rsidRDefault="0052226D" w:rsidP="005D2878">
            <w:pPr>
              <w:jc w:val="center"/>
              <w:rPr>
                <w:rFonts w:ascii="Verdana" w:hAnsi="Verdana"/>
                <w:i/>
                <w:iCs/>
              </w:rPr>
            </w:pPr>
          </w:p>
          <w:p w14:paraId="4C561D36" w14:textId="77777777" w:rsidR="0052226D" w:rsidRDefault="0052226D" w:rsidP="005D2878">
            <w:pPr>
              <w:jc w:val="center"/>
              <w:rPr>
                <w:rFonts w:ascii="Verdana" w:hAnsi="Verdana"/>
                <w:i/>
                <w:iCs/>
              </w:rPr>
            </w:pPr>
          </w:p>
          <w:p w14:paraId="321B7C79" w14:textId="77777777" w:rsidR="0052226D" w:rsidRDefault="0052226D" w:rsidP="005D2878">
            <w:pPr>
              <w:jc w:val="center"/>
              <w:rPr>
                <w:rFonts w:ascii="Verdana" w:hAnsi="Verdana"/>
                <w:i/>
                <w:iCs/>
              </w:rPr>
            </w:pPr>
          </w:p>
          <w:p w14:paraId="09A73833" w14:textId="1EAB7105" w:rsidR="005D2878" w:rsidRPr="004A500F" w:rsidRDefault="005D2878" w:rsidP="005D2878">
            <w:pPr>
              <w:jc w:val="center"/>
              <w:rPr>
                <w:rFonts w:ascii="Verdana" w:hAnsi="Verdana"/>
                <w:i/>
                <w:iCs/>
              </w:rPr>
            </w:pPr>
            <w:r w:rsidRPr="004A500F">
              <w:rPr>
                <w:rFonts w:ascii="Verdana" w:hAnsi="Verdana"/>
                <w:i/>
                <w:iCs/>
              </w:rPr>
              <w:lastRenderedPageBreak/>
              <w:t>Gráfica 1. Número de recicladores totales en el país</w:t>
            </w:r>
          </w:p>
          <w:p w14:paraId="6F23A942" w14:textId="59430854" w:rsidR="005D2878" w:rsidRPr="004A500F" w:rsidRDefault="00F066D9" w:rsidP="005D2878">
            <w:pPr>
              <w:jc w:val="center"/>
              <w:rPr>
                <w:rFonts w:ascii="Verdana" w:hAnsi="Verdana"/>
              </w:rPr>
            </w:pPr>
            <w:r w:rsidRPr="005D2878">
              <w:rPr>
                <w:rFonts w:ascii="Verdana" w:hAnsi="Verdana"/>
                <w:noProof/>
                <w:lang w:val="en-US" w:eastAsia="en-US"/>
              </w:rPr>
              <w:drawing>
                <wp:inline distT="0" distB="0" distL="0" distR="0" wp14:anchorId="6F332D01" wp14:editId="7E9946EE">
                  <wp:extent cx="3550920" cy="1790700"/>
                  <wp:effectExtent l="0" t="0" r="0" b="0"/>
                  <wp:docPr id="1" name="Imagen 4"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Gráfico, Gráfico de barras&#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50920" cy="1790700"/>
                          </a:xfrm>
                          <a:prstGeom prst="rect">
                            <a:avLst/>
                          </a:prstGeom>
                          <a:noFill/>
                          <a:ln>
                            <a:noFill/>
                          </a:ln>
                        </pic:spPr>
                      </pic:pic>
                    </a:graphicData>
                  </a:graphic>
                </wp:inline>
              </w:drawing>
            </w:r>
          </w:p>
          <w:p w14:paraId="462133AD" w14:textId="77777777" w:rsidR="005D2878" w:rsidRPr="005D2878" w:rsidRDefault="005D2878" w:rsidP="005D2878">
            <w:pPr>
              <w:jc w:val="center"/>
              <w:rPr>
                <w:rFonts w:ascii="Verdana" w:hAnsi="Verdana"/>
                <w:sz w:val="16"/>
                <w:szCs w:val="16"/>
              </w:rPr>
            </w:pPr>
            <w:r w:rsidRPr="005D2878">
              <w:rPr>
                <w:rFonts w:ascii="Verdana" w:hAnsi="Verdana"/>
                <w:i/>
                <w:iCs/>
                <w:sz w:val="16"/>
                <w:szCs w:val="16"/>
              </w:rPr>
              <w:t>Fuente: Extraído del Informe sectorial de aprovechamiento SSPD, 2022.</w:t>
            </w:r>
          </w:p>
          <w:p w14:paraId="02C84081" w14:textId="77777777" w:rsidR="005D2878" w:rsidRDefault="005D2878" w:rsidP="00FB314A">
            <w:pPr>
              <w:jc w:val="both"/>
              <w:rPr>
                <w:rFonts w:ascii="Verdana" w:hAnsi="Verdana"/>
                <w:bCs/>
                <w:lang w:val="es-CO"/>
              </w:rPr>
            </w:pPr>
          </w:p>
          <w:p w14:paraId="575F415F" w14:textId="5F649362" w:rsidR="005D2878" w:rsidRDefault="005D2878" w:rsidP="005D2878">
            <w:pPr>
              <w:jc w:val="both"/>
              <w:rPr>
                <w:rFonts w:ascii="Verdana" w:hAnsi="Verdana"/>
              </w:rPr>
            </w:pPr>
            <w:r w:rsidRPr="388D4128">
              <w:rPr>
                <w:rFonts w:ascii="Verdana" w:hAnsi="Verdana"/>
              </w:rPr>
              <w:t xml:space="preserve">Al respecto, la Superintendencia de Servicios Públicos Domiciliarios mediante el informe sectorial de la actividad de aprovechamiento del año 2022, precisó que el número de recicladores registrados por año </w:t>
            </w:r>
            <w:r w:rsidR="7CD8367A" w:rsidRPr="388D4128">
              <w:rPr>
                <w:rFonts w:ascii="Verdana" w:hAnsi="Verdana"/>
              </w:rPr>
              <w:t xml:space="preserve">y relacionados </w:t>
            </w:r>
            <w:r w:rsidRPr="388D4128">
              <w:rPr>
                <w:rFonts w:ascii="Verdana" w:hAnsi="Verdana"/>
              </w:rPr>
              <w:t>en la gráfica 1, corresponde al individuo registrado como miembro de una organización de recicladores</w:t>
            </w:r>
            <w:r w:rsidR="0AD98859" w:rsidRPr="388D4128">
              <w:rPr>
                <w:rFonts w:ascii="Verdana" w:hAnsi="Verdana"/>
              </w:rPr>
              <w:t xml:space="preserve"> de oficio</w:t>
            </w:r>
            <w:r w:rsidRPr="388D4128">
              <w:rPr>
                <w:rFonts w:ascii="Verdana" w:hAnsi="Verdana"/>
              </w:rPr>
              <w:t xml:space="preserve"> en SUI.  Haciendo referencia, en que existen casos donde un reciclador puede ser miembro de varias organizaciones, y, por lo tanto, puede encontrarse registrado varias veces en </w:t>
            </w:r>
            <w:r w:rsidR="23C5897F" w:rsidRPr="388D4128">
              <w:rPr>
                <w:rFonts w:ascii="Verdana" w:hAnsi="Verdana"/>
              </w:rPr>
              <w:t xml:space="preserve">el </w:t>
            </w:r>
            <w:r w:rsidRPr="388D4128">
              <w:rPr>
                <w:rFonts w:ascii="Verdana" w:hAnsi="Verdana"/>
              </w:rPr>
              <w:t>SUI</w:t>
            </w:r>
            <w:r w:rsidR="05BCC559" w:rsidRPr="388D4128">
              <w:rPr>
                <w:rFonts w:ascii="Verdana" w:hAnsi="Verdana"/>
              </w:rPr>
              <w:t xml:space="preserve">, </w:t>
            </w:r>
            <w:r w:rsidR="2EF1CA83" w:rsidRPr="388D4128">
              <w:rPr>
                <w:rFonts w:ascii="Verdana" w:hAnsi="Verdana"/>
              </w:rPr>
              <w:t>fenómeno</w:t>
            </w:r>
            <w:r w:rsidR="1AA1D3F0" w:rsidRPr="388D4128">
              <w:rPr>
                <w:rFonts w:ascii="Verdana" w:hAnsi="Verdana"/>
              </w:rPr>
              <w:t xml:space="preserve"> </w:t>
            </w:r>
            <w:r w:rsidR="05BCC559" w:rsidRPr="388D4128">
              <w:rPr>
                <w:rFonts w:ascii="Verdana" w:hAnsi="Verdana"/>
              </w:rPr>
              <w:t xml:space="preserve">que se conoce como </w:t>
            </w:r>
            <w:proofErr w:type="spellStart"/>
            <w:r w:rsidR="05BCC559" w:rsidRPr="388D4128">
              <w:rPr>
                <w:rFonts w:ascii="Verdana" w:hAnsi="Verdana"/>
              </w:rPr>
              <w:t>multiafiliación</w:t>
            </w:r>
            <w:proofErr w:type="spellEnd"/>
            <w:r w:rsidRPr="388D4128">
              <w:rPr>
                <w:rFonts w:ascii="Verdana" w:hAnsi="Verdana"/>
              </w:rPr>
              <w:t>.  </w:t>
            </w:r>
          </w:p>
          <w:p w14:paraId="7C5BAF4E" w14:textId="77777777" w:rsidR="005D2878" w:rsidRPr="004A500F" w:rsidRDefault="005D2878" w:rsidP="005D2878">
            <w:pPr>
              <w:jc w:val="both"/>
              <w:rPr>
                <w:rFonts w:ascii="Verdana" w:hAnsi="Verdana"/>
              </w:rPr>
            </w:pPr>
          </w:p>
          <w:p w14:paraId="6461335A" w14:textId="22162476" w:rsidR="005D2878" w:rsidRPr="00720245" w:rsidRDefault="005D2878" w:rsidP="005D2878">
            <w:pPr>
              <w:jc w:val="both"/>
              <w:rPr>
                <w:rFonts w:ascii="Verdana" w:hAnsi="Verdana"/>
              </w:rPr>
            </w:pPr>
            <w:r w:rsidRPr="00720245">
              <w:rPr>
                <w:rFonts w:ascii="Verdana" w:hAnsi="Verdana"/>
                <w:lang w:val="es-MX"/>
              </w:rPr>
              <w:t xml:space="preserve">En consecuencia, mediante los datos de la tabla </w:t>
            </w:r>
            <w:r w:rsidR="00D137A5" w:rsidRPr="00720245">
              <w:rPr>
                <w:rFonts w:ascii="Verdana" w:hAnsi="Verdana"/>
                <w:lang w:val="es-MX"/>
              </w:rPr>
              <w:t>2</w:t>
            </w:r>
            <w:r w:rsidRPr="00720245">
              <w:rPr>
                <w:rFonts w:ascii="Verdana" w:hAnsi="Verdana"/>
                <w:lang w:val="es-MX"/>
              </w:rPr>
              <w:t xml:space="preserve">, se pretende evidenciar el porcentaje de variación del registro de recicladores de oficio, </w:t>
            </w:r>
            <w:r w:rsidR="330B1162" w:rsidRPr="00720245">
              <w:rPr>
                <w:rFonts w:ascii="Verdana" w:hAnsi="Verdana"/>
                <w:lang w:val="es-MX"/>
              </w:rPr>
              <w:t xml:space="preserve">a través de </w:t>
            </w:r>
            <w:r w:rsidRPr="00720245">
              <w:rPr>
                <w:rFonts w:ascii="Verdana" w:hAnsi="Verdana"/>
                <w:lang w:val="es-MX"/>
              </w:rPr>
              <w:t xml:space="preserve">la distribución de estos por departamentos durante los años 2021 y 2022, contemplando el fenómeno de </w:t>
            </w:r>
            <w:proofErr w:type="spellStart"/>
            <w:r w:rsidRPr="00720245">
              <w:rPr>
                <w:rFonts w:ascii="Verdana" w:hAnsi="Verdana"/>
                <w:lang w:val="es-MX"/>
              </w:rPr>
              <w:t>multiafiliación</w:t>
            </w:r>
            <w:proofErr w:type="spellEnd"/>
            <w:r w:rsidRPr="00720245">
              <w:rPr>
                <w:rFonts w:ascii="Verdana" w:hAnsi="Verdana"/>
                <w:lang w:val="es-MX"/>
              </w:rPr>
              <w:t>:</w:t>
            </w:r>
          </w:p>
          <w:p w14:paraId="7FFBF2CF" w14:textId="77777777" w:rsidR="005D2878" w:rsidRPr="00720245" w:rsidRDefault="005D2878" w:rsidP="00FB314A">
            <w:pPr>
              <w:jc w:val="both"/>
              <w:rPr>
                <w:rFonts w:ascii="Verdana" w:hAnsi="Verdana"/>
                <w:bCs/>
                <w:lang w:val="es-CO"/>
              </w:rPr>
            </w:pPr>
          </w:p>
          <w:p w14:paraId="7F9EFDB6" w14:textId="775E1E27" w:rsidR="005D2878" w:rsidRPr="004A500F" w:rsidRDefault="005D2878" w:rsidP="005D2878">
            <w:pPr>
              <w:jc w:val="center"/>
              <w:rPr>
                <w:rFonts w:ascii="Verdana" w:hAnsi="Verdana"/>
                <w:i/>
                <w:iCs/>
              </w:rPr>
            </w:pPr>
            <w:r w:rsidRPr="00720245">
              <w:rPr>
                <w:rFonts w:ascii="Verdana" w:hAnsi="Verdana"/>
                <w:i/>
                <w:iCs/>
              </w:rPr>
              <w:t xml:space="preserve">Tabla </w:t>
            </w:r>
            <w:r w:rsidR="00B6266A" w:rsidRPr="00720245">
              <w:rPr>
                <w:rFonts w:ascii="Verdana" w:hAnsi="Verdana"/>
                <w:i/>
                <w:iCs/>
              </w:rPr>
              <w:t>2</w:t>
            </w:r>
            <w:r w:rsidRPr="00720245">
              <w:rPr>
                <w:rFonts w:ascii="Verdana" w:hAnsi="Verdana"/>
                <w:i/>
                <w:iCs/>
              </w:rPr>
              <w:t>. Número de recicladores registrados por</w:t>
            </w:r>
            <w:r w:rsidRPr="004A500F">
              <w:rPr>
                <w:rFonts w:ascii="Verdana" w:hAnsi="Verdana"/>
                <w:i/>
                <w:iCs/>
              </w:rPr>
              <w:t xml:space="preserve"> departamento con reporte de miembros de la organización asociados.</w:t>
            </w:r>
          </w:p>
          <w:tbl>
            <w:tblPr>
              <w:tblW w:w="7655"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60"/>
              <w:gridCol w:w="1926"/>
              <w:gridCol w:w="2126"/>
              <w:gridCol w:w="1843"/>
            </w:tblGrid>
            <w:tr w:rsidR="005D2878" w:rsidRPr="004A500F" w14:paraId="2F2B2582" w14:textId="77777777" w:rsidTr="08D7E4FA">
              <w:trPr>
                <w:trHeight w:val="300"/>
                <w:tblHeader/>
                <w:jc w:val="center"/>
              </w:trPr>
              <w:tc>
                <w:tcPr>
                  <w:tcW w:w="1760" w:type="dxa"/>
                  <w:tcBorders>
                    <w:top w:val="single" w:sz="6" w:space="0" w:color="auto"/>
                    <w:left w:val="single" w:sz="6" w:space="0" w:color="auto"/>
                    <w:bottom w:val="single" w:sz="6" w:space="0" w:color="000000" w:themeColor="text1"/>
                    <w:right w:val="single" w:sz="6" w:space="0" w:color="000000" w:themeColor="text1"/>
                  </w:tcBorders>
                  <w:shd w:val="clear" w:color="auto" w:fill="auto"/>
                  <w:hideMark/>
                </w:tcPr>
                <w:p w14:paraId="11781B8B" w14:textId="77777777" w:rsidR="005D2878" w:rsidRPr="004A500F" w:rsidRDefault="005D2878" w:rsidP="005D2878">
                  <w:pPr>
                    <w:jc w:val="center"/>
                    <w:rPr>
                      <w:rFonts w:ascii="Verdana" w:hAnsi="Verdana"/>
                      <w:sz w:val="18"/>
                      <w:szCs w:val="18"/>
                    </w:rPr>
                  </w:pPr>
                  <w:r w:rsidRPr="004A500F">
                    <w:rPr>
                      <w:rFonts w:ascii="Verdana" w:hAnsi="Verdana"/>
                      <w:b/>
                      <w:bCs/>
                      <w:sz w:val="18"/>
                      <w:szCs w:val="18"/>
                    </w:rPr>
                    <w:t>Departamento</w:t>
                  </w:r>
                </w:p>
              </w:tc>
              <w:tc>
                <w:tcPr>
                  <w:tcW w:w="1926"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hideMark/>
                </w:tcPr>
                <w:p w14:paraId="47C550AD" w14:textId="77777777" w:rsidR="005D2878" w:rsidRPr="004A500F" w:rsidRDefault="005D2878" w:rsidP="005D2878">
                  <w:pPr>
                    <w:jc w:val="center"/>
                    <w:rPr>
                      <w:rFonts w:ascii="Verdana" w:hAnsi="Verdana"/>
                      <w:sz w:val="18"/>
                      <w:szCs w:val="18"/>
                    </w:rPr>
                  </w:pPr>
                  <w:r w:rsidRPr="004A500F">
                    <w:rPr>
                      <w:rFonts w:ascii="Verdana" w:hAnsi="Verdana"/>
                      <w:b/>
                      <w:bCs/>
                      <w:sz w:val="18"/>
                      <w:szCs w:val="18"/>
                    </w:rPr>
                    <w:t>Número de recicladores 2021</w:t>
                  </w:r>
                </w:p>
              </w:tc>
              <w:tc>
                <w:tcPr>
                  <w:tcW w:w="2126"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hideMark/>
                </w:tcPr>
                <w:p w14:paraId="77B4EAFD" w14:textId="77777777" w:rsidR="005D2878" w:rsidRPr="004A500F" w:rsidRDefault="005D2878" w:rsidP="005D2878">
                  <w:pPr>
                    <w:jc w:val="center"/>
                    <w:rPr>
                      <w:rFonts w:ascii="Verdana" w:hAnsi="Verdana"/>
                      <w:sz w:val="18"/>
                      <w:szCs w:val="18"/>
                    </w:rPr>
                  </w:pPr>
                  <w:r w:rsidRPr="004A500F">
                    <w:rPr>
                      <w:rFonts w:ascii="Verdana" w:hAnsi="Verdana"/>
                      <w:b/>
                      <w:bCs/>
                      <w:sz w:val="18"/>
                      <w:szCs w:val="18"/>
                    </w:rPr>
                    <w:t>Número de recicladores 2022</w:t>
                  </w:r>
                </w:p>
              </w:tc>
              <w:tc>
                <w:tcPr>
                  <w:tcW w:w="1843" w:type="dxa"/>
                  <w:tcBorders>
                    <w:top w:val="single" w:sz="6" w:space="0" w:color="auto"/>
                    <w:left w:val="single" w:sz="6" w:space="0" w:color="000000" w:themeColor="text1"/>
                    <w:bottom w:val="single" w:sz="6" w:space="0" w:color="000000" w:themeColor="text1"/>
                    <w:right w:val="single" w:sz="6" w:space="0" w:color="auto"/>
                  </w:tcBorders>
                  <w:shd w:val="clear" w:color="auto" w:fill="auto"/>
                  <w:hideMark/>
                </w:tcPr>
                <w:p w14:paraId="72A7EC8F" w14:textId="77777777" w:rsidR="005D2878" w:rsidRPr="004A500F" w:rsidRDefault="005D2878" w:rsidP="005D2878">
                  <w:pPr>
                    <w:jc w:val="center"/>
                    <w:rPr>
                      <w:rFonts w:ascii="Verdana" w:hAnsi="Verdana"/>
                      <w:sz w:val="18"/>
                      <w:szCs w:val="18"/>
                    </w:rPr>
                  </w:pPr>
                  <w:r w:rsidRPr="004A500F">
                    <w:rPr>
                      <w:rFonts w:ascii="Verdana" w:hAnsi="Verdana"/>
                      <w:b/>
                      <w:bCs/>
                      <w:sz w:val="18"/>
                      <w:szCs w:val="18"/>
                    </w:rPr>
                    <w:t>% de variación</w:t>
                  </w:r>
                </w:p>
              </w:tc>
            </w:tr>
            <w:tr w:rsidR="005D2878" w:rsidRPr="004A500F" w14:paraId="46A54248" w14:textId="77777777" w:rsidTr="08D7E4FA">
              <w:trPr>
                <w:trHeight w:val="300"/>
                <w:jc w:val="center"/>
              </w:trPr>
              <w:tc>
                <w:tcPr>
                  <w:tcW w:w="176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254AB3EF" w14:textId="77777777" w:rsidR="005D2878" w:rsidRPr="004A500F" w:rsidRDefault="005D2878" w:rsidP="005D2878">
                  <w:pPr>
                    <w:rPr>
                      <w:rFonts w:ascii="Verdana" w:hAnsi="Verdana"/>
                      <w:sz w:val="18"/>
                      <w:szCs w:val="18"/>
                    </w:rPr>
                  </w:pPr>
                  <w:r w:rsidRPr="004A500F">
                    <w:rPr>
                      <w:rFonts w:ascii="Verdana" w:hAnsi="Verdana"/>
                      <w:sz w:val="18"/>
                      <w:szCs w:val="18"/>
                    </w:rPr>
                    <w:t>Bogotá D.C </w:t>
                  </w:r>
                </w:p>
              </w:tc>
              <w:tc>
                <w:tcPr>
                  <w:tcW w:w="1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DE5AB25" w14:textId="77777777" w:rsidR="005D2878" w:rsidRPr="004A500F" w:rsidRDefault="005D2878" w:rsidP="005D2878">
                  <w:pPr>
                    <w:jc w:val="right"/>
                    <w:rPr>
                      <w:rFonts w:ascii="Verdana" w:hAnsi="Verdana"/>
                      <w:sz w:val="18"/>
                      <w:szCs w:val="18"/>
                    </w:rPr>
                  </w:pPr>
                  <w:r w:rsidRPr="004A500F">
                    <w:rPr>
                      <w:rFonts w:ascii="Verdana" w:hAnsi="Verdana"/>
                      <w:sz w:val="18"/>
                      <w:szCs w:val="18"/>
                    </w:rPr>
                    <w:t>25.748 </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E383AF" w14:textId="77777777" w:rsidR="005D2878" w:rsidRPr="004A500F" w:rsidRDefault="005D2878" w:rsidP="005D2878">
                  <w:pPr>
                    <w:jc w:val="right"/>
                    <w:rPr>
                      <w:rFonts w:ascii="Verdana" w:hAnsi="Verdana"/>
                      <w:sz w:val="18"/>
                      <w:szCs w:val="18"/>
                    </w:rPr>
                  </w:pPr>
                  <w:r w:rsidRPr="004A500F">
                    <w:rPr>
                      <w:rFonts w:ascii="Verdana" w:hAnsi="Verdana"/>
                      <w:sz w:val="18"/>
                      <w:szCs w:val="18"/>
                    </w:rPr>
                    <w:t>27.696 </w:t>
                  </w:r>
                </w:p>
              </w:tc>
              <w:tc>
                <w:tcPr>
                  <w:tcW w:w="1843"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693F90DC" w14:textId="77777777" w:rsidR="005D2878" w:rsidRPr="004A500F" w:rsidRDefault="005D2878" w:rsidP="005D2878">
                  <w:pPr>
                    <w:jc w:val="right"/>
                    <w:rPr>
                      <w:rFonts w:ascii="Verdana" w:hAnsi="Verdana"/>
                      <w:sz w:val="18"/>
                      <w:szCs w:val="18"/>
                    </w:rPr>
                  </w:pPr>
                  <w:r w:rsidRPr="004A500F">
                    <w:rPr>
                      <w:rFonts w:ascii="Verdana" w:hAnsi="Verdana"/>
                      <w:sz w:val="18"/>
                      <w:szCs w:val="18"/>
                    </w:rPr>
                    <w:t>7,6 (+) </w:t>
                  </w:r>
                </w:p>
              </w:tc>
            </w:tr>
            <w:tr w:rsidR="005D2878" w:rsidRPr="004A500F" w14:paraId="3BEED7EE" w14:textId="77777777" w:rsidTr="08D7E4FA">
              <w:trPr>
                <w:trHeight w:val="300"/>
                <w:jc w:val="center"/>
              </w:trPr>
              <w:tc>
                <w:tcPr>
                  <w:tcW w:w="176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4CEC8F62" w14:textId="77777777" w:rsidR="005D2878" w:rsidRPr="004A500F" w:rsidRDefault="005D2878" w:rsidP="005D2878">
                  <w:pPr>
                    <w:rPr>
                      <w:rFonts w:ascii="Verdana" w:hAnsi="Verdana"/>
                      <w:sz w:val="18"/>
                      <w:szCs w:val="18"/>
                    </w:rPr>
                  </w:pPr>
                  <w:r w:rsidRPr="004A500F">
                    <w:rPr>
                      <w:rFonts w:ascii="Verdana" w:hAnsi="Verdana"/>
                      <w:sz w:val="18"/>
                      <w:szCs w:val="18"/>
                    </w:rPr>
                    <w:t>Antioquia </w:t>
                  </w:r>
                </w:p>
              </w:tc>
              <w:tc>
                <w:tcPr>
                  <w:tcW w:w="1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458A87" w14:textId="77777777" w:rsidR="005D2878" w:rsidRPr="004A500F" w:rsidRDefault="005D2878" w:rsidP="005D2878">
                  <w:pPr>
                    <w:jc w:val="right"/>
                    <w:rPr>
                      <w:rFonts w:ascii="Verdana" w:hAnsi="Verdana"/>
                      <w:sz w:val="18"/>
                      <w:szCs w:val="18"/>
                    </w:rPr>
                  </w:pPr>
                  <w:r w:rsidRPr="004A500F">
                    <w:rPr>
                      <w:rFonts w:ascii="Verdana" w:hAnsi="Verdana"/>
                      <w:sz w:val="18"/>
                      <w:szCs w:val="18"/>
                    </w:rPr>
                    <w:t>8.860 </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E03469" w14:textId="77777777" w:rsidR="005D2878" w:rsidRPr="004A500F" w:rsidRDefault="005D2878" w:rsidP="005D2878">
                  <w:pPr>
                    <w:jc w:val="right"/>
                    <w:rPr>
                      <w:rFonts w:ascii="Verdana" w:hAnsi="Verdana"/>
                      <w:sz w:val="18"/>
                      <w:szCs w:val="18"/>
                    </w:rPr>
                  </w:pPr>
                  <w:r w:rsidRPr="004A500F">
                    <w:rPr>
                      <w:rFonts w:ascii="Verdana" w:hAnsi="Verdana"/>
                      <w:sz w:val="18"/>
                      <w:szCs w:val="18"/>
                    </w:rPr>
                    <w:t>10.339 </w:t>
                  </w:r>
                </w:p>
              </w:tc>
              <w:tc>
                <w:tcPr>
                  <w:tcW w:w="1843"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5C47720A" w14:textId="77777777" w:rsidR="005D2878" w:rsidRPr="004A500F" w:rsidRDefault="005D2878" w:rsidP="005D2878">
                  <w:pPr>
                    <w:jc w:val="right"/>
                    <w:rPr>
                      <w:rFonts w:ascii="Verdana" w:hAnsi="Verdana"/>
                      <w:sz w:val="18"/>
                      <w:szCs w:val="18"/>
                    </w:rPr>
                  </w:pPr>
                  <w:r w:rsidRPr="004A500F">
                    <w:rPr>
                      <w:rFonts w:ascii="Verdana" w:hAnsi="Verdana"/>
                      <w:sz w:val="18"/>
                      <w:szCs w:val="18"/>
                    </w:rPr>
                    <w:t>16,7 (+) </w:t>
                  </w:r>
                </w:p>
              </w:tc>
            </w:tr>
            <w:tr w:rsidR="005D2878" w:rsidRPr="004A500F" w14:paraId="7B42015A" w14:textId="77777777" w:rsidTr="08D7E4FA">
              <w:trPr>
                <w:trHeight w:val="300"/>
                <w:jc w:val="center"/>
              </w:trPr>
              <w:tc>
                <w:tcPr>
                  <w:tcW w:w="176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54DE8752" w14:textId="77777777" w:rsidR="005D2878" w:rsidRPr="004A500F" w:rsidRDefault="005D2878" w:rsidP="005D2878">
                  <w:pPr>
                    <w:rPr>
                      <w:rFonts w:ascii="Verdana" w:hAnsi="Verdana"/>
                      <w:sz w:val="18"/>
                      <w:szCs w:val="18"/>
                    </w:rPr>
                  </w:pPr>
                  <w:r w:rsidRPr="004A500F">
                    <w:rPr>
                      <w:rFonts w:ascii="Verdana" w:hAnsi="Verdana"/>
                      <w:sz w:val="18"/>
                      <w:szCs w:val="18"/>
                    </w:rPr>
                    <w:t>Cundinamarca </w:t>
                  </w:r>
                </w:p>
              </w:tc>
              <w:tc>
                <w:tcPr>
                  <w:tcW w:w="1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7FA4807" w14:textId="77777777" w:rsidR="005D2878" w:rsidRPr="004A500F" w:rsidRDefault="005D2878" w:rsidP="005D2878">
                  <w:pPr>
                    <w:jc w:val="right"/>
                    <w:rPr>
                      <w:rFonts w:ascii="Verdana" w:hAnsi="Verdana"/>
                      <w:sz w:val="18"/>
                      <w:szCs w:val="18"/>
                    </w:rPr>
                  </w:pPr>
                  <w:r w:rsidRPr="004A500F">
                    <w:rPr>
                      <w:rFonts w:ascii="Verdana" w:hAnsi="Verdana"/>
                      <w:sz w:val="18"/>
                      <w:szCs w:val="18"/>
                    </w:rPr>
                    <w:t>4.223 </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AA1C51" w14:textId="77777777" w:rsidR="005D2878" w:rsidRPr="004A500F" w:rsidRDefault="005D2878" w:rsidP="005D2878">
                  <w:pPr>
                    <w:jc w:val="right"/>
                    <w:rPr>
                      <w:rFonts w:ascii="Verdana" w:hAnsi="Verdana"/>
                      <w:sz w:val="18"/>
                      <w:szCs w:val="18"/>
                    </w:rPr>
                  </w:pPr>
                  <w:r w:rsidRPr="004A500F">
                    <w:rPr>
                      <w:rFonts w:ascii="Verdana" w:hAnsi="Verdana"/>
                      <w:sz w:val="18"/>
                      <w:szCs w:val="18"/>
                    </w:rPr>
                    <w:t>5.101 </w:t>
                  </w:r>
                </w:p>
              </w:tc>
              <w:tc>
                <w:tcPr>
                  <w:tcW w:w="1843"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340D3F4B" w14:textId="77777777" w:rsidR="005D2878" w:rsidRPr="004A500F" w:rsidRDefault="005D2878" w:rsidP="005D2878">
                  <w:pPr>
                    <w:jc w:val="right"/>
                    <w:rPr>
                      <w:rFonts w:ascii="Verdana" w:hAnsi="Verdana"/>
                      <w:sz w:val="18"/>
                      <w:szCs w:val="18"/>
                    </w:rPr>
                  </w:pPr>
                  <w:r w:rsidRPr="004A500F">
                    <w:rPr>
                      <w:rFonts w:ascii="Verdana" w:hAnsi="Verdana"/>
                      <w:sz w:val="18"/>
                      <w:szCs w:val="18"/>
                    </w:rPr>
                    <w:t>20,8 (+) </w:t>
                  </w:r>
                </w:p>
              </w:tc>
            </w:tr>
            <w:tr w:rsidR="005D2878" w:rsidRPr="004A500F" w14:paraId="70184D7F" w14:textId="77777777" w:rsidTr="08D7E4FA">
              <w:trPr>
                <w:trHeight w:val="300"/>
                <w:jc w:val="center"/>
              </w:trPr>
              <w:tc>
                <w:tcPr>
                  <w:tcW w:w="176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2E3AC31F" w14:textId="77777777" w:rsidR="005D2878" w:rsidRPr="004A500F" w:rsidRDefault="005D2878" w:rsidP="005D2878">
                  <w:pPr>
                    <w:rPr>
                      <w:rFonts w:ascii="Verdana" w:hAnsi="Verdana"/>
                      <w:sz w:val="18"/>
                      <w:szCs w:val="18"/>
                    </w:rPr>
                  </w:pPr>
                  <w:r w:rsidRPr="004A500F">
                    <w:rPr>
                      <w:rFonts w:ascii="Verdana" w:hAnsi="Verdana"/>
                      <w:sz w:val="18"/>
                      <w:szCs w:val="18"/>
                    </w:rPr>
                    <w:t>Atlántico </w:t>
                  </w:r>
                </w:p>
              </w:tc>
              <w:tc>
                <w:tcPr>
                  <w:tcW w:w="1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5C459E" w14:textId="77777777" w:rsidR="005D2878" w:rsidRPr="004A500F" w:rsidRDefault="005D2878" w:rsidP="005D2878">
                  <w:pPr>
                    <w:jc w:val="right"/>
                    <w:rPr>
                      <w:rFonts w:ascii="Verdana" w:hAnsi="Verdana"/>
                      <w:sz w:val="18"/>
                      <w:szCs w:val="18"/>
                    </w:rPr>
                  </w:pPr>
                  <w:r w:rsidRPr="004A500F">
                    <w:rPr>
                      <w:rFonts w:ascii="Verdana" w:hAnsi="Verdana"/>
                      <w:sz w:val="18"/>
                      <w:szCs w:val="18"/>
                    </w:rPr>
                    <w:t>4.742 </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1E79192" w14:textId="77777777" w:rsidR="005D2878" w:rsidRPr="004A500F" w:rsidRDefault="005D2878" w:rsidP="005D2878">
                  <w:pPr>
                    <w:jc w:val="right"/>
                    <w:rPr>
                      <w:rFonts w:ascii="Verdana" w:hAnsi="Verdana"/>
                      <w:sz w:val="18"/>
                      <w:szCs w:val="18"/>
                    </w:rPr>
                  </w:pPr>
                  <w:r w:rsidRPr="004A500F">
                    <w:rPr>
                      <w:rFonts w:ascii="Verdana" w:hAnsi="Verdana"/>
                      <w:sz w:val="18"/>
                      <w:szCs w:val="18"/>
                    </w:rPr>
                    <w:t>4.996 </w:t>
                  </w:r>
                </w:p>
              </w:tc>
              <w:tc>
                <w:tcPr>
                  <w:tcW w:w="1843"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1BC85958" w14:textId="77777777" w:rsidR="005D2878" w:rsidRPr="004A500F" w:rsidRDefault="005D2878" w:rsidP="005D2878">
                  <w:pPr>
                    <w:jc w:val="right"/>
                    <w:rPr>
                      <w:rFonts w:ascii="Verdana" w:hAnsi="Verdana"/>
                      <w:sz w:val="18"/>
                      <w:szCs w:val="18"/>
                    </w:rPr>
                  </w:pPr>
                  <w:r w:rsidRPr="004A500F">
                    <w:rPr>
                      <w:rFonts w:ascii="Verdana" w:hAnsi="Verdana"/>
                      <w:sz w:val="18"/>
                      <w:szCs w:val="18"/>
                    </w:rPr>
                    <w:t>5,4 (+) </w:t>
                  </w:r>
                </w:p>
              </w:tc>
            </w:tr>
            <w:tr w:rsidR="005D2878" w:rsidRPr="004A500F" w14:paraId="268A1980" w14:textId="77777777" w:rsidTr="08D7E4FA">
              <w:trPr>
                <w:trHeight w:val="300"/>
                <w:jc w:val="center"/>
              </w:trPr>
              <w:tc>
                <w:tcPr>
                  <w:tcW w:w="176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6F61FABE" w14:textId="77777777" w:rsidR="005D2878" w:rsidRPr="004A500F" w:rsidRDefault="005D2878" w:rsidP="005D2878">
                  <w:pPr>
                    <w:rPr>
                      <w:rFonts w:ascii="Verdana" w:hAnsi="Verdana"/>
                      <w:sz w:val="18"/>
                      <w:szCs w:val="18"/>
                    </w:rPr>
                  </w:pPr>
                  <w:r w:rsidRPr="004A500F">
                    <w:rPr>
                      <w:rFonts w:ascii="Verdana" w:hAnsi="Verdana"/>
                      <w:sz w:val="18"/>
                      <w:szCs w:val="18"/>
                    </w:rPr>
                    <w:t>Valle del Cauca </w:t>
                  </w:r>
                </w:p>
              </w:tc>
              <w:tc>
                <w:tcPr>
                  <w:tcW w:w="1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CDD43BC" w14:textId="77777777" w:rsidR="005D2878" w:rsidRPr="004A500F" w:rsidRDefault="005D2878" w:rsidP="005D2878">
                  <w:pPr>
                    <w:jc w:val="right"/>
                    <w:rPr>
                      <w:rFonts w:ascii="Verdana" w:hAnsi="Verdana"/>
                      <w:sz w:val="18"/>
                      <w:szCs w:val="18"/>
                    </w:rPr>
                  </w:pPr>
                  <w:r w:rsidRPr="004A500F">
                    <w:rPr>
                      <w:rFonts w:ascii="Verdana" w:hAnsi="Verdana"/>
                      <w:sz w:val="18"/>
                      <w:szCs w:val="18"/>
                    </w:rPr>
                    <w:t>4.314 </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F7C4EBF" w14:textId="77777777" w:rsidR="005D2878" w:rsidRPr="004A500F" w:rsidRDefault="005D2878" w:rsidP="005D2878">
                  <w:pPr>
                    <w:jc w:val="right"/>
                    <w:rPr>
                      <w:rFonts w:ascii="Verdana" w:hAnsi="Verdana"/>
                      <w:sz w:val="18"/>
                      <w:szCs w:val="18"/>
                    </w:rPr>
                  </w:pPr>
                  <w:r w:rsidRPr="004A500F">
                    <w:rPr>
                      <w:rFonts w:ascii="Verdana" w:hAnsi="Verdana"/>
                      <w:sz w:val="18"/>
                      <w:szCs w:val="18"/>
                    </w:rPr>
                    <w:t>4.944 </w:t>
                  </w:r>
                </w:p>
              </w:tc>
              <w:tc>
                <w:tcPr>
                  <w:tcW w:w="1843"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0EE5F238" w14:textId="77777777" w:rsidR="005D2878" w:rsidRPr="004A500F" w:rsidRDefault="005D2878" w:rsidP="005D2878">
                  <w:pPr>
                    <w:jc w:val="right"/>
                    <w:rPr>
                      <w:rFonts w:ascii="Verdana" w:hAnsi="Verdana"/>
                      <w:sz w:val="18"/>
                      <w:szCs w:val="18"/>
                    </w:rPr>
                  </w:pPr>
                  <w:r w:rsidRPr="004A500F">
                    <w:rPr>
                      <w:rFonts w:ascii="Verdana" w:hAnsi="Verdana"/>
                      <w:sz w:val="18"/>
                      <w:szCs w:val="18"/>
                    </w:rPr>
                    <w:t>14,6 (+) </w:t>
                  </w:r>
                </w:p>
              </w:tc>
            </w:tr>
            <w:tr w:rsidR="005D2878" w:rsidRPr="004A500F" w14:paraId="516C72DA" w14:textId="77777777" w:rsidTr="08D7E4FA">
              <w:trPr>
                <w:trHeight w:val="300"/>
                <w:jc w:val="center"/>
              </w:trPr>
              <w:tc>
                <w:tcPr>
                  <w:tcW w:w="176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1B00FE19" w14:textId="77777777" w:rsidR="005D2878" w:rsidRPr="004A500F" w:rsidRDefault="005D2878" w:rsidP="005D2878">
                  <w:pPr>
                    <w:rPr>
                      <w:rFonts w:ascii="Verdana" w:hAnsi="Verdana"/>
                      <w:sz w:val="18"/>
                      <w:szCs w:val="18"/>
                    </w:rPr>
                  </w:pPr>
                  <w:r w:rsidRPr="004A500F">
                    <w:rPr>
                      <w:rFonts w:ascii="Verdana" w:hAnsi="Verdana"/>
                      <w:sz w:val="18"/>
                      <w:szCs w:val="18"/>
                    </w:rPr>
                    <w:t>Meta </w:t>
                  </w:r>
                </w:p>
              </w:tc>
              <w:tc>
                <w:tcPr>
                  <w:tcW w:w="1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20BA36" w14:textId="77777777" w:rsidR="005D2878" w:rsidRPr="004A500F" w:rsidRDefault="005D2878" w:rsidP="005D2878">
                  <w:pPr>
                    <w:jc w:val="right"/>
                    <w:rPr>
                      <w:rFonts w:ascii="Verdana" w:hAnsi="Verdana"/>
                      <w:sz w:val="18"/>
                      <w:szCs w:val="18"/>
                    </w:rPr>
                  </w:pPr>
                  <w:r w:rsidRPr="004A500F">
                    <w:rPr>
                      <w:rFonts w:ascii="Verdana" w:hAnsi="Verdana"/>
                      <w:sz w:val="18"/>
                      <w:szCs w:val="18"/>
                    </w:rPr>
                    <w:t>2.789 </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29454C6" w14:textId="77777777" w:rsidR="005D2878" w:rsidRPr="004A500F" w:rsidRDefault="005D2878" w:rsidP="005D2878">
                  <w:pPr>
                    <w:jc w:val="right"/>
                    <w:rPr>
                      <w:rFonts w:ascii="Verdana" w:hAnsi="Verdana"/>
                      <w:sz w:val="18"/>
                      <w:szCs w:val="18"/>
                    </w:rPr>
                  </w:pPr>
                  <w:r w:rsidRPr="004A500F">
                    <w:rPr>
                      <w:rFonts w:ascii="Verdana" w:hAnsi="Verdana"/>
                      <w:sz w:val="18"/>
                      <w:szCs w:val="18"/>
                    </w:rPr>
                    <w:t>2.819 </w:t>
                  </w:r>
                </w:p>
              </w:tc>
              <w:tc>
                <w:tcPr>
                  <w:tcW w:w="1843"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1F8521C0" w14:textId="77777777" w:rsidR="005D2878" w:rsidRPr="004A500F" w:rsidRDefault="005D2878" w:rsidP="005D2878">
                  <w:pPr>
                    <w:jc w:val="right"/>
                    <w:rPr>
                      <w:rFonts w:ascii="Verdana" w:hAnsi="Verdana"/>
                      <w:sz w:val="18"/>
                      <w:szCs w:val="18"/>
                    </w:rPr>
                  </w:pPr>
                  <w:r w:rsidRPr="004A500F">
                    <w:rPr>
                      <w:rFonts w:ascii="Verdana" w:hAnsi="Verdana"/>
                      <w:sz w:val="18"/>
                      <w:szCs w:val="18"/>
                    </w:rPr>
                    <w:t>1,1 (+) </w:t>
                  </w:r>
                </w:p>
              </w:tc>
            </w:tr>
            <w:tr w:rsidR="005D2878" w:rsidRPr="004A500F" w14:paraId="410A3DE9" w14:textId="77777777" w:rsidTr="08D7E4FA">
              <w:trPr>
                <w:trHeight w:val="300"/>
                <w:jc w:val="center"/>
              </w:trPr>
              <w:tc>
                <w:tcPr>
                  <w:tcW w:w="176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487F0690" w14:textId="77777777" w:rsidR="005D2878" w:rsidRPr="004A500F" w:rsidRDefault="005D2878" w:rsidP="005D2878">
                  <w:pPr>
                    <w:rPr>
                      <w:rFonts w:ascii="Verdana" w:hAnsi="Verdana"/>
                      <w:sz w:val="18"/>
                      <w:szCs w:val="18"/>
                    </w:rPr>
                  </w:pPr>
                  <w:r w:rsidRPr="004A500F">
                    <w:rPr>
                      <w:rFonts w:ascii="Verdana" w:hAnsi="Verdana"/>
                      <w:sz w:val="18"/>
                      <w:szCs w:val="18"/>
                    </w:rPr>
                    <w:t>La Guajira </w:t>
                  </w:r>
                </w:p>
              </w:tc>
              <w:tc>
                <w:tcPr>
                  <w:tcW w:w="1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2B9555" w14:textId="77777777" w:rsidR="005D2878" w:rsidRPr="004A500F" w:rsidRDefault="005D2878" w:rsidP="005D2878">
                  <w:pPr>
                    <w:jc w:val="right"/>
                    <w:rPr>
                      <w:rFonts w:ascii="Verdana" w:hAnsi="Verdana"/>
                      <w:sz w:val="18"/>
                      <w:szCs w:val="18"/>
                    </w:rPr>
                  </w:pPr>
                  <w:r w:rsidRPr="004A500F">
                    <w:rPr>
                      <w:rFonts w:ascii="Verdana" w:hAnsi="Verdana"/>
                      <w:sz w:val="18"/>
                      <w:szCs w:val="18"/>
                    </w:rPr>
                    <w:t>1.003 </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F0CC19C" w14:textId="77777777" w:rsidR="005D2878" w:rsidRPr="004A500F" w:rsidRDefault="005D2878" w:rsidP="005D2878">
                  <w:pPr>
                    <w:jc w:val="right"/>
                    <w:rPr>
                      <w:rFonts w:ascii="Verdana" w:hAnsi="Verdana"/>
                      <w:sz w:val="18"/>
                      <w:szCs w:val="18"/>
                    </w:rPr>
                  </w:pPr>
                  <w:r w:rsidRPr="004A500F">
                    <w:rPr>
                      <w:rFonts w:ascii="Verdana" w:hAnsi="Verdana"/>
                      <w:sz w:val="18"/>
                      <w:szCs w:val="18"/>
                    </w:rPr>
                    <w:t>1.445 </w:t>
                  </w:r>
                </w:p>
              </w:tc>
              <w:tc>
                <w:tcPr>
                  <w:tcW w:w="1843"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676C4E71" w14:textId="77777777" w:rsidR="005D2878" w:rsidRPr="004A500F" w:rsidRDefault="005D2878" w:rsidP="005D2878">
                  <w:pPr>
                    <w:jc w:val="right"/>
                    <w:rPr>
                      <w:rFonts w:ascii="Verdana" w:hAnsi="Verdana"/>
                      <w:sz w:val="18"/>
                      <w:szCs w:val="18"/>
                    </w:rPr>
                  </w:pPr>
                  <w:r w:rsidRPr="004A500F">
                    <w:rPr>
                      <w:rFonts w:ascii="Verdana" w:hAnsi="Verdana"/>
                      <w:sz w:val="18"/>
                      <w:szCs w:val="18"/>
                    </w:rPr>
                    <w:t>44,1 (+) </w:t>
                  </w:r>
                </w:p>
              </w:tc>
            </w:tr>
            <w:tr w:rsidR="005D2878" w:rsidRPr="004A500F" w14:paraId="7AC2316C" w14:textId="77777777" w:rsidTr="08D7E4FA">
              <w:trPr>
                <w:trHeight w:val="300"/>
                <w:jc w:val="center"/>
              </w:trPr>
              <w:tc>
                <w:tcPr>
                  <w:tcW w:w="176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40F5ECF6" w14:textId="77777777" w:rsidR="005D2878" w:rsidRPr="004A500F" w:rsidRDefault="005D2878" w:rsidP="005D2878">
                  <w:pPr>
                    <w:rPr>
                      <w:rFonts w:ascii="Verdana" w:hAnsi="Verdana"/>
                      <w:sz w:val="18"/>
                      <w:szCs w:val="18"/>
                    </w:rPr>
                  </w:pPr>
                  <w:r w:rsidRPr="004A500F">
                    <w:rPr>
                      <w:rFonts w:ascii="Verdana" w:hAnsi="Verdana"/>
                      <w:sz w:val="18"/>
                      <w:szCs w:val="18"/>
                    </w:rPr>
                    <w:t>Boyacá </w:t>
                  </w:r>
                </w:p>
              </w:tc>
              <w:tc>
                <w:tcPr>
                  <w:tcW w:w="1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59060A0" w14:textId="77777777" w:rsidR="005D2878" w:rsidRPr="004A500F" w:rsidRDefault="005D2878" w:rsidP="005D2878">
                  <w:pPr>
                    <w:jc w:val="right"/>
                    <w:rPr>
                      <w:rFonts w:ascii="Verdana" w:hAnsi="Verdana"/>
                      <w:sz w:val="18"/>
                      <w:szCs w:val="18"/>
                    </w:rPr>
                  </w:pPr>
                  <w:r w:rsidRPr="004A500F">
                    <w:rPr>
                      <w:rFonts w:ascii="Verdana" w:hAnsi="Verdana"/>
                      <w:sz w:val="18"/>
                      <w:szCs w:val="18"/>
                    </w:rPr>
                    <w:t>1.149 </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D7A9FF" w14:textId="77777777" w:rsidR="005D2878" w:rsidRPr="004A500F" w:rsidRDefault="005D2878" w:rsidP="005D2878">
                  <w:pPr>
                    <w:jc w:val="right"/>
                    <w:rPr>
                      <w:rFonts w:ascii="Verdana" w:hAnsi="Verdana"/>
                      <w:sz w:val="18"/>
                      <w:szCs w:val="18"/>
                    </w:rPr>
                  </w:pPr>
                  <w:r w:rsidRPr="004A500F">
                    <w:rPr>
                      <w:rFonts w:ascii="Verdana" w:hAnsi="Verdana"/>
                      <w:sz w:val="18"/>
                      <w:szCs w:val="18"/>
                    </w:rPr>
                    <w:t>1.204 </w:t>
                  </w:r>
                </w:p>
              </w:tc>
              <w:tc>
                <w:tcPr>
                  <w:tcW w:w="1843"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32A18D9B" w14:textId="77777777" w:rsidR="005D2878" w:rsidRPr="004A500F" w:rsidRDefault="005D2878" w:rsidP="005D2878">
                  <w:pPr>
                    <w:jc w:val="right"/>
                    <w:rPr>
                      <w:rFonts w:ascii="Verdana" w:hAnsi="Verdana"/>
                      <w:sz w:val="18"/>
                      <w:szCs w:val="18"/>
                    </w:rPr>
                  </w:pPr>
                  <w:r w:rsidRPr="004A500F">
                    <w:rPr>
                      <w:rFonts w:ascii="Verdana" w:hAnsi="Verdana"/>
                      <w:sz w:val="18"/>
                      <w:szCs w:val="18"/>
                    </w:rPr>
                    <w:t>4,8 (+) </w:t>
                  </w:r>
                </w:p>
              </w:tc>
            </w:tr>
            <w:tr w:rsidR="005D2878" w:rsidRPr="004A500F" w14:paraId="25EC95CE" w14:textId="77777777" w:rsidTr="08D7E4FA">
              <w:trPr>
                <w:trHeight w:val="300"/>
                <w:jc w:val="center"/>
              </w:trPr>
              <w:tc>
                <w:tcPr>
                  <w:tcW w:w="176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06EEEC55" w14:textId="77777777" w:rsidR="005D2878" w:rsidRPr="004A500F" w:rsidRDefault="005D2878" w:rsidP="005D2878">
                  <w:pPr>
                    <w:rPr>
                      <w:rFonts w:ascii="Verdana" w:hAnsi="Verdana"/>
                      <w:sz w:val="18"/>
                      <w:szCs w:val="18"/>
                    </w:rPr>
                  </w:pPr>
                  <w:r w:rsidRPr="004A500F">
                    <w:rPr>
                      <w:rFonts w:ascii="Verdana" w:hAnsi="Verdana"/>
                      <w:sz w:val="18"/>
                      <w:szCs w:val="18"/>
                    </w:rPr>
                    <w:t>Santander </w:t>
                  </w:r>
                </w:p>
              </w:tc>
              <w:tc>
                <w:tcPr>
                  <w:tcW w:w="1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6ED222B" w14:textId="77777777" w:rsidR="005D2878" w:rsidRPr="004A500F" w:rsidRDefault="005D2878" w:rsidP="005D2878">
                  <w:pPr>
                    <w:jc w:val="right"/>
                    <w:rPr>
                      <w:rFonts w:ascii="Verdana" w:hAnsi="Verdana"/>
                      <w:sz w:val="18"/>
                      <w:szCs w:val="18"/>
                    </w:rPr>
                  </w:pPr>
                  <w:r w:rsidRPr="004A500F">
                    <w:rPr>
                      <w:rFonts w:ascii="Verdana" w:hAnsi="Verdana"/>
                      <w:sz w:val="18"/>
                      <w:szCs w:val="18"/>
                    </w:rPr>
                    <w:t>1.107 </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448252" w14:textId="77777777" w:rsidR="005D2878" w:rsidRPr="004A500F" w:rsidRDefault="005D2878" w:rsidP="005D2878">
                  <w:pPr>
                    <w:jc w:val="right"/>
                    <w:rPr>
                      <w:rFonts w:ascii="Verdana" w:hAnsi="Verdana"/>
                      <w:sz w:val="18"/>
                      <w:szCs w:val="18"/>
                    </w:rPr>
                  </w:pPr>
                  <w:r w:rsidRPr="004A500F">
                    <w:rPr>
                      <w:rFonts w:ascii="Verdana" w:hAnsi="Verdana"/>
                      <w:sz w:val="18"/>
                      <w:szCs w:val="18"/>
                    </w:rPr>
                    <w:t>1.148 </w:t>
                  </w:r>
                </w:p>
              </w:tc>
              <w:tc>
                <w:tcPr>
                  <w:tcW w:w="1843"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39484E32" w14:textId="77777777" w:rsidR="005D2878" w:rsidRPr="004A500F" w:rsidRDefault="005D2878" w:rsidP="005D2878">
                  <w:pPr>
                    <w:jc w:val="right"/>
                    <w:rPr>
                      <w:rFonts w:ascii="Verdana" w:hAnsi="Verdana"/>
                      <w:sz w:val="18"/>
                      <w:szCs w:val="18"/>
                    </w:rPr>
                  </w:pPr>
                  <w:r w:rsidRPr="004A500F">
                    <w:rPr>
                      <w:rFonts w:ascii="Verdana" w:hAnsi="Verdana"/>
                      <w:sz w:val="18"/>
                      <w:szCs w:val="18"/>
                    </w:rPr>
                    <w:t>3,7 (+) </w:t>
                  </w:r>
                </w:p>
              </w:tc>
            </w:tr>
            <w:tr w:rsidR="005D2878" w:rsidRPr="004A500F" w14:paraId="78108C5E" w14:textId="77777777" w:rsidTr="08D7E4FA">
              <w:trPr>
                <w:trHeight w:val="300"/>
                <w:jc w:val="center"/>
              </w:trPr>
              <w:tc>
                <w:tcPr>
                  <w:tcW w:w="176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003BB7D0" w14:textId="77777777" w:rsidR="005D2878" w:rsidRPr="004A500F" w:rsidRDefault="005D2878" w:rsidP="005D2878">
                  <w:pPr>
                    <w:rPr>
                      <w:rFonts w:ascii="Verdana" w:hAnsi="Verdana"/>
                      <w:sz w:val="18"/>
                      <w:szCs w:val="18"/>
                    </w:rPr>
                  </w:pPr>
                  <w:r w:rsidRPr="004A500F">
                    <w:rPr>
                      <w:rFonts w:ascii="Verdana" w:hAnsi="Verdana"/>
                      <w:sz w:val="18"/>
                      <w:szCs w:val="18"/>
                    </w:rPr>
                    <w:t>Córdoba </w:t>
                  </w:r>
                </w:p>
              </w:tc>
              <w:tc>
                <w:tcPr>
                  <w:tcW w:w="1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E074DFA" w14:textId="77777777" w:rsidR="005D2878" w:rsidRPr="004A500F" w:rsidRDefault="005D2878" w:rsidP="005D2878">
                  <w:pPr>
                    <w:jc w:val="right"/>
                    <w:rPr>
                      <w:rFonts w:ascii="Verdana" w:hAnsi="Verdana"/>
                      <w:sz w:val="18"/>
                      <w:szCs w:val="18"/>
                    </w:rPr>
                  </w:pPr>
                  <w:r w:rsidRPr="004A500F">
                    <w:rPr>
                      <w:rFonts w:ascii="Verdana" w:hAnsi="Verdana"/>
                      <w:sz w:val="18"/>
                      <w:szCs w:val="18"/>
                    </w:rPr>
                    <w:t>953 </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473821" w14:textId="77777777" w:rsidR="005D2878" w:rsidRPr="004A500F" w:rsidRDefault="005D2878" w:rsidP="005D2878">
                  <w:pPr>
                    <w:jc w:val="right"/>
                    <w:rPr>
                      <w:rFonts w:ascii="Verdana" w:hAnsi="Verdana"/>
                      <w:sz w:val="18"/>
                      <w:szCs w:val="18"/>
                    </w:rPr>
                  </w:pPr>
                  <w:r w:rsidRPr="004A500F">
                    <w:rPr>
                      <w:rFonts w:ascii="Verdana" w:hAnsi="Verdana"/>
                      <w:sz w:val="18"/>
                      <w:szCs w:val="18"/>
                    </w:rPr>
                    <w:t>975 </w:t>
                  </w:r>
                </w:p>
              </w:tc>
              <w:tc>
                <w:tcPr>
                  <w:tcW w:w="1843"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4C4116B2" w14:textId="77777777" w:rsidR="005D2878" w:rsidRPr="004A500F" w:rsidRDefault="005D2878" w:rsidP="005D2878">
                  <w:pPr>
                    <w:jc w:val="right"/>
                    <w:rPr>
                      <w:rFonts w:ascii="Verdana" w:hAnsi="Verdana"/>
                      <w:sz w:val="18"/>
                      <w:szCs w:val="18"/>
                    </w:rPr>
                  </w:pPr>
                  <w:r w:rsidRPr="004A500F">
                    <w:rPr>
                      <w:rFonts w:ascii="Verdana" w:hAnsi="Verdana"/>
                      <w:sz w:val="18"/>
                      <w:szCs w:val="18"/>
                    </w:rPr>
                    <w:t>2,3 (+) </w:t>
                  </w:r>
                </w:p>
              </w:tc>
            </w:tr>
            <w:tr w:rsidR="005D2878" w:rsidRPr="004A500F" w14:paraId="2BE11DD0" w14:textId="77777777" w:rsidTr="08D7E4FA">
              <w:trPr>
                <w:trHeight w:val="300"/>
                <w:jc w:val="center"/>
              </w:trPr>
              <w:tc>
                <w:tcPr>
                  <w:tcW w:w="176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2DE5ECF5" w14:textId="77777777" w:rsidR="005D2878" w:rsidRPr="004A500F" w:rsidRDefault="005D2878" w:rsidP="005D2878">
                  <w:pPr>
                    <w:rPr>
                      <w:rFonts w:ascii="Verdana" w:hAnsi="Verdana"/>
                      <w:sz w:val="18"/>
                      <w:szCs w:val="18"/>
                    </w:rPr>
                  </w:pPr>
                  <w:r w:rsidRPr="004A500F">
                    <w:rPr>
                      <w:rFonts w:ascii="Verdana" w:hAnsi="Verdana"/>
                      <w:sz w:val="18"/>
                      <w:szCs w:val="18"/>
                    </w:rPr>
                    <w:t>Bolívar </w:t>
                  </w:r>
                </w:p>
              </w:tc>
              <w:tc>
                <w:tcPr>
                  <w:tcW w:w="1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C041C0" w14:textId="77777777" w:rsidR="005D2878" w:rsidRPr="004A500F" w:rsidRDefault="005D2878" w:rsidP="005D2878">
                  <w:pPr>
                    <w:jc w:val="right"/>
                    <w:rPr>
                      <w:rFonts w:ascii="Verdana" w:hAnsi="Verdana"/>
                      <w:sz w:val="18"/>
                      <w:szCs w:val="18"/>
                    </w:rPr>
                  </w:pPr>
                  <w:r w:rsidRPr="004A500F">
                    <w:rPr>
                      <w:rFonts w:ascii="Verdana" w:hAnsi="Verdana"/>
                      <w:sz w:val="18"/>
                      <w:szCs w:val="18"/>
                    </w:rPr>
                    <w:t>416 </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A75F48" w14:textId="77777777" w:rsidR="005D2878" w:rsidRPr="004A500F" w:rsidRDefault="005D2878" w:rsidP="005D2878">
                  <w:pPr>
                    <w:jc w:val="right"/>
                    <w:rPr>
                      <w:rFonts w:ascii="Verdana" w:hAnsi="Verdana"/>
                      <w:sz w:val="18"/>
                      <w:szCs w:val="18"/>
                    </w:rPr>
                  </w:pPr>
                  <w:r w:rsidRPr="004A500F">
                    <w:rPr>
                      <w:rFonts w:ascii="Verdana" w:hAnsi="Verdana"/>
                      <w:sz w:val="18"/>
                      <w:szCs w:val="18"/>
                    </w:rPr>
                    <w:t>901 </w:t>
                  </w:r>
                </w:p>
              </w:tc>
              <w:tc>
                <w:tcPr>
                  <w:tcW w:w="1843"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59FF22A6" w14:textId="77777777" w:rsidR="005D2878" w:rsidRPr="004A500F" w:rsidRDefault="005D2878" w:rsidP="005D2878">
                  <w:pPr>
                    <w:jc w:val="right"/>
                    <w:rPr>
                      <w:rFonts w:ascii="Verdana" w:hAnsi="Verdana"/>
                      <w:sz w:val="18"/>
                      <w:szCs w:val="18"/>
                    </w:rPr>
                  </w:pPr>
                  <w:r w:rsidRPr="004A500F">
                    <w:rPr>
                      <w:rFonts w:ascii="Verdana" w:hAnsi="Verdana"/>
                      <w:sz w:val="18"/>
                      <w:szCs w:val="18"/>
                    </w:rPr>
                    <w:t>116,6 (+) </w:t>
                  </w:r>
                </w:p>
              </w:tc>
            </w:tr>
            <w:tr w:rsidR="005D2878" w:rsidRPr="004A500F" w14:paraId="35C151F9" w14:textId="77777777" w:rsidTr="08D7E4FA">
              <w:trPr>
                <w:trHeight w:val="300"/>
                <w:jc w:val="center"/>
              </w:trPr>
              <w:tc>
                <w:tcPr>
                  <w:tcW w:w="176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7641706D" w14:textId="77777777" w:rsidR="005D2878" w:rsidRPr="004A500F" w:rsidRDefault="005D2878" w:rsidP="005D2878">
                  <w:pPr>
                    <w:rPr>
                      <w:rFonts w:ascii="Verdana" w:hAnsi="Verdana"/>
                      <w:sz w:val="18"/>
                      <w:szCs w:val="18"/>
                    </w:rPr>
                  </w:pPr>
                  <w:r w:rsidRPr="004A500F">
                    <w:rPr>
                      <w:rFonts w:ascii="Verdana" w:hAnsi="Verdana"/>
                      <w:sz w:val="18"/>
                      <w:szCs w:val="18"/>
                    </w:rPr>
                    <w:t>Tolima </w:t>
                  </w:r>
                </w:p>
              </w:tc>
              <w:tc>
                <w:tcPr>
                  <w:tcW w:w="1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7830AD2" w14:textId="77777777" w:rsidR="005D2878" w:rsidRPr="004A500F" w:rsidRDefault="005D2878" w:rsidP="005D2878">
                  <w:pPr>
                    <w:jc w:val="right"/>
                    <w:rPr>
                      <w:rFonts w:ascii="Verdana" w:hAnsi="Verdana"/>
                      <w:sz w:val="18"/>
                      <w:szCs w:val="18"/>
                    </w:rPr>
                  </w:pPr>
                  <w:r w:rsidRPr="004A500F">
                    <w:rPr>
                      <w:rFonts w:ascii="Verdana" w:hAnsi="Verdana"/>
                      <w:sz w:val="18"/>
                      <w:szCs w:val="18"/>
                    </w:rPr>
                    <w:t>702 </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942F2A2" w14:textId="77777777" w:rsidR="005D2878" w:rsidRPr="004A500F" w:rsidRDefault="005D2878" w:rsidP="005D2878">
                  <w:pPr>
                    <w:jc w:val="right"/>
                    <w:rPr>
                      <w:rFonts w:ascii="Verdana" w:hAnsi="Verdana"/>
                      <w:sz w:val="18"/>
                      <w:szCs w:val="18"/>
                    </w:rPr>
                  </w:pPr>
                  <w:r w:rsidRPr="004A500F">
                    <w:rPr>
                      <w:rFonts w:ascii="Verdana" w:hAnsi="Verdana"/>
                      <w:sz w:val="18"/>
                      <w:szCs w:val="18"/>
                    </w:rPr>
                    <w:t>827 </w:t>
                  </w:r>
                </w:p>
              </w:tc>
              <w:tc>
                <w:tcPr>
                  <w:tcW w:w="1843"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6862EA3F" w14:textId="77777777" w:rsidR="005D2878" w:rsidRPr="004A500F" w:rsidRDefault="005D2878" w:rsidP="005D2878">
                  <w:pPr>
                    <w:jc w:val="right"/>
                    <w:rPr>
                      <w:rFonts w:ascii="Verdana" w:hAnsi="Verdana"/>
                      <w:sz w:val="18"/>
                      <w:szCs w:val="18"/>
                    </w:rPr>
                  </w:pPr>
                  <w:r w:rsidRPr="004A500F">
                    <w:rPr>
                      <w:rFonts w:ascii="Verdana" w:hAnsi="Verdana"/>
                      <w:sz w:val="18"/>
                      <w:szCs w:val="18"/>
                    </w:rPr>
                    <w:t>17,8 (+) </w:t>
                  </w:r>
                </w:p>
              </w:tc>
            </w:tr>
            <w:tr w:rsidR="005D2878" w:rsidRPr="004A500F" w14:paraId="420AE0A7" w14:textId="77777777" w:rsidTr="08D7E4FA">
              <w:trPr>
                <w:trHeight w:val="300"/>
                <w:jc w:val="center"/>
              </w:trPr>
              <w:tc>
                <w:tcPr>
                  <w:tcW w:w="176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54728430" w14:textId="77777777" w:rsidR="005D2878" w:rsidRPr="004A500F" w:rsidRDefault="005D2878" w:rsidP="005D2878">
                  <w:pPr>
                    <w:rPr>
                      <w:rFonts w:ascii="Verdana" w:hAnsi="Verdana"/>
                      <w:sz w:val="18"/>
                      <w:szCs w:val="18"/>
                    </w:rPr>
                  </w:pPr>
                  <w:r w:rsidRPr="004A500F">
                    <w:rPr>
                      <w:rFonts w:ascii="Verdana" w:hAnsi="Verdana"/>
                      <w:sz w:val="18"/>
                      <w:szCs w:val="18"/>
                    </w:rPr>
                    <w:t>Huila </w:t>
                  </w:r>
                </w:p>
              </w:tc>
              <w:tc>
                <w:tcPr>
                  <w:tcW w:w="1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461142" w14:textId="77777777" w:rsidR="005D2878" w:rsidRPr="004A500F" w:rsidRDefault="005D2878" w:rsidP="005D2878">
                  <w:pPr>
                    <w:jc w:val="right"/>
                    <w:rPr>
                      <w:rFonts w:ascii="Verdana" w:hAnsi="Verdana"/>
                      <w:sz w:val="18"/>
                      <w:szCs w:val="18"/>
                    </w:rPr>
                  </w:pPr>
                  <w:r w:rsidRPr="004A500F">
                    <w:rPr>
                      <w:rFonts w:ascii="Verdana" w:hAnsi="Verdana"/>
                      <w:sz w:val="18"/>
                      <w:szCs w:val="18"/>
                    </w:rPr>
                    <w:t>630 </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310F96D" w14:textId="77777777" w:rsidR="005D2878" w:rsidRPr="004A500F" w:rsidRDefault="005D2878" w:rsidP="005D2878">
                  <w:pPr>
                    <w:jc w:val="right"/>
                    <w:rPr>
                      <w:rFonts w:ascii="Verdana" w:hAnsi="Verdana"/>
                      <w:sz w:val="18"/>
                      <w:szCs w:val="18"/>
                    </w:rPr>
                  </w:pPr>
                  <w:r w:rsidRPr="004A500F">
                    <w:rPr>
                      <w:rFonts w:ascii="Verdana" w:hAnsi="Verdana"/>
                      <w:sz w:val="18"/>
                      <w:szCs w:val="18"/>
                    </w:rPr>
                    <w:t>795 </w:t>
                  </w:r>
                </w:p>
              </w:tc>
              <w:tc>
                <w:tcPr>
                  <w:tcW w:w="1843"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7D3DAC60" w14:textId="77777777" w:rsidR="005D2878" w:rsidRPr="004A500F" w:rsidRDefault="005D2878" w:rsidP="005D2878">
                  <w:pPr>
                    <w:jc w:val="right"/>
                    <w:rPr>
                      <w:rFonts w:ascii="Verdana" w:hAnsi="Verdana"/>
                      <w:sz w:val="18"/>
                      <w:szCs w:val="18"/>
                    </w:rPr>
                  </w:pPr>
                  <w:r w:rsidRPr="004A500F">
                    <w:rPr>
                      <w:rFonts w:ascii="Verdana" w:hAnsi="Verdana"/>
                      <w:sz w:val="18"/>
                      <w:szCs w:val="18"/>
                    </w:rPr>
                    <w:t>26,2 (+) </w:t>
                  </w:r>
                </w:p>
              </w:tc>
            </w:tr>
            <w:tr w:rsidR="005D2878" w:rsidRPr="004A500F" w14:paraId="213AA78F" w14:textId="77777777" w:rsidTr="08D7E4FA">
              <w:trPr>
                <w:trHeight w:val="300"/>
                <w:jc w:val="center"/>
              </w:trPr>
              <w:tc>
                <w:tcPr>
                  <w:tcW w:w="176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36593139" w14:textId="77777777" w:rsidR="005D2878" w:rsidRPr="004A500F" w:rsidRDefault="005D2878" w:rsidP="005D2878">
                  <w:pPr>
                    <w:rPr>
                      <w:rFonts w:ascii="Verdana" w:hAnsi="Verdana"/>
                      <w:sz w:val="18"/>
                      <w:szCs w:val="18"/>
                    </w:rPr>
                  </w:pPr>
                  <w:r w:rsidRPr="004A500F">
                    <w:rPr>
                      <w:rFonts w:ascii="Verdana" w:hAnsi="Verdana"/>
                      <w:sz w:val="18"/>
                      <w:szCs w:val="18"/>
                    </w:rPr>
                    <w:t>Magdalena </w:t>
                  </w:r>
                </w:p>
              </w:tc>
              <w:tc>
                <w:tcPr>
                  <w:tcW w:w="1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6C22749" w14:textId="77777777" w:rsidR="005D2878" w:rsidRPr="004A500F" w:rsidRDefault="005D2878" w:rsidP="005D2878">
                  <w:pPr>
                    <w:jc w:val="right"/>
                    <w:rPr>
                      <w:rFonts w:ascii="Verdana" w:hAnsi="Verdana"/>
                      <w:sz w:val="18"/>
                      <w:szCs w:val="18"/>
                    </w:rPr>
                  </w:pPr>
                  <w:r w:rsidRPr="004A500F">
                    <w:rPr>
                      <w:rFonts w:ascii="Verdana" w:hAnsi="Verdana"/>
                      <w:sz w:val="18"/>
                      <w:szCs w:val="18"/>
                    </w:rPr>
                    <w:t>670 </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169CB40" w14:textId="77777777" w:rsidR="005D2878" w:rsidRPr="004A500F" w:rsidRDefault="005D2878" w:rsidP="005D2878">
                  <w:pPr>
                    <w:jc w:val="right"/>
                    <w:rPr>
                      <w:rFonts w:ascii="Verdana" w:hAnsi="Verdana"/>
                      <w:sz w:val="18"/>
                      <w:szCs w:val="18"/>
                    </w:rPr>
                  </w:pPr>
                  <w:r w:rsidRPr="004A500F">
                    <w:rPr>
                      <w:rFonts w:ascii="Verdana" w:hAnsi="Verdana"/>
                      <w:sz w:val="18"/>
                      <w:szCs w:val="18"/>
                    </w:rPr>
                    <w:t>788 </w:t>
                  </w:r>
                </w:p>
              </w:tc>
              <w:tc>
                <w:tcPr>
                  <w:tcW w:w="1843"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42A724C6" w14:textId="77777777" w:rsidR="005D2878" w:rsidRPr="004A500F" w:rsidRDefault="005D2878" w:rsidP="005D2878">
                  <w:pPr>
                    <w:jc w:val="right"/>
                    <w:rPr>
                      <w:rFonts w:ascii="Verdana" w:hAnsi="Verdana"/>
                      <w:sz w:val="18"/>
                      <w:szCs w:val="18"/>
                    </w:rPr>
                  </w:pPr>
                  <w:r w:rsidRPr="004A500F">
                    <w:rPr>
                      <w:rFonts w:ascii="Verdana" w:hAnsi="Verdana"/>
                      <w:sz w:val="18"/>
                      <w:szCs w:val="18"/>
                    </w:rPr>
                    <w:t>17,6 (+) </w:t>
                  </w:r>
                </w:p>
              </w:tc>
            </w:tr>
            <w:tr w:rsidR="005D2878" w:rsidRPr="004A500F" w14:paraId="3BEF132B" w14:textId="77777777" w:rsidTr="08D7E4FA">
              <w:trPr>
                <w:trHeight w:val="300"/>
                <w:jc w:val="center"/>
              </w:trPr>
              <w:tc>
                <w:tcPr>
                  <w:tcW w:w="176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623AD471" w14:textId="77777777" w:rsidR="005D2878" w:rsidRPr="004A500F" w:rsidRDefault="005D2878" w:rsidP="005D2878">
                  <w:pPr>
                    <w:rPr>
                      <w:rFonts w:ascii="Verdana" w:hAnsi="Verdana"/>
                      <w:sz w:val="18"/>
                      <w:szCs w:val="18"/>
                    </w:rPr>
                  </w:pPr>
                  <w:r w:rsidRPr="004A500F">
                    <w:rPr>
                      <w:rFonts w:ascii="Verdana" w:hAnsi="Verdana"/>
                      <w:sz w:val="18"/>
                      <w:szCs w:val="18"/>
                    </w:rPr>
                    <w:t>Risaralda </w:t>
                  </w:r>
                </w:p>
              </w:tc>
              <w:tc>
                <w:tcPr>
                  <w:tcW w:w="1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F4D56F" w14:textId="77777777" w:rsidR="005D2878" w:rsidRPr="004A500F" w:rsidRDefault="005D2878" w:rsidP="005D2878">
                  <w:pPr>
                    <w:jc w:val="right"/>
                    <w:rPr>
                      <w:rFonts w:ascii="Verdana" w:hAnsi="Verdana"/>
                      <w:sz w:val="18"/>
                      <w:szCs w:val="18"/>
                    </w:rPr>
                  </w:pPr>
                  <w:r w:rsidRPr="004A500F">
                    <w:rPr>
                      <w:rFonts w:ascii="Verdana" w:hAnsi="Verdana"/>
                      <w:sz w:val="18"/>
                      <w:szCs w:val="18"/>
                    </w:rPr>
                    <w:t>591 </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CACC9C2" w14:textId="77777777" w:rsidR="005D2878" w:rsidRPr="004A500F" w:rsidRDefault="005D2878" w:rsidP="005D2878">
                  <w:pPr>
                    <w:jc w:val="right"/>
                    <w:rPr>
                      <w:rFonts w:ascii="Verdana" w:hAnsi="Verdana"/>
                      <w:sz w:val="18"/>
                      <w:szCs w:val="18"/>
                    </w:rPr>
                  </w:pPr>
                  <w:r w:rsidRPr="004A500F">
                    <w:rPr>
                      <w:rFonts w:ascii="Verdana" w:hAnsi="Verdana"/>
                      <w:sz w:val="18"/>
                      <w:szCs w:val="18"/>
                    </w:rPr>
                    <w:t>754 </w:t>
                  </w:r>
                </w:p>
              </w:tc>
              <w:tc>
                <w:tcPr>
                  <w:tcW w:w="1843"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2BC4E76D" w14:textId="77777777" w:rsidR="005D2878" w:rsidRPr="004A500F" w:rsidRDefault="005D2878" w:rsidP="005D2878">
                  <w:pPr>
                    <w:jc w:val="right"/>
                    <w:rPr>
                      <w:rFonts w:ascii="Verdana" w:hAnsi="Verdana"/>
                      <w:sz w:val="18"/>
                      <w:szCs w:val="18"/>
                    </w:rPr>
                  </w:pPr>
                  <w:r w:rsidRPr="004A500F">
                    <w:rPr>
                      <w:rFonts w:ascii="Verdana" w:hAnsi="Verdana"/>
                      <w:sz w:val="18"/>
                      <w:szCs w:val="18"/>
                    </w:rPr>
                    <w:t>27,6 (+) </w:t>
                  </w:r>
                </w:p>
              </w:tc>
            </w:tr>
            <w:tr w:rsidR="005D2878" w:rsidRPr="004A500F" w14:paraId="6A8254C4" w14:textId="77777777" w:rsidTr="08D7E4FA">
              <w:trPr>
                <w:trHeight w:val="300"/>
                <w:jc w:val="center"/>
              </w:trPr>
              <w:tc>
                <w:tcPr>
                  <w:tcW w:w="176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5DBF38E7" w14:textId="77777777" w:rsidR="005D2878" w:rsidRPr="004A500F" w:rsidRDefault="005D2878" w:rsidP="005D2878">
                  <w:pPr>
                    <w:rPr>
                      <w:rFonts w:ascii="Verdana" w:hAnsi="Verdana"/>
                      <w:sz w:val="18"/>
                      <w:szCs w:val="18"/>
                    </w:rPr>
                  </w:pPr>
                  <w:r w:rsidRPr="004A500F">
                    <w:rPr>
                      <w:rFonts w:ascii="Verdana" w:hAnsi="Verdana"/>
                      <w:sz w:val="18"/>
                      <w:szCs w:val="18"/>
                    </w:rPr>
                    <w:t>Cesar </w:t>
                  </w:r>
                </w:p>
              </w:tc>
              <w:tc>
                <w:tcPr>
                  <w:tcW w:w="1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F6DF6C" w14:textId="77777777" w:rsidR="005D2878" w:rsidRPr="004A500F" w:rsidRDefault="005D2878" w:rsidP="005D2878">
                  <w:pPr>
                    <w:jc w:val="right"/>
                    <w:rPr>
                      <w:rFonts w:ascii="Verdana" w:hAnsi="Verdana"/>
                      <w:sz w:val="18"/>
                      <w:szCs w:val="18"/>
                    </w:rPr>
                  </w:pPr>
                  <w:r w:rsidRPr="004A500F">
                    <w:rPr>
                      <w:rFonts w:ascii="Verdana" w:hAnsi="Verdana"/>
                      <w:sz w:val="18"/>
                      <w:szCs w:val="18"/>
                    </w:rPr>
                    <w:t>478 </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8E5DC1F" w14:textId="77777777" w:rsidR="005D2878" w:rsidRPr="004A500F" w:rsidRDefault="005D2878" w:rsidP="005D2878">
                  <w:pPr>
                    <w:jc w:val="right"/>
                    <w:rPr>
                      <w:rFonts w:ascii="Verdana" w:hAnsi="Verdana"/>
                      <w:sz w:val="18"/>
                      <w:szCs w:val="18"/>
                    </w:rPr>
                  </w:pPr>
                  <w:r w:rsidRPr="004A500F">
                    <w:rPr>
                      <w:rFonts w:ascii="Verdana" w:hAnsi="Verdana"/>
                      <w:sz w:val="18"/>
                      <w:szCs w:val="18"/>
                    </w:rPr>
                    <w:t>739 </w:t>
                  </w:r>
                </w:p>
              </w:tc>
              <w:tc>
                <w:tcPr>
                  <w:tcW w:w="1843"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453A5958" w14:textId="77777777" w:rsidR="005D2878" w:rsidRPr="004A500F" w:rsidRDefault="005D2878" w:rsidP="005D2878">
                  <w:pPr>
                    <w:jc w:val="right"/>
                    <w:rPr>
                      <w:rFonts w:ascii="Verdana" w:hAnsi="Verdana"/>
                      <w:sz w:val="18"/>
                      <w:szCs w:val="18"/>
                    </w:rPr>
                  </w:pPr>
                  <w:r w:rsidRPr="004A500F">
                    <w:rPr>
                      <w:rFonts w:ascii="Verdana" w:hAnsi="Verdana"/>
                      <w:sz w:val="18"/>
                      <w:szCs w:val="18"/>
                    </w:rPr>
                    <w:t>54,6 (+) </w:t>
                  </w:r>
                </w:p>
              </w:tc>
            </w:tr>
            <w:tr w:rsidR="005D2878" w:rsidRPr="004A500F" w14:paraId="4FD8B92D" w14:textId="77777777" w:rsidTr="08D7E4FA">
              <w:trPr>
                <w:trHeight w:val="300"/>
                <w:jc w:val="center"/>
              </w:trPr>
              <w:tc>
                <w:tcPr>
                  <w:tcW w:w="176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24FACE34" w14:textId="77777777" w:rsidR="005D2878" w:rsidRPr="004A500F" w:rsidRDefault="005D2878" w:rsidP="005D2878">
                  <w:pPr>
                    <w:rPr>
                      <w:rFonts w:ascii="Verdana" w:hAnsi="Verdana"/>
                      <w:sz w:val="18"/>
                      <w:szCs w:val="18"/>
                    </w:rPr>
                  </w:pPr>
                  <w:r w:rsidRPr="004A500F">
                    <w:rPr>
                      <w:rFonts w:ascii="Verdana" w:hAnsi="Verdana"/>
                      <w:sz w:val="18"/>
                      <w:szCs w:val="18"/>
                    </w:rPr>
                    <w:lastRenderedPageBreak/>
                    <w:t>Norte de Santander </w:t>
                  </w:r>
                </w:p>
              </w:tc>
              <w:tc>
                <w:tcPr>
                  <w:tcW w:w="1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4C5630D" w14:textId="77777777" w:rsidR="005D2878" w:rsidRPr="004A500F" w:rsidRDefault="005D2878" w:rsidP="005D2878">
                  <w:pPr>
                    <w:jc w:val="right"/>
                    <w:rPr>
                      <w:rFonts w:ascii="Verdana" w:hAnsi="Verdana"/>
                      <w:sz w:val="18"/>
                      <w:szCs w:val="18"/>
                    </w:rPr>
                  </w:pPr>
                  <w:r w:rsidRPr="004A500F">
                    <w:rPr>
                      <w:rFonts w:ascii="Verdana" w:hAnsi="Verdana"/>
                      <w:sz w:val="18"/>
                      <w:szCs w:val="18"/>
                    </w:rPr>
                    <w:t>548 </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75D278" w14:textId="77777777" w:rsidR="005D2878" w:rsidRPr="004A500F" w:rsidRDefault="005D2878" w:rsidP="005D2878">
                  <w:pPr>
                    <w:jc w:val="right"/>
                    <w:rPr>
                      <w:rFonts w:ascii="Verdana" w:hAnsi="Verdana"/>
                      <w:sz w:val="18"/>
                      <w:szCs w:val="18"/>
                    </w:rPr>
                  </w:pPr>
                  <w:r w:rsidRPr="004A500F">
                    <w:rPr>
                      <w:rFonts w:ascii="Verdana" w:hAnsi="Verdana"/>
                      <w:sz w:val="18"/>
                      <w:szCs w:val="18"/>
                    </w:rPr>
                    <w:t>567 </w:t>
                  </w:r>
                </w:p>
              </w:tc>
              <w:tc>
                <w:tcPr>
                  <w:tcW w:w="1843"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3A184340" w14:textId="77777777" w:rsidR="005D2878" w:rsidRPr="004A500F" w:rsidRDefault="005D2878" w:rsidP="005D2878">
                  <w:pPr>
                    <w:jc w:val="right"/>
                    <w:rPr>
                      <w:rFonts w:ascii="Verdana" w:hAnsi="Verdana"/>
                      <w:sz w:val="18"/>
                      <w:szCs w:val="18"/>
                    </w:rPr>
                  </w:pPr>
                  <w:r w:rsidRPr="004A500F">
                    <w:rPr>
                      <w:rFonts w:ascii="Verdana" w:hAnsi="Verdana"/>
                      <w:sz w:val="18"/>
                      <w:szCs w:val="18"/>
                    </w:rPr>
                    <w:t>3,5 (+) </w:t>
                  </w:r>
                </w:p>
              </w:tc>
            </w:tr>
            <w:tr w:rsidR="005D2878" w:rsidRPr="004A500F" w14:paraId="0B2213EB" w14:textId="77777777" w:rsidTr="08D7E4FA">
              <w:trPr>
                <w:trHeight w:val="300"/>
                <w:jc w:val="center"/>
              </w:trPr>
              <w:tc>
                <w:tcPr>
                  <w:tcW w:w="176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4844E5C3" w14:textId="77777777" w:rsidR="005D2878" w:rsidRPr="004A500F" w:rsidRDefault="005D2878" w:rsidP="005D2878">
                  <w:pPr>
                    <w:rPr>
                      <w:rFonts w:ascii="Verdana" w:hAnsi="Verdana"/>
                      <w:sz w:val="18"/>
                      <w:szCs w:val="18"/>
                    </w:rPr>
                  </w:pPr>
                  <w:r w:rsidRPr="004A500F">
                    <w:rPr>
                      <w:rFonts w:ascii="Verdana" w:hAnsi="Verdana"/>
                      <w:sz w:val="18"/>
                      <w:szCs w:val="18"/>
                    </w:rPr>
                    <w:t>Nariño </w:t>
                  </w:r>
                </w:p>
              </w:tc>
              <w:tc>
                <w:tcPr>
                  <w:tcW w:w="1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62F51B1" w14:textId="77777777" w:rsidR="005D2878" w:rsidRPr="004A500F" w:rsidRDefault="005D2878" w:rsidP="005D2878">
                  <w:pPr>
                    <w:jc w:val="right"/>
                    <w:rPr>
                      <w:rFonts w:ascii="Verdana" w:hAnsi="Verdana"/>
                      <w:sz w:val="18"/>
                      <w:szCs w:val="18"/>
                    </w:rPr>
                  </w:pPr>
                  <w:r w:rsidRPr="004A500F">
                    <w:rPr>
                      <w:rFonts w:ascii="Verdana" w:hAnsi="Verdana"/>
                      <w:sz w:val="18"/>
                      <w:szCs w:val="18"/>
                    </w:rPr>
                    <w:t>458 </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5DC3B3" w14:textId="77777777" w:rsidR="005D2878" w:rsidRPr="004A500F" w:rsidRDefault="005D2878" w:rsidP="005D2878">
                  <w:pPr>
                    <w:jc w:val="right"/>
                    <w:rPr>
                      <w:rFonts w:ascii="Verdana" w:hAnsi="Verdana"/>
                      <w:sz w:val="18"/>
                      <w:szCs w:val="18"/>
                    </w:rPr>
                  </w:pPr>
                  <w:r w:rsidRPr="004A500F">
                    <w:rPr>
                      <w:rFonts w:ascii="Verdana" w:hAnsi="Verdana"/>
                      <w:sz w:val="18"/>
                      <w:szCs w:val="18"/>
                    </w:rPr>
                    <w:t>501 </w:t>
                  </w:r>
                </w:p>
              </w:tc>
              <w:tc>
                <w:tcPr>
                  <w:tcW w:w="1843"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1829800C" w14:textId="77777777" w:rsidR="005D2878" w:rsidRPr="004A500F" w:rsidRDefault="005D2878" w:rsidP="005D2878">
                  <w:pPr>
                    <w:jc w:val="right"/>
                    <w:rPr>
                      <w:rFonts w:ascii="Verdana" w:hAnsi="Verdana"/>
                      <w:sz w:val="18"/>
                      <w:szCs w:val="18"/>
                    </w:rPr>
                  </w:pPr>
                  <w:r w:rsidRPr="004A500F">
                    <w:rPr>
                      <w:rFonts w:ascii="Verdana" w:hAnsi="Verdana"/>
                      <w:sz w:val="18"/>
                      <w:szCs w:val="18"/>
                    </w:rPr>
                    <w:t>9,4 (+) </w:t>
                  </w:r>
                </w:p>
              </w:tc>
            </w:tr>
            <w:tr w:rsidR="005D2878" w:rsidRPr="004A500F" w14:paraId="28390120" w14:textId="77777777" w:rsidTr="08D7E4FA">
              <w:trPr>
                <w:trHeight w:val="300"/>
                <w:jc w:val="center"/>
              </w:trPr>
              <w:tc>
                <w:tcPr>
                  <w:tcW w:w="176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3562E3C1" w14:textId="77777777" w:rsidR="005D2878" w:rsidRPr="004A500F" w:rsidRDefault="005D2878" w:rsidP="005D2878">
                  <w:pPr>
                    <w:rPr>
                      <w:rFonts w:ascii="Verdana" w:hAnsi="Verdana"/>
                      <w:sz w:val="18"/>
                      <w:szCs w:val="18"/>
                    </w:rPr>
                  </w:pPr>
                  <w:r w:rsidRPr="004A500F">
                    <w:rPr>
                      <w:rFonts w:ascii="Verdana" w:hAnsi="Verdana"/>
                      <w:sz w:val="18"/>
                      <w:szCs w:val="18"/>
                    </w:rPr>
                    <w:t>Sucre </w:t>
                  </w:r>
                </w:p>
              </w:tc>
              <w:tc>
                <w:tcPr>
                  <w:tcW w:w="1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DC84499" w14:textId="77777777" w:rsidR="005D2878" w:rsidRPr="004A500F" w:rsidRDefault="005D2878" w:rsidP="005D2878">
                  <w:pPr>
                    <w:jc w:val="right"/>
                    <w:rPr>
                      <w:rFonts w:ascii="Verdana" w:hAnsi="Verdana"/>
                      <w:sz w:val="18"/>
                      <w:szCs w:val="18"/>
                    </w:rPr>
                  </w:pPr>
                  <w:r w:rsidRPr="004A500F">
                    <w:rPr>
                      <w:rFonts w:ascii="Verdana" w:hAnsi="Verdana"/>
                      <w:sz w:val="18"/>
                      <w:szCs w:val="18"/>
                    </w:rPr>
                    <w:t>293 </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6FC611E" w14:textId="77777777" w:rsidR="005D2878" w:rsidRPr="004A500F" w:rsidRDefault="005D2878" w:rsidP="005D2878">
                  <w:pPr>
                    <w:jc w:val="right"/>
                    <w:rPr>
                      <w:rFonts w:ascii="Verdana" w:hAnsi="Verdana"/>
                      <w:sz w:val="18"/>
                      <w:szCs w:val="18"/>
                    </w:rPr>
                  </w:pPr>
                  <w:r w:rsidRPr="004A500F">
                    <w:rPr>
                      <w:rFonts w:ascii="Verdana" w:hAnsi="Verdana"/>
                      <w:sz w:val="18"/>
                      <w:szCs w:val="18"/>
                    </w:rPr>
                    <w:t>385 </w:t>
                  </w:r>
                </w:p>
              </w:tc>
              <w:tc>
                <w:tcPr>
                  <w:tcW w:w="1843"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4B26BD4D" w14:textId="77777777" w:rsidR="005D2878" w:rsidRPr="004A500F" w:rsidRDefault="005D2878" w:rsidP="005D2878">
                  <w:pPr>
                    <w:jc w:val="right"/>
                    <w:rPr>
                      <w:rFonts w:ascii="Verdana" w:hAnsi="Verdana"/>
                      <w:sz w:val="18"/>
                      <w:szCs w:val="18"/>
                    </w:rPr>
                  </w:pPr>
                  <w:r w:rsidRPr="004A500F">
                    <w:rPr>
                      <w:rFonts w:ascii="Verdana" w:hAnsi="Verdana"/>
                      <w:sz w:val="18"/>
                      <w:szCs w:val="18"/>
                    </w:rPr>
                    <w:t>31,4 (+) </w:t>
                  </w:r>
                </w:p>
              </w:tc>
            </w:tr>
            <w:tr w:rsidR="005D2878" w:rsidRPr="004A500F" w14:paraId="66A4CC3C" w14:textId="77777777" w:rsidTr="08D7E4FA">
              <w:trPr>
                <w:trHeight w:val="300"/>
                <w:jc w:val="center"/>
              </w:trPr>
              <w:tc>
                <w:tcPr>
                  <w:tcW w:w="176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2DECED69" w14:textId="77777777" w:rsidR="005D2878" w:rsidRPr="004A500F" w:rsidRDefault="005D2878" w:rsidP="005D2878">
                  <w:pPr>
                    <w:rPr>
                      <w:rFonts w:ascii="Verdana" w:hAnsi="Verdana"/>
                      <w:sz w:val="18"/>
                      <w:szCs w:val="18"/>
                    </w:rPr>
                  </w:pPr>
                  <w:r w:rsidRPr="004A500F">
                    <w:rPr>
                      <w:rFonts w:ascii="Verdana" w:hAnsi="Verdana"/>
                      <w:sz w:val="18"/>
                      <w:szCs w:val="18"/>
                    </w:rPr>
                    <w:t>Casanare </w:t>
                  </w:r>
                </w:p>
              </w:tc>
              <w:tc>
                <w:tcPr>
                  <w:tcW w:w="1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55CA53D" w14:textId="77777777" w:rsidR="005D2878" w:rsidRPr="004A500F" w:rsidRDefault="005D2878" w:rsidP="005D2878">
                  <w:pPr>
                    <w:jc w:val="right"/>
                    <w:rPr>
                      <w:rFonts w:ascii="Verdana" w:hAnsi="Verdana"/>
                      <w:sz w:val="18"/>
                      <w:szCs w:val="18"/>
                    </w:rPr>
                  </w:pPr>
                  <w:r w:rsidRPr="004A500F">
                    <w:rPr>
                      <w:rFonts w:ascii="Verdana" w:hAnsi="Verdana"/>
                      <w:sz w:val="18"/>
                      <w:szCs w:val="18"/>
                    </w:rPr>
                    <w:t>338 </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3C1C07" w14:textId="77777777" w:rsidR="005D2878" w:rsidRPr="004A500F" w:rsidRDefault="005D2878" w:rsidP="005D2878">
                  <w:pPr>
                    <w:jc w:val="right"/>
                    <w:rPr>
                      <w:rFonts w:ascii="Verdana" w:hAnsi="Verdana"/>
                      <w:sz w:val="18"/>
                      <w:szCs w:val="18"/>
                    </w:rPr>
                  </w:pPr>
                  <w:r w:rsidRPr="004A500F">
                    <w:rPr>
                      <w:rFonts w:ascii="Verdana" w:hAnsi="Verdana"/>
                      <w:sz w:val="18"/>
                      <w:szCs w:val="18"/>
                    </w:rPr>
                    <w:t>345 </w:t>
                  </w:r>
                </w:p>
              </w:tc>
              <w:tc>
                <w:tcPr>
                  <w:tcW w:w="1843"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630C36F2" w14:textId="77777777" w:rsidR="005D2878" w:rsidRPr="004A500F" w:rsidRDefault="005D2878" w:rsidP="005D2878">
                  <w:pPr>
                    <w:jc w:val="right"/>
                    <w:rPr>
                      <w:rFonts w:ascii="Verdana" w:hAnsi="Verdana"/>
                      <w:sz w:val="18"/>
                      <w:szCs w:val="18"/>
                    </w:rPr>
                  </w:pPr>
                  <w:r w:rsidRPr="004A500F">
                    <w:rPr>
                      <w:rFonts w:ascii="Verdana" w:hAnsi="Verdana"/>
                      <w:sz w:val="18"/>
                      <w:szCs w:val="18"/>
                    </w:rPr>
                    <w:t>2,1 (+) </w:t>
                  </w:r>
                </w:p>
              </w:tc>
            </w:tr>
            <w:tr w:rsidR="005D2878" w:rsidRPr="004A500F" w14:paraId="33CF0219" w14:textId="77777777" w:rsidTr="08D7E4FA">
              <w:trPr>
                <w:trHeight w:val="300"/>
                <w:jc w:val="center"/>
              </w:trPr>
              <w:tc>
                <w:tcPr>
                  <w:tcW w:w="176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5B3C1055" w14:textId="77777777" w:rsidR="005D2878" w:rsidRPr="004A500F" w:rsidRDefault="005D2878" w:rsidP="005D2878">
                  <w:pPr>
                    <w:rPr>
                      <w:rFonts w:ascii="Verdana" w:hAnsi="Verdana"/>
                      <w:sz w:val="18"/>
                      <w:szCs w:val="18"/>
                    </w:rPr>
                  </w:pPr>
                  <w:r w:rsidRPr="004A500F">
                    <w:rPr>
                      <w:rFonts w:ascii="Verdana" w:hAnsi="Verdana"/>
                      <w:sz w:val="18"/>
                      <w:szCs w:val="18"/>
                    </w:rPr>
                    <w:t>Caldas </w:t>
                  </w:r>
                </w:p>
              </w:tc>
              <w:tc>
                <w:tcPr>
                  <w:tcW w:w="1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4B745B" w14:textId="77777777" w:rsidR="005D2878" w:rsidRPr="004A500F" w:rsidRDefault="005D2878" w:rsidP="005D2878">
                  <w:pPr>
                    <w:jc w:val="right"/>
                    <w:rPr>
                      <w:rFonts w:ascii="Verdana" w:hAnsi="Verdana"/>
                      <w:sz w:val="18"/>
                      <w:szCs w:val="18"/>
                    </w:rPr>
                  </w:pPr>
                  <w:r w:rsidRPr="004A500F">
                    <w:rPr>
                      <w:rFonts w:ascii="Verdana" w:hAnsi="Verdana"/>
                      <w:sz w:val="18"/>
                      <w:szCs w:val="18"/>
                    </w:rPr>
                    <w:t>113 </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BB9AFB" w14:textId="77777777" w:rsidR="005D2878" w:rsidRPr="004A500F" w:rsidRDefault="005D2878" w:rsidP="005D2878">
                  <w:pPr>
                    <w:jc w:val="right"/>
                    <w:rPr>
                      <w:rFonts w:ascii="Verdana" w:hAnsi="Verdana"/>
                      <w:sz w:val="18"/>
                      <w:szCs w:val="18"/>
                    </w:rPr>
                  </w:pPr>
                  <w:r w:rsidRPr="004A500F">
                    <w:rPr>
                      <w:rFonts w:ascii="Verdana" w:hAnsi="Verdana"/>
                      <w:sz w:val="18"/>
                      <w:szCs w:val="18"/>
                    </w:rPr>
                    <w:t>287 </w:t>
                  </w:r>
                </w:p>
              </w:tc>
              <w:tc>
                <w:tcPr>
                  <w:tcW w:w="1843"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57355371" w14:textId="77777777" w:rsidR="005D2878" w:rsidRPr="004A500F" w:rsidRDefault="005D2878" w:rsidP="005D2878">
                  <w:pPr>
                    <w:jc w:val="right"/>
                    <w:rPr>
                      <w:rFonts w:ascii="Verdana" w:hAnsi="Verdana"/>
                      <w:sz w:val="18"/>
                      <w:szCs w:val="18"/>
                    </w:rPr>
                  </w:pPr>
                  <w:r w:rsidRPr="004A500F">
                    <w:rPr>
                      <w:rFonts w:ascii="Verdana" w:hAnsi="Verdana"/>
                      <w:sz w:val="18"/>
                      <w:szCs w:val="18"/>
                    </w:rPr>
                    <w:t>154,0 (+) </w:t>
                  </w:r>
                </w:p>
              </w:tc>
            </w:tr>
            <w:tr w:rsidR="005D2878" w:rsidRPr="004A500F" w14:paraId="7624FD58" w14:textId="77777777" w:rsidTr="08D7E4FA">
              <w:trPr>
                <w:trHeight w:val="300"/>
                <w:jc w:val="center"/>
              </w:trPr>
              <w:tc>
                <w:tcPr>
                  <w:tcW w:w="176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27905013" w14:textId="77777777" w:rsidR="005D2878" w:rsidRPr="004A500F" w:rsidRDefault="005D2878" w:rsidP="005D2878">
                  <w:pPr>
                    <w:rPr>
                      <w:rFonts w:ascii="Verdana" w:hAnsi="Verdana"/>
                      <w:sz w:val="18"/>
                      <w:szCs w:val="18"/>
                    </w:rPr>
                  </w:pPr>
                  <w:r w:rsidRPr="004A500F">
                    <w:rPr>
                      <w:rFonts w:ascii="Verdana" w:hAnsi="Verdana"/>
                      <w:sz w:val="18"/>
                      <w:szCs w:val="18"/>
                    </w:rPr>
                    <w:t>Cauca </w:t>
                  </w:r>
                </w:p>
              </w:tc>
              <w:tc>
                <w:tcPr>
                  <w:tcW w:w="1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65CBE52" w14:textId="77777777" w:rsidR="005D2878" w:rsidRPr="004A500F" w:rsidRDefault="005D2878" w:rsidP="005D2878">
                  <w:pPr>
                    <w:jc w:val="right"/>
                    <w:rPr>
                      <w:rFonts w:ascii="Verdana" w:hAnsi="Verdana"/>
                      <w:sz w:val="18"/>
                      <w:szCs w:val="18"/>
                    </w:rPr>
                  </w:pPr>
                  <w:r w:rsidRPr="004A500F">
                    <w:rPr>
                      <w:rFonts w:ascii="Verdana" w:hAnsi="Verdana"/>
                      <w:sz w:val="18"/>
                      <w:szCs w:val="18"/>
                    </w:rPr>
                    <w:t>254 </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EFE2C54" w14:textId="77777777" w:rsidR="005D2878" w:rsidRPr="004A500F" w:rsidRDefault="005D2878" w:rsidP="005D2878">
                  <w:pPr>
                    <w:jc w:val="right"/>
                    <w:rPr>
                      <w:rFonts w:ascii="Verdana" w:hAnsi="Verdana"/>
                      <w:sz w:val="18"/>
                      <w:szCs w:val="18"/>
                    </w:rPr>
                  </w:pPr>
                  <w:r w:rsidRPr="004A500F">
                    <w:rPr>
                      <w:rFonts w:ascii="Verdana" w:hAnsi="Verdana"/>
                      <w:sz w:val="18"/>
                      <w:szCs w:val="18"/>
                    </w:rPr>
                    <w:t>253 </w:t>
                  </w:r>
                </w:p>
              </w:tc>
              <w:tc>
                <w:tcPr>
                  <w:tcW w:w="1843"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47F75281" w14:textId="77777777" w:rsidR="005D2878" w:rsidRPr="004A500F" w:rsidRDefault="005D2878" w:rsidP="005D2878">
                  <w:pPr>
                    <w:jc w:val="right"/>
                    <w:rPr>
                      <w:rFonts w:ascii="Verdana" w:hAnsi="Verdana"/>
                      <w:sz w:val="18"/>
                      <w:szCs w:val="18"/>
                    </w:rPr>
                  </w:pPr>
                  <w:r w:rsidRPr="004A500F">
                    <w:rPr>
                      <w:rFonts w:ascii="Verdana" w:hAnsi="Verdana"/>
                      <w:sz w:val="18"/>
                      <w:szCs w:val="18"/>
                    </w:rPr>
                    <w:t>-0,4 (-) </w:t>
                  </w:r>
                </w:p>
              </w:tc>
            </w:tr>
            <w:tr w:rsidR="005D2878" w:rsidRPr="004A500F" w14:paraId="2B5697D9" w14:textId="77777777" w:rsidTr="08D7E4FA">
              <w:trPr>
                <w:trHeight w:val="300"/>
                <w:jc w:val="center"/>
              </w:trPr>
              <w:tc>
                <w:tcPr>
                  <w:tcW w:w="176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04181B0C" w14:textId="77777777" w:rsidR="005D2878" w:rsidRPr="004A500F" w:rsidRDefault="005D2878" w:rsidP="005D2878">
                  <w:pPr>
                    <w:rPr>
                      <w:rFonts w:ascii="Verdana" w:hAnsi="Verdana"/>
                      <w:sz w:val="18"/>
                      <w:szCs w:val="18"/>
                    </w:rPr>
                  </w:pPr>
                  <w:r w:rsidRPr="004A500F">
                    <w:rPr>
                      <w:rFonts w:ascii="Verdana" w:hAnsi="Verdana"/>
                      <w:sz w:val="18"/>
                      <w:szCs w:val="18"/>
                    </w:rPr>
                    <w:t>Quindío </w:t>
                  </w:r>
                </w:p>
              </w:tc>
              <w:tc>
                <w:tcPr>
                  <w:tcW w:w="1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D25B6D" w14:textId="77777777" w:rsidR="005D2878" w:rsidRPr="004A500F" w:rsidRDefault="005D2878" w:rsidP="005D2878">
                  <w:pPr>
                    <w:jc w:val="right"/>
                    <w:rPr>
                      <w:rFonts w:ascii="Verdana" w:hAnsi="Verdana"/>
                      <w:sz w:val="18"/>
                      <w:szCs w:val="18"/>
                    </w:rPr>
                  </w:pPr>
                  <w:r w:rsidRPr="004A500F">
                    <w:rPr>
                      <w:rFonts w:ascii="Verdana" w:hAnsi="Verdana"/>
                      <w:sz w:val="18"/>
                      <w:szCs w:val="18"/>
                    </w:rPr>
                    <w:t>172 </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0A23B0" w14:textId="77777777" w:rsidR="005D2878" w:rsidRPr="004A500F" w:rsidRDefault="005D2878" w:rsidP="005D2878">
                  <w:pPr>
                    <w:jc w:val="right"/>
                    <w:rPr>
                      <w:rFonts w:ascii="Verdana" w:hAnsi="Verdana"/>
                      <w:sz w:val="18"/>
                      <w:szCs w:val="18"/>
                    </w:rPr>
                  </w:pPr>
                  <w:r w:rsidRPr="004A500F">
                    <w:rPr>
                      <w:rFonts w:ascii="Verdana" w:hAnsi="Verdana"/>
                      <w:sz w:val="18"/>
                      <w:szCs w:val="18"/>
                    </w:rPr>
                    <w:t>233 </w:t>
                  </w:r>
                </w:p>
              </w:tc>
              <w:tc>
                <w:tcPr>
                  <w:tcW w:w="1843"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6007EE87" w14:textId="77777777" w:rsidR="005D2878" w:rsidRPr="004A500F" w:rsidRDefault="005D2878" w:rsidP="005D2878">
                  <w:pPr>
                    <w:jc w:val="right"/>
                    <w:rPr>
                      <w:rFonts w:ascii="Verdana" w:hAnsi="Verdana"/>
                      <w:sz w:val="18"/>
                      <w:szCs w:val="18"/>
                    </w:rPr>
                  </w:pPr>
                  <w:r w:rsidRPr="004A500F">
                    <w:rPr>
                      <w:rFonts w:ascii="Verdana" w:hAnsi="Verdana"/>
                      <w:sz w:val="18"/>
                      <w:szCs w:val="18"/>
                    </w:rPr>
                    <w:t>35,5 (+) </w:t>
                  </w:r>
                </w:p>
              </w:tc>
            </w:tr>
            <w:tr w:rsidR="005D2878" w:rsidRPr="004A500F" w14:paraId="3F2FB70C" w14:textId="77777777" w:rsidTr="08D7E4FA">
              <w:trPr>
                <w:trHeight w:val="300"/>
                <w:jc w:val="center"/>
              </w:trPr>
              <w:tc>
                <w:tcPr>
                  <w:tcW w:w="176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340C1B67" w14:textId="77777777" w:rsidR="005D2878" w:rsidRPr="004A500F" w:rsidRDefault="005D2878" w:rsidP="005D2878">
                  <w:pPr>
                    <w:rPr>
                      <w:rFonts w:ascii="Verdana" w:hAnsi="Verdana"/>
                      <w:sz w:val="18"/>
                      <w:szCs w:val="18"/>
                    </w:rPr>
                  </w:pPr>
                  <w:r w:rsidRPr="004A500F">
                    <w:rPr>
                      <w:rFonts w:ascii="Verdana" w:hAnsi="Verdana"/>
                      <w:sz w:val="18"/>
                      <w:szCs w:val="18"/>
                    </w:rPr>
                    <w:t>Guaviare </w:t>
                  </w:r>
                </w:p>
              </w:tc>
              <w:tc>
                <w:tcPr>
                  <w:tcW w:w="1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F840167" w14:textId="77777777" w:rsidR="005D2878" w:rsidRPr="004A500F" w:rsidRDefault="005D2878" w:rsidP="005D2878">
                  <w:pPr>
                    <w:jc w:val="right"/>
                    <w:rPr>
                      <w:rFonts w:ascii="Verdana" w:hAnsi="Verdana"/>
                      <w:sz w:val="18"/>
                      <w:szCs w:val="18"/>
                    </w:rPr>
                  </w:pPr>
                  <w:r w:rsidRPr="004A500F">
                    <w:rPr>
                      <w:rFonts w:ascii="Verdana" w:hAnsi="Verdana"/>
                      <w:sz w:val="18"/>
                      <w:szCs w:val="18"/>
                    </w:rPr>
                    <w:t>121 </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636B518" w14:textId="77777777" w:rsidR="005D2878" w:rsidRPr="004A500F" w:rsidRDefault="005D2878" w:rsidP="005D2878">
                  <w:pPr>
                    <w:jc w:val="right"/>
                    <w:rPr>
                      <w:rFonts w:ascii="Verdana" w:hAnsi="Verdana"/>
                      <w:sz w:val="18"/>
                      <w:szCs w:val="18"/>
                    </w:rPr>
                  </w:pPr>
                  <w:r w:rsidRPr="004A500F">
                    <w:rPr>
                      <w:rFonts w:ascii="Verdana" w:hAnsi="Verdana"/>
                      <w:sz w:val="18"/>
                      <w:szCs w:val="18"/>
                    </w:rPr>
                    <w:t>121 </w:t>
                  </w:r>
                </w:p>
              </w:tc>
              <w:tc>
                <w:tcPr>
                  <w:tcW w:w="1843"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4BCE2A0B" w14:textId="77777777" w:rsidR="005D2878" w:rsidRPr="004A500F" w:rsidRDefault="005D2878" w:rsidP="005D2878">
                  <w:pPr>
                    <w:jc w:val="right"/>
                    <w:rPr>
                      <w:rFonts w:ascii="Verdana" w:hAnsi="Verdana"/>
                      <w:sz w:val="18"/>
                      <w:szCs w:val="18"/>
                    </w:rPr>
                  </w:pPr>
                  <w:r w:rsidRPr="004A500F">
                    <w:rPr>
                      <w:rFonts w:ascii="Verdana" w:hAnsi="Verdana"/>
                      <w:sz w:val="18"/>
                      <w:szCs w:val="18"/>
                    </w:rPr>
                    <w:t>0,0 </w:t>
                  </w:r>
                </w:p>
              </w:tc>
            </w:tr>
            <w:tr w:rsidR="005D2878" w:rsidRPr="004A500F" w14:paraId="4AD9ED98" w14:textId="77777777" w:rsidTr="08D7E4FA">
              <w:trPr>
                <w:trHeight w:val="300"/>
                <w:jc w:val="center"/>
              </w:trPr>
              <w:tc>
                <w:tcPr>
                  <w:tcW w:w="176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248E130A" w14:textId="77777777" w:rsidR="005D2878" w:rsidRPr="004A500F" w:rsidRDefault="005D2878" w:rsidP="005D2878">
                  <w:pPr>
                    <w:rPr>
                      <w:rFonts w:ascii="Verdana" w:hAnsi="Verdana"/>
                      <w:sz w:val="18"/>
                      <w:szCs w:val="18"/>
                    </w:rPr>
                  </w:pPr>
                  <w:r w:rsidRPr="004A500F">
                    <w:rPr>
                      <w:rFonts w:ascii="Verdana" w:hAnsi="Verdana"/>
                      <w:sz w:val="18"/>
                      <w:szCs w:val="18"/>
                    </w:rPr>
                    <w:t>Arauca </w:t>
                  </w:r>
                </w:p>
              </w:tc>
              <w:tc>
                <w:tcPr>
                  <w:tcW w:w="1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97D2BA3" w14:textId="77777777" w:rsidR="005D2878" w:rsidRPr="004A500F" w:rsidRDefault="005D2878" w:rsidP="005D2878">
                  <w:pPr>
                    <w:jc w:val="right"/>
                    <w:rPr>
                      <w:rFonts w:ascii="Verdana" w:hAnsi="Verdana"/>
                      <w:sz w:val="18"/>
                      <w:szCs w:val="18"/>
                    </w:rPr>
                  </w:pPr>
                  <w:r w:rsidRPr="004A500F">
                    <w:rPr>
                      <w:rFonts w:ascii="Verdana" w:hAnsi="Verdana"/>
                      <w:sz w:val="18"/>
                      <w:szCs w:val="18"/>
                    </w:rPr>
                    <w:t>55 </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2001795" w14:textId="77777777" w:rsidR="005D2878" w:rsidRPr="004A500F" w:rsidRDefault="005D2878" w:rsidP="005D2878">
                  <w:pPr>
                    <w:jc w:val="right"/>
                    <w:rPr>
                      <w:rFonts w:ascii="Verdana" w:hAnsi="Verdana"/>
                      <w:sz w:val="18"/>
                      <w:szCs w:val="18"/>
                    </w:rPr>
                  </w:pPr>
                  <w:r w:rsidRPr="004A500F">
                    <w:rPr>
                      <w:rFonts w:ascii="Verdana" w:hAnsi="Verdana"/>
                      <w:sz w:val="18"/>
                      <w:szCs w:val="18"/>
                    </w:rPr>
                    <w:t>55 </w:t>
                  </w:r>
                </w:p>
              </w:tc>
              <w:tc>
                <w:tcPr>
                  <w:tcW w:w="1843"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68958345" w14:textId="77777777" w:rsidR="005D2878" w:rsidRPr="004A500F" w:rsidRDefault="005D2878" w:rsidP="005D2878">
                  <w:pPr>
                    <w:jc w:val="right"/>
                    <w:rPr>
                      <w:rFonts w:ascii="Verdana" w:hAnsi="Verdana"/>
                      <w:sz w:val="18"/>
                      <w:szCs w:val="18"/>
                    </w:rPr>
                  </w:pPr>
                  <w:r w:rsidRPr="004A500F">
                    <w:rPr>
                      <w:rFonts w:ascii="Verdana" w:hAnsi="Verdana"/>
                      <w:sz w:val="18"/>
                      <w:szCs w:val="18"/>
                    </w:rPr>
                    <w:t>0,0 </w:t>
                  </w:r>
                </w:p>
              </w:tc>
            </w:tr>
            <w:tr w:rsidR="005D2878" w:rsidRPr="004A500F" w14:paraId="2065DCBA" w14:textId="77777777" w:rsidTr="08D7E4FA">
              <w:trPr>
                <w:trHeight w:val="300"/>
                <w:jc w:val="center"/>
              </w:trPr>
              <w:tc>
                <w:tcPr>
                  <w:tcW w:w="176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257CBFE7" w14:textId="77777777" w:rsidR="005D2878" w:rsidRPr="004A500F" w:rsidRDefault="005D2878" w:rsidP="005D2878">
                  <w:pPr>
                    <w:rPr>
                      <w:rFonts w:ascii="Verdana" w:hAnsi="Verdana"/>
                      <w:sz w:val="18"/>
                      <w:szCs w:val="18"/>
                    </w:rPr>
                  </w:pPr>
                  <w:r w:rsidRPr="004A500F">
                    <w:rPr>
                      <w:rFonts w:ascii="Verdana" w:hAnsi="Verdana"/>
                      <w:sz w:val="18"/>
                      <w:szCs w:val="18"/>
                    </w:rPr>
                    <w:t>Caquetá </w:t>
                  </w:r>
                </w:p>
              </w:tc>
              <w:tc>
                <w:tcPr>
                  <w:tcW w:w="1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DDAD909" w14:textId="77777777" w:rsidR="005D2878" w:rsidRPr="004A500F" w:rsidRDefault="005D2878" w:rsidP="005D2878">
                  <w:pPr>
                    <w:jc w:val="right"/>
                    <w:rPr>
                      <w:rFonts w:ascii="Verdana" w:hAnsi="Verdana"/>
                      <w:sz w:val="18"/>
                      <w:szCs w:val="18"/>
                    </w:rPr>
                  </w:pPr>
                  <w:r w:rsidRPr="004A500F">
                    <w:rPr>
                      <w:rFonts w:ascii="Verdana" w:hAnsi="Verdana"/>
                      <w:sz w:val="18"/>
                      <w:szCs w:val="18"/>
                    </w:rPr>
                    <w:t>54 </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FC4F920" w14:textId="77777777" w:rsidR="005D2878" w:rsidRPr="004A500F" w:rsidRDefault="005D2878" w:rsidP="005D2878">
                  <w:pPr>
                    <w:jc w:val="right"/>
                    <w:rPr>
                      <w:rFonts w:ascii="Verdana" w:hAnsi="Verdana"/>
                      <w:sz w:val="18"/>
                      <w:szCs w:val="18"/>
                    </w:rPr>
                  </w:pPr>
                  <w:r w:rsidRPr="004A500F">
                    <w:rPr>
                      <w:rFonts w:ascii="Verdana" w:hAnsi="Verdana"/>
                      <w:sz w:val="18"/>
                      <w:szCs w:val="18"/>
                    </w:rPr>
                    <w:t>44 </w:t>
                  </w:r>
                </w:p>
              </w:tc>
              <w:tc>
                <w:tcPr>
                  <w:tcW w:w="1843"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129605B6" w14:textId="77777777" w:rsidR="005D2878" w:rsidRPr="004A500F" w:rsidRDefault="005D2878" w:rsidP="005D2878">
                  <w:pPr>
                    <w:jc w:val="right"/>
                    <w:rPr>
                      <w:rFonts w:ascii="Verdana" w:hAnsi="Verdana"/>
                      <w:sz w:val="18"/>
                      <w:szCs w:val="18"/>
                    </w:rPr>
                  </w:pPr>
                  <w:r w:rsidRPr="004A500F">
                    <w:rPr>
                      <w:rFonts w:ascii="Verdana" w:hAnsi="Verdana"/>
                      <w:sz w:val="18"/>
                      <w:szCs w:val="18"/>
                    </w:rPr>
                    <w:t>-18,5 (-) </w:t>
                  </w:r>
                </w:p>
              </w:tc>
            </w:tr>
            <w:tr w:rsidR="005D2878" w:rsidRPr="004A500F" w14:paraId="46A1CCF9" w14:textId="77777777" w:rsidTr="08D7E4FA">
              <w:trPr>
                <w:trHeight w:val="300"/>
                <w:jc w:val="center"/>
              </w:trPr>
              <w:tc>
                <w:tcPr>
                  <w:tcW w:w="176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7ED19B97" w14:textId="77777777" w:rsidR="005D2878" w:rsidRPr="004A500F" w:rsidRDefault="005D2878" w:rsidP="005D2878">
                  <w:pPr>
                    <w:rPr>
                      <w:rFonts w:ascii="Verdana" w:hAnsi="Verdana"/>
                      <w:sz w:val="18"/>
                      <w:szCs w:val="18"/>
                    </w:rPr>
                  </w:pPr>
                  <w:r w:rsidRPr="004A500F">
                    <w:rPr>
                      <w:rFonts w:ascii="Verdana" w:hAnsi="Verdana"/>
                      <w:sz w:val="18"/>
                      <w:szCs w:val="18"/>
                    </w:rPr>
                    <w:t>Amazonas </w:t>
                  </w:r>
                </w:p>
              </w:tc>
              <w:tc>
                <w:tcPr>
                  <w:tcW w:w="1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A4AEFC2" w14:textId="77777777" w:rsidR="005D2878" w:rsidRPr="004A500F" w:rsidRDefault="005D2878" w:rsidP="005D2878">
                  <w:pPr>
                    <w:jc w:val="right"/>
                    <w:rPr>
                      <w:rFonts w:ascii="Verdana" w:hAnsi="Verdana"/>
                      <w:sz w:val="18"/>
                      <w:szCs w:val="18"/>
                    </w:rPr>
                  </w:pPr>
                  <w:r w:rsidRPr="004A500F">
                    <w:rPr>
                      <w:rFonts w:ascii="Verdana" w:hAnsi="Verdana"/>
                      <w:sz w:val="18"/>
                      <w:szCs w:val="18"/>
                    </w:rPr>
                    <w:t>15 </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7DCC1B7" w14:textId="77777777" w:rsidR="005D2878" w:rsidRPr="004A500F" w:rsidRDefault="005D2878" w:rsidP="005D2878">
                  <w:pPr>
                    <w:jc w:val="right"/>
                    <w:rPr>
                      <w:rFonts w:ascii="Verdana" w:hAnsi="Verdana"/>
                      <w:sz w:val="18"/>
                      <w:szCs w:val="18"/>
                    </w:rPr>
                  </w:pPr>
                  <w:r w:rsidRPr="004A500F">
                    <w:rPr>
                      <w:rFonts w:ascii="Verdana" w:hAnsi="Verdana"/>
                      <w:sz w:val="18"/>
                      <w:szCs w:val="18"/>
                    </w:rPr>
                    <w:t>15 </w:t>
                  </w:r>
                </w:p>
              </w:tc>
              <w:tc>
                <w:tcPr>
                  <w:tcW w:w="1843"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2B0053F6" w14:textId="77777777" w:rsidR="005D2878" w:rsidRPr="004A500F" w:rsidRDefault="005D2878" w:rsidP="005D2878">
                  <w:pPr>
                    <w:jc w:val="right"/>
                    <w:rPr>
                      <w:rFonts w:ascii="Verdana" w:hAnsi="Verdana"/>
                      <w:sz w:val="18"/>
                      <w:szCs w:val="18"/>
                    </w:rPr>
                  </w:pPr>
                  <w:r w:rsidRPr="004A500F">
                    <w:rPr>
                      <w:rFonts w:ascii="Verdana" w:hAnsi="Verdana"/>
                      <w:sz w:val="18"/>
                      <w:szCs w:val="18"/>
                    </w:rPr>
                    <w:t>0,0 </w:t>
                  </w:r>
                </w:p>
              </w:tc>
            </w:tr>
            <w:tr w:rsidR="005D2878" w:rsidRPr="004A500F" w14:paraId="118B7B98" w14:textId="77777777" w:rsidTr="08D7E4FA">
              <w:trPr>
                <w:trHeight w:val="300"/>
                <w:jc w:val="center"/>
              </w:trPr>
              <w:tc>
                <w:tcPr>
                  <w:tcW w:w="176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484146AC" w14:textId="77777777" w:rsidR="005D2878" w:rsidRPr="004A500F" w:rsidRDefault="005D2878" w:rsidP="005D2878">
                  <w:pPr>
                    <w:rPr>
                      <w:rFonts w:ascii="Verdana" w:hAnsi="Verdana"/>
                      <w:sz w:val="18"/>
                      <w:szCs w:val="18"/>
                    </w:rPr>
                  </w:pPr>
                  <w:r w:rsidRPr="004A500F">
                    <w:rPr>
                      <w:rFonts w:ascii="Verdana" w:hAnsi="Verdana"/>
                      <w:sz w:val="18"/>
                      <w:szCs w:val="18"/>
                    </w:rPr>
                    <w:t>Archipiélago de San Andrés, Providencia y Santa Catalina </w:t>
                  </w:r>
                </w:p>
              </w:tc>
              <w:tc>
                <w:tcPr>
                  <w:tcW w:w="19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4102A3" w14:textId="77777777" w:rsidR="005D2878" w:rsidRPr="004A500F" w:rsidRDefault="005D2878" w:rsidP="005D2878">
                  <w:pPr>
                    <w:jc w:val="right"/>
                    <w:rPr>
                      <w:rFonts w:ascii="Verdana" w:hAnsi="Verdana"/>
                      <w:sz w:val="18"/>
                      <w:szCs w:val="18"/>
                    </w:rPr>
                  </w:pPr>
                  <w:r w:rsidRPr="004A500F">
                    <w:rPr>
                      <w:rFonts w:ascii="Verdana" w:hAnsi="Verdana"/>
                      <w:sz w:val="18"/>
                      <w:szCs w:val="18"/>
                    </w:rPr>
                    <w:t>15 </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80EEBFF" w14:textId="77777777" w:rsidR="005D2878" w:rsidRPr="004A500F" w:rsidRDefault="005D2878" w:rsidP="005D2878">
                  <w:pPr>
                    <w:jc w:val="right"/>
                    <w:rPr>
                      <w:rFonts w:ascii="Verdana" w:hAnsi="Verdana"/>
                      <w:sz w:val="18"/>
                      <w:szCs w:val="18"/>
                    </w:rPr>
                  </w:pPr>
                  <w:r w:rsidRPr="004A500F">
                    <w:rPr>
                      <w:rFonts w:ascii="Verdana" w:hAnsi="Verdana"/>
                      <w:sz w:val="18"/>
                      <w:szCs w:val="18"/>
                    </w:rPr>
                    <w:t>15 </w:t>
                  </w:r>
                </w:p>
              </w:tc>
              <w:tc>
                <w:tcPr>
                  <w:tcW w:w="1843"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4F808C19" w14:textId="77777777" w:rsidR="005D2878" w:rsidRPr="004A500F" w:rsidRDefault="005D2878" w:rsidP="005D2878">
                  <w:pPr>
                    <w:jc w:val="right"/>
                    <w:rPr>
                      <w:rFonts w:ascii="Verdana" w:hAnsi="Verdana"/>
                      <w:sz w:val="18"/>
                      <w:szCs w:val="18"/>
                    </w:rPr>
                  </w:pPr>
                  <w:r w:rsidRPr="004A500F">
                    <w:rPr>
                      <w:rFonts w:ascii="Verdana" w:hAnsi="Verdana"/>
                      <w:sz w:val="18"/>
                      <w:szCs w:val="18"/>
                    </w:rPr>
                    <w:t>0,0 </w:t>
                  </w:r>
                </w:p>
              </w:tc>
            </w:tr>
            <w:tr w:rsidR="005D2878" w:rsidRPr="004A500F" w14:paraId="1549C62A" w14:textId="77777777" w:rsidTr="08D7E4FA">
              <w:trPr>
                <w:trHeight w:val="300"/>
                <w:jc w:val="center"/>
              </w:trPr>
              <w:tc>
                <w:tcPr>
                  <w:tcW w:w="1760" w:type="dxa"/>
                  <w:tcBorders>
                    <w:top w:val="single" w:sz="6" w:space="0" w:color="000000" w:themeColor="text1"/>
                    <w:left w:val="single" w:sz="6" w:space="0" w:color="auto"/>
                    <w:bottom w:val="single" w:sz="6" w:space="0" w:color="auto"/>
                    <w:right w:val="single" w:sz="6" w:space="0" w:color="000000" w:themeColor="text1"/>
                  </w:tcBorders>
                  <w:shd w:val="clear" w:color="auto" w:fill="auto"/>
                  <w:hideMark/>
                </w:tcPr>
                <w:p w14:paraId="2F1127E6" w14:textId="77777777" w:rsidR="005D2878" w:rsidRPr="004A500F" w:rsidRDefault="005D2878" w:rsidP="005D2878">
                  <w:pPr>
                    <w:rPr>
                      <w:rFonts w:ascii="Verdana" w:hAnsi="Verdana"/>
                      <w:sz w:val="18"/>
                      <w:szCs w:val="18"/>
                    </w:rPr>
                  </w:pPr>
                  <w:r w:rsidRPr="004A500F">
                    <w:rPr>
                      <w:rFonts w:ascii="Verdana" w:hAnsi="Verdana"/>
                      <w:sz w:val="18"/>
                      <w:szCs w:val="18"/>
                    </w:rPr>
                    <w:t>Choco </w:t>
                  </w:r>
                </w:p>
              </w:tc>
              <w:tc>
                <w:tcPr>
                  <w:tcW w:w="1926"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auto"/>
                  <w:hideMark/>
                </w:tcPr>
                <w:p w14:paraId="40346671" w14:textId="77777777" w:rsidR="005D2878" w:rsidRPr="004A500F" w:rsidRDefault="005D2878" w:rsidP="005D2878">
                  <w:pPr>
                    <w:jc w:val="right"/>
                    <w:rPr>
                      <w:rFonts w:ascii="Verdana" w:hAnsi="Verdana"/>
                      <w:sz w:val="18"/>
                      <w:szCs w:val="18"/>
                    </w:rPr>
                  </w:pPr>
                  <w:r w:rsidRPr="004A500F">
                    <w:rPr>
                      <w:rFonts w:ascii="Verdana" w:hAnsi="Verdana"/>
                      <w:sz w:val="18"/>
                      <w:szCs w:val="18"/>
                    </w:rPr>
                    <w:t>12 </w:t>
                  </w:r>
                </w:p>
              </w:tc>
              <w:tc>
                <w:tcPr>
                  <w:tcW w:w="2126" w:type="dxa"/>
                  <w:tcBorders>
                    <w:top w:val="single" w:sz="6" w:space="0" w:color="000000" w:themeColor="text1"/>
                    <w:left w:val="single" w:sz="6" w:space="0" w:color="000000" w:themeColor="text1"/>
                    <w:bottom w:val="single" w:sz="6" w:space="0" w:color="auto"/>
                    <w:right w:val="single" w:sz="6" w:space="0" w:color="000000" w:themeColor="text1"/>
                  </w:tcBorders>
                  <w:shd w:val="clear" w:color="auto" w:fill="auto"/>
                  <w:hideMark/>
                </w:tcPr>
                <w:p w14:paraId="354AC642" w14:textId="77777777" w:rsidR="005D2878" w:rsidRPr="004A500F" w:rsidRDefault="005D2878" w:rsidP="005D2878">
                  <w:pPr>
                    <w:jc w:val="right"/>
                    <w:rPr>
                      <w:rFonts w:ascii="Verdana" w:hAnsi="Verdana"/>
                      <w:sz w:val="18"/>
                      <w:szCs w:val="18"/>
                    </w:rPr>
                  </w:pPr>
                  <w:r w:rsidRPr="004A500F">
                    <w:rPr>
                      <w:rFonts w:ascii="Verdana" w:hAnsi="Verdana"/>
                      <w:sz w:val="18"/>
                      <w:szCs w:val="18"/>
                    </w:rPr>
                    <w:t>12 </w:t>
                  </w:r>
                </w:p>
              </w:tc>
              <w:tc>
                <w:tcPr>
                  <w:tcW w:w="1843" w:type="dxa"/>
                  <w:tcBorders>
                    <w:top w:val="single" w:sz="6" w:space="0" w:color="000000" w:themeColor="text1"/>
                    <w:left w:val="single" w:sz="6" w:space="0" w:color="000000" w:themeColor="text1"/>
                    <w:bottom w:val="single" w:sz="6" w:space="0" w:color="auto"/>
                    <w:right w:val="single" w:sz="6" w:space="0" w:color="auto"/>
                  </w:tcBorders>
                  <w:shd w:val="clear" w:color="auto" w:fill="auto"/>
                  <w:hideMark/>
                </w:tcPr>
                <w:p w14:paraId="10A49737" w14:textId="77777777" w:rsidR="005D2878" w:rsidRPr="004A500F" w:rsidRDefault="005D2878" w:rsidP="005D2878">
                  <w:pPr>
                    <w:jc w:val="right"/>
                    <w:rPr>
                      <w:rFonts w:ascii="Verdana" w:hAnsi="Verdana"/>
                      <w:sz w:val="18"/>
                      <w:szCs w:val="18"/>
                    </w:rPr>
                  </w:pPr>
                  <w:r w:rsidRPr="004A500F">
                    <w:rPr>
                      <w:rFonts w:ascii="Verdana" w:hAnsi="Verdana"/>
                      <w:sz w:val="18"/>
                      <w:szCs w:val="18"/>
                    </w:rPr>
                    <w:t>0,0 </w:t>
                  </w:r>
                </w:p>
              </w:tc>
            </w:tr>
          </w:tbl>
          <w:p w14:paraId="4A44010A" w14:textId="77777777" w:rsidR="005D2878" w:rsidRPr="004A500F" w:rsidRDefault="005D2878" w:rsidP="005D2878">
            <w:pPr>
              <w:jc w:val="center"/>
              <w:rPr>
                <w:rFonts w:ascii="Verdana" w:hAnsi="Verdana"/>
                <w:sz w:val="16"/>
                <w:szCs w:val="16"/>
              </w:rPr>
            </w:pPr>
            <w:r w:rsidRPr="004A500F">
              <w:rPr>
                <w:rFonts w:ascii="Verdana" w:hAnsi="Verdana"/>
                <w:i/>
                <w:iCs/>
                <w:sz w:val="16"/>
                <w:szCs w:val="16"/>
              </w:rPr>
              <w:t>Fuente: Extraído del informe sectorial de aprovechamiento SSPD, 2021 y 2022</w:t>
            </w:r>
          </w:p>
          <w:p w14:paraId="2DE8B6EC" w14:textId="77777777" w:rsidR="005D2878" w:rsidRDefault="005D2878" w:rsidP="00FB314A">
            <w:pPr>
              <w:jc w:val="both"/>
              <w:rPr>
                <w:rFonts w:ascii="Verdana" w:hAnsi="Verdana"/>
                <w:bCs/>
                <w:lang w:val="es-CO"/>
              </w:rPr>
            </w:pPr>
          </w:p>
          <w:p w14:paraId="53BE50DA" w14:textId="14157218" w:rsidR="005D2878" w:rsidRDefault="005D2878" w:rsidP="005D2878">
            <w:pPr>
              <w:jc w:val="both"/>
              <w:rPr>
                <w:rFonts w:ascii="Verdana" w:hAnsi="Verdana"/>
              </w:rPr>
            </w:pPr>
            <w:r w:rsidRPr="388D4128">
              <w:rPr>
                <w:rFonts w:ascii="Verdana" w:hAnsi="Verdana"/>
                <w:lang w:val="es-MX"/>
              </w:rPr>
              <w:t xml:space="preserve">Acorde con los datos presentados, en los departamentos de </w:t>
            </w:r>
            <w:r w:rsidRPr="388D4128">
              <w:rPr>
                <w:rFonts w:ascii="Verdana" w:hAnsi="Verdana"/>
              </w:rPr>
              <w:t>Guainía, Putumayo, Vaupés y Vichada no se encuentran recicladores de oficio registrados en el Sistema Único de Información SUI de la SSPD para los años mencionados. Precisando que,</w:t>
            </w:r>
            <w:r w:rsidR="40ECAB63" w:rsidRPr="388D4128">
              <w:rPr>
                <w:rFonts w:ascii="Verdana" w:hAnsi="Verdana"/>
              </w:rPr>
              <w:t xml:space="preserve"> es posible que</w:t>
            </w:r>
            <w:r w:rsidRPr="388D4128">
              <w:rPr>
                <w:rFonts w:ascii="Verdana" w:hAnsi="Verdana"/>
              </w:rPr>
              <w:t xml:space="preserve"> exist</w:t>
            </w:r>
            <w:r w:rsidR="2D0FAC25" w:rsidRPr="388D4128">
              <w:rPr>
                <w:rFonts w:ascii="Verdana" w:hAnsi="Verdana"/>
              </w:rPr>
              <w:t>a</w:t>
            </w:r>
            <w:r w:rsidRPr="388D4128">
              <w:rPr>
                <w:rFonts w:ascii="Verdana" w:hAnsi="Verdana"/>
              </w:rPr>
              <w:t>n recicladores realizando acciones relacionadas con el aprovechamiento de residuos sólidos o de reciclaje por fuera del servicio público de aseo.</w:t>
            </w:r>
          </w:p>
          <w:p w14:paraId="4730A239" w14:textId="77777777" w:rsidR="005D2878" w:rsidRPr="004A500F" w:rsidRDefault="005D2878" w:rsidP="005D2878">
            <w:pPr>
              <w:jc w:val="both"/>
              <w:rPr>
                <w:rFonts w:ascii="Verdana" w:hAnsi="Verdana"/>
              </w:rPr>
            </w:pPr>
          </w:p>
          <w:p w14:paraId="469CC0D1" w14:textId="77777777" w:rsidR="003A004E" w:rsidRDefault="003A004E" w:rsidP="005D2878">
            <w:pPr>
              <w:jc w:val="both"/>
              <w:rPr>
                <w:rFonts w:ascii="Verdana" w:hAnsi="Verdana"/>
              </w:rPr>
            </w:pPr>
          </w:p>
          <w:p w14:paraId="2FCC352E" w14:textId="090958B5" w:rsidR="005D2878" w:rsidRDefault="005D2878" w:rsidP="005D2878">
            <w:pPr>
              <w:jc w:val="both"/>
              <w:rPr>
                <w:rFonts w:ascii="Verdana" w:hAnsi="Verdana"/>
              </w:rPr>
            </w:pPr>
            <w:r w:rsidRPr="004A500F">
              <w:rPr>
                <w:rFonts w:ascii="Verdana" w:hAnsi="Verdana"/>
              </w:rPr>
              <w:t>Adicionalmente durante el mismo período de análisis (2021-2022) se encuentra que, en los departamentos de La Guajira, Bolívar, Cesar y Caldas hubo un aumento del registro de recicladores de oficio de más del 30%.</w:t>
            </w:r>
          </w:p>
          <w:p w14:paraId="482102B2" w14:textId="77777777" w:rsidR="005D2878" w:rsidRDefault="005D2878" w:rsidP="005D2878">
            <w:pPr>
              <w:jc w:val="both"/>
              <w:rPr>
                <w:rFonts w:ascii="Verdana" w:hAnsi="Verdana"/>
              </w:rPr>
            </w:pPr>
          </w:p>
          <w:p w14:paraId="447CF680" w14:textId="77777777" w:rsidR="003A004E" w:rsidRPr="004A500F" w:rsidRDefault="003A004E" w:rsidP="005D2878">
            <w:pPr>
              <w:jc w:val="both"/>
              <w:rPr>
                <w:rFonts w:ascii="Verdana" w:hAnsi="Verdana"/>
              </w:rPr>
            </w:pPr>
          </w:p>
          <w:p w14:paraId="35715077" w14:textId="77777777" w:rsidR="005D2878" w:rsidRDefault="005D2878" w:rsidP="005D2878">
            <w:pPr>
              <w:jc w:val="both"/>
              <w:rPr>
                <w:rFonts w:ascii="Verdana" w:hAnsi="Verdana"/>
              </w:rPr>
            </w:pPr>
            <w:r w:rsidRPr="004A500F">
              <w:rPr>
                <w:rFonts w:ascii="Verdana" w:hAnsi="Verdana"/>
              </w:rPr>
              <w:t xml:space="preserve">Asimismo, de la gráfica 1, se evidencia que este crecimiento en el registro se ha dado anualmente como consecuencia de </w:t>
            </w:r>
            <w:r w:rsidRPr="004A500F">
              <w:rPr>
                <w:rFonts w:ascii="Verdana" w:hAnsi="Verdana"/>
                <w:lang w:val="es-MX"/>
              </w:rPr>
              <w:t>la expedición del Decreto 596 de 2016, el cual modifica y adiciona el Decreto 1077 de 2015, instrumento normativo que permitió que las organizaciones de recicladores de oficio se constituyeran como personas prestadoras de la actividad de aprovechamiento en el marco del servicio público de aseo.</w:t>
            </w:r>
          </w:p>
          <w:p w14:paraId="5728AAFD" w14:textId="77777777" w:rsidR="005D2878" w:rsidRPr="004A500F" w:rsidRDefault="005D2878" w:rsidP="005D2878">
            <w:pPr>
              <w:jc w:val="both"/>
              <w:rPr>
                <w:rFonts w:ascii="Verdana" w:hAnsi="Verdana"/>
              </w:rPr>
            </w:pPr>
          </w:p>
          <w:p w14:paraId="52C88036" w14:textId="77777777" w:rsidR="003A004E" w:rsidRDefault="003A004E" w:rsidP="005D2878">
            <w:pPr>
              <w:jc w:val="both"/>
              <w:rPr>
                <w:rFonts w:ascii="Verdana" w:hAnsi="Verdana"/>
              </w:rPr>
            </w:pPr>
          </w:p>
          <w:p w14:paraId="16B98128" w14:textId="77777777" w:rsidR="003A004E" w:rsidRDefault="003A004E" w:rsidP="005D2878">
            <w:pPr>
              <w:jc w:val="both"/>
              <w:rPr>
                <w:rFonts w:ascii="Verdana" w:hAnsi="Verdana"/>
              </w:rPr>
            </w:pPr>
          </w:p>
          <w:p w14:paraId="4E3489DF" w14:textId="70EB877C" w:rsidR="005D2878" w:rsidRDefault="005D2878" w:rsidP="005D2878">
            <w:pPr>
              <w:jc w:val="both"/>
              <w:rPr>
                <w:rFonts w:ascii="Verdana" w:hAnsi="Verdana"/>
              </w:rPr>
            </w:pPr>
            <w:r w:rsidRPr="004A500F">
              <w:rPr>
                <w:rFonts w:ascii="Verdana" w:hAnsi="Verdana"/>
              </w:rPr>
              <w:t xml:space="preserve">Por otro lado, </w:t>
            </w:r>
            <w:r>
              <w:rPr>
                <w:rFonts w:ascii="Verdana" w:hAnsi="Verdana"/>
              </w:rPr>
              <w:t>se registró</w:t>
            </w:r>
            <w:r w:rsidRPr="004A500F">
              <w:rPr>
                <w:rFonts w:ascii="Verdana" w:hAnsi="Verdana"/>
              </w:rPr>
              <w:t xml:space="preserve"> para el año 2022, </w:t>
            </w:r>
            <w:r>
              <w:rPr>
                <w:rFonts w:ascii="Verdana" w:hAnsi="Verdana"/>
              </w:rPr>
              <w:t>que la ciudad con</w:t>
            </w:r>
            <w:r w:rsidRPr="004A500F">
              <w:rPr>
                <w:rFonts w:ascii="Verdana" w:hAnsi="Verdana"/>
              </w:rPr>
              <w:t xml:space="preserve"> mayor cantidad de recicladores de oficio es Bogotá D.C (con 27.696 recicladores de oficio registrados), seguida por los departamentos de Antioquia, Atlántico, Valle del Cauca y Meta; relacionado con su presencia de las ciudades capitales (Medellín, Barranquilla, Cali y Villavicencio) (Gráfica 2).</w:t>
            </w:r>
          </w:p>
          <w:p w14:paraId="1565AD5E" w14:textId="77777777" w:rsidR="0052226D" w:rsidRDefault="0052226D" w:rsidP="005D2878">
            <w:pPr>
              <w:jc w:val="both"/>
              <w:rPr>
                <w:rFonts w:ascii="Verdana" w:hAnsi="Verdana"/>
              </w:rPr>
            </w:pPr>
          </w:p>
          <w:p w14:paraId="5FA25604" w14:textId="77777777" w:rsidR="0052226D" w:rsidRDefault="0052226D" w:rsidP="005D2878">
            <w:pPr>
              <w:jc w:val="both"/>
              <w:rPr>
                <w:rFonts w:ascii="Verdana" w:hAnsi="Verdana"/>
              </w:rPr>
            </w:pPr>
          </w:p>
          <w:p w14:paraId="0D13A177" w14:textId="77777777" w:rsidR="0052226D" w:rsidRDefault="0052226D" w:rsidP="005D2878">
            <w:pPr>
              <w:jc w:val="both"/>
              <w:rPr>
                <w:rFonts w:ascii="Verdana" w:hAnsi="Verdana"/>
              </w:rPr>
            </w:pPr>
          </w:p>
          <w:p w14:paraId="6139A574" w14:textId="77777777" w:rsidR="0052226D" w:rsidRDefault="0052226D" w:rsidP="005D2878">
            <w:pPr>
              <w:jc w:val="both"/>
              <w:rPr>
                <w:rFonts w:ascii="Verdana" w:hAnsi="Verdana"/>
              </w:rPr>
            </w:pPr>
          </w:p>
          <w:p w14:paraId="7755ED8D" w14:textId="77777777" w:rsidR="0052226D" w:rsidRDefault="0052226D" w:rsidP="005D2878">
            <w:pPr>
              <w:jc w:val="both"/>
              <w:rPr>
                <w:rFonts w:ascii="Verdana" w:hAnsi="Verdana"/>
              </w:rPr>
            </w:pPr>
          </w:p>
          <w:p w14:paraId="7D40B4AF" w14:textId="77777777" w:rsidR="0052226D" w:rsidRDefault="0052226D" w:rsidP="005D2878">
            <w:pPr>
              <w:jc w:val="both"/>
              <w:rPr>
                <w:rFonts w:ascii="Verdana" w:hAnsi="Verdana"/>
              </w:rPr>
            </w:pPr>
          </w:p>
          <w:p w14:paraId="354F3912" w14:textId="77777777" w:rsidR="0052226D" w:rsidRDefault="0052226D" w:rsidP="005D2878">
            <w:pPr>
              <w:jc w:val="both"/>
              <w:rPr>
                <w:rFonts w:ascii="Verdana" w:hAnsi="Verdana"/>
              </w:rPr>
            </w:pPr>
          </w:p>
          <w:p w14:paraId="1C1A2BB3" w14:textId="77777777" w:rsidR="0052226D" w:rsidRDefault="0052226D" w:rsidP="005D2878">
            <w:pPr>
              <w:jc w:val="both"/>
              <w:rPr>
                <w:rFonts w:ascii="Verdana" w:hAnsi="Verdana"/>
              </w:rPr>
            </w:pPr>
          </w:p>
          <w:p w14:paraId="501A5B79" w14:textId="77777777" w:rsidR="0052226D" w:rsidRDefault="0052226D" w:rsidP="005D2878">
            <w:pPr>
              <w:jc w:val="both"/>
              <w:rPr>
                <w:rFonts w:ascii="Verdana" w:hAnsi="Verdana"/>
              </w:rPr>
            </w:pPr>
          </w:p>
          <w:p w14:paraId="4BB4BB1F" w14:textId="77777777" w:rsidR="0052226D" w:rsidRDefault="0052226D" w:rsidP="005D2878">
            <w:pPr>
              <w:jc w:val="both"/>
              <w:rPr>
                <w:rFonts w:ascii="Verdana" w:hAnsi="Verdana"/>
              </w:rPr>
            </w:pPr>
          </w:p>
          <w:p w14:paraId="509A014F" w14:textId="77777777" w:rsidR="005D2878" w:rsidRDefault="005D2878" w:rsidP="005D2878">
            <w:pPr>
              <w:jc w:val="both"/>
              <w:rPr>
                <w:rFonts w:ascii="Verdana" w:hAnsi="Verdana"/>
              </w:rPr>
            </w:pPr>
          </w:p>
          <w:p w14:paraId="3F31109C" w14:textId="77777777" w:rsidR="005D2878" w:rsidRPr="004A500F" w:rsidRDefault="005D2878" w:rsidP="005D2878">
            <w:pPr>
              <w:jc w:val="center"/>
              <w:rPr>
                <w:rFonts w:ascii="Verdana" w:hAnsi="Verdana"/>
              </w:rPr>
            </w:pPr>
            <w:r w:rsidRPr="004A500F">
              <w:rPr>
                <w:rFonts w:ascii="Verdana" w:hAnsi="Verdana"/>
              </w:rPr>
              <w:t>Gráfica 2. Recicladores registrados en SUI por departamento</w:t>
            </w:r>
          </w:p>
          <w:p w14:paraId="58571380" w14:textId="05E1C8C1" w:rsidR="005D2878" w:rsidRPr="004A500F" w:rsidRDefault="00F066D9" w:rsidP="005D2878">
            <w:pPr>
              <w:jc w:val="center"/>
              <w:rPr>
                <w:rFonts w:ascii="Verdana" w:hAnsi="Verdana"/>
              </w:rPr>
            </w:pPr>
            <w:r w:rsidRPr="005D2878">
              <w:rPr>
                <w:rFonts w:ascii="Verdana" w:hAnsi="Verdana"/>
                <w:noProof/>
                <w:lang w:val="en-US" w:eastAsia="en-US"/>
              </w:rPr>
              <w:drawing>
                <wp:inline distT="0" distB="0" distL="0" distR="0" wp14:anchorId="19526CB0" wp14:editId="7C528C6A">
                  <wp:extent cx="4305300" cy="2179320"/>
                  <wp:effectExtent l="0" t="0" r="0" b="0"/>
                  <wp:docPr id="2" name="Imagen 3"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Gráfico, Gráfico de líneas&#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05300" cy="2179320"/>
                          </a:xfrm>
                          <a:prstGeom prst="rect">
                            <a:avLst/>
                          </a:prstGeom>
                          <a:noFill/>
                          <a:ln>
                            <a:noFill/>
                          </a:ln>
                        </pic:spPr>
                      </pic:pic>
                    </a:graphicData>
                  </a:graphic>
                </wp:inline>
              </w:drawing>
            </w:r>
          </w:p>
          <w:p w14:paraId="1F9405BF" w14:textId="77777777" w:rsidR="005D2878" w:rsidRPr="004A500F" w:rsidRDefault="005D2878" w:rsidP="005D2878">
            <w:pPr>
              <w:jc w:val="center"/>
              <w:rPr>
                <w:rFonts w:ascii="Verdana" w:hAnsi="Verdana"/>
                <w:sz w:val="16"/>
                <w:szCs w:val="16"/>
              </w:rPr>
            </w:pPr>
            <w:r w:rsidRPr="004A500F">
              <w:rPr>
                <w:rFonts w:ascii="Verdana" w:hAnsi="Verdana"/>
                <w:i/>
                <w:iCs/>
                <w:sz w:val="16"/>
                <w:szCs w:val="16"/>
              </w:rPr>
              <w:t>Fuente: Elaboración propia, datos extraídos de los informes sectoriales de la actividad de aprovechamiento SSPD, 2019, 2020, 2021, 2022.</w:t>
            </w:r>
          </w:p>
          <w:p w14:paraId="0CAD279D" w14:textId="77777777" w:rsidR="005D2878" w:rsidRDefault="005D2878" w:rsidP="005D2878">
            <w:pPr>
              <w:jc w:val="both"/>
              <w:rPr>
                <w:rFonts w:ascii="Verdana" w:hAnsi="Verdana"/>
              </w:rPr>
            </w:pPr>
          </w:p>
          <w:p w14:paraId="3F41ECD5" w14:textId="1C0436BA" w:rsidR="45866F54" w:rsidRDefault="45866F54" w:rsidP="09400DC1">
            <w:pPr>
              <w:jc w:val="both"/>
              <w:rPr>
                <w:rFonts w:ascii="Verdana" w:hAnsi="Verdana"/>
              </w:rPr>
            </w:pPr>
            <w:r w:rsidRPr="09400DC1">
              <w:rPr>
                <w:rFonts w:ascii="Verdana" w:hAnsi="Verdana"/>
              </w:rPr>
              <w:t>Sobre la cantidad de recicladores registrados por las organizaciones de recicladores de oficio ante el SUI, se encuentra que, en la ciudad de Bogotá, durante el período del año 2019 comparado con el año 2022, el registro de recicladores de oficio aumentó en un 30%. No obstante, el efecto en los departamentos es mayor, así: Antioquia, 172%, Atlántico, 111%, y Valle del Cauca 122%.</w:t>
            </w:r>
          </w:p>
          <w:p w14:paraId="39E38CED" w14:textId="77777777" w:rsidR="00535679" w:rsidRPr="004A500F" w:rsidRDefault="00535679" w:rsidP="00535679">
            <w:pPr>
              <w:jc w:val="both"/>
              <w:rPr>
                <w:rFonts w:ascii="Verdana" w:hAnsi="Verdana"/>
              </w:rPr>
            </w:pPr>
          </w:p>
          <w:p w14:paraId="69A2410D" w14:textId="408CE84B" w:rsidR="005D2878" w:rsidRDefault="45866F54" w:rsidP="163BC4B9">
            <w:pPr>
              <w:jc w:val="both"/>
              <w:rPr>
                <w:rFonts w:ascii="Verdana" w:hAnsi="Verdana"/>
                <w:lang w:val="es-CO"/>
              </w:rPr>
            </w:pPr>
            <w:r w:rsidRPr="09400DC1">
              <w:rPr>
                <w:rFonts w:ascii="Verdana" w:hAnsi="Verdana"/>
              </w:rPr>
              <w:t xml:space="preserve">De lo anterior, se puede concluir que, en efecto, </w:t>
            </w:r>
            <w:r w:rsidR="54057160" w:rsidRPr="09400DC1">
              <w:rPr>
                <w:rFonts w:ascii="Verdana" w:hAnsi="Verdana"/>
              </w:rPr>
              <w:t xml:space="preserve">existe un gran número de población que se dedican </w:t>
            </w:r>
            <w:r w:rsidRPr="09400DC1">
              <w:rPr>
                <w:rFonts w:ascii="Verdana" w:hAnsi="Verdana"/>
              </w:rPr>
              <w:t xml:space="preserve">a la actividad de reciclaje </w:t>
            </w:r>
            <w:r w:rsidR="66E2578A" w:rsidRPr="09400DC1">
              <w:rPr>
                <w:rFonts w:ascii="Verdana" w:hAnsi="Verdana"/>
              </w:rPr>
              <w:t>y que se encuentran en</w:t>
            </w:r>
            <w:r w:rsidRPr="09400DC1">
              <w:rPr>
                <w:rFonts w:ascii="Verdana" w:hAnsi="Verdana"/>
              </w:rPr>
              <w:t xml:space="preserve"> organizaciones autorizadas a través de las cuales pueden acceder a los beneficios</w:t>
            </w:r>
            <w:r w:rsidR="7742150B" w:rsidRPr="09400DC1">
              <w:rPr>
                <w:rFonts w:ascii="Verdana" w:hAnsi="Verdana"/>
              </w:rPr>
              <w:t>.</w:t>
            </w:r>
          </w:p>
          <w:p w14:paraId="10A69194" w14:textId="77777777" w:rsidR="00535679" w:rsidRPr="004A500F" w:rsidRDefault="00535679" w:rsidP="00535679">
            <w:pPr>
              <w:jc w:val="both"/>
              <w:rPr>
                <w:rFonts w:ascii="Verdana" w:hAnsi="Verdana"/>
              </w:rPr>
            </w:pPr>
          </w:p>
          <w:p w14:paraId="612B85EC" w14:textId="7B985E9B" w:rsidR="00535679" w:rsidRPr="00CD40FF" w:rsidRDefault="45866F54" w:rsidP="09400DC1">
            <w:pPr>
              <w:pStyle w:val="Prrafodelista"/>
              <w:numPr>
                <w:ilvl w:val="0"/>
                <w:numId w:val="6"/>
              </w:numPr>
              <w:spacing w:after="160" w:line="278" w:lineRule="auto"/>
              <w:contextualSpacing/>
              <w:jc w:val="both"/>
              <w:rPr>
                <w:rFonts w:ascii="Verdana" w:hAnsi="Verdana"/>
                <w:u w:val="single"/>
              </w:rPr>
            </w:pPr>
            <w:r w:rsidRPr="09400DC1">
              <w:rPr>
                <w:rFonts w:ascii="Verdana" w:hAnsi="Verdana"/>
                <w:u w:val="single"/>
              </w:rPr>
              <w:t>Condiciones socioeconómicas de los recicladores de oficio</w:t>
            </w:r>
            <w:r w:rsidR="488C90DB" w:rsidRPr="09400DC1">
              <w:rPr>
                <w:rFonts w:ascii="Verdana" w:hAnsi="Verdana"/>
                <w:u w:val="single"/>
              </w:rPr>
              <w:t>: una breve caracterización</w:t>
            </w:r>
            <w:r w:rsidRPr="09400DC1">
              <w:rPr>
                <w:rFonts w:ascii="Verdana" w:hAnsi="Verdana"/>
                <w:u w:val="single"/>
              </w:rPr>
              <w:t xml:space="preserve"> en la ciudad </w:t>
            </w:r>
            <w:r w:rsidR="1A0234C8" w:rsidRPr="09400DC1">
              <w:rPr>
                <w:rFonts w:ascii="Verdana" w:hAnsi="Verdana"/>
                <w:u w:val="single"/>
              </w:rPr>
              <w:t>de Bogotá</w:t>
            </w:r>
            <w:r w:rsidRPr="09400DC1">
              <w:rPr>
                <w:rFonts w:ascii="Verdana" w:hAnsi="Verdana"/>
                <w:u w:val="single"/>
              </w:rPr>
              <w:t>.</w:t>
            </w:r>
          </w:p>
          <w:p w14:paraId="72C9B42E" w14:textId="3A20B5EB" w:rsidR="008838AB" w:rsidRDefault="030567AE" w:rsidP="388D4128">
            <w:pPr>
              <w:jc w:val="both"/>
              <w:rPr>
                <w:rFonts w:ascii="Verdana" w:eastAsia="Verdana" w:hAnsi="Verdana" w:cs="Verdana"/>
                <w:lang w:val="es-MX"/>
              </w:rPr>
            </w:pPr>
            <w:r w:rsidRPr="09400DC1">
              <w:rPr>
                <w:rFonts w:ascii="Verdana" w:hAnsi="Verdana"/>
                <w:lang w:val="es-MX"/>
              </w:rPr>
              <w:t>Sobre estos aspectos, es preciso señalar que, la ciudad de Bogotá ha sido pionera en la implementación de procesos de recolección de datos e información relacionada con los recicladores de oficio, como es el caso de la caracterización social realizada a través del Registro Único de Recicladores de Oficio (RURO), a cargo de la Unidad Administrativa Especial de Servicios públicos (UAESP), en consecuencia del cumplimiento a la normatividad asociada al censo de recicladores dispuesta a través del Plan de Gestión Integral de Residuos Sólidos</w:t>
            </w:r>
            <w:r w:rsidR="3415A132" w:rsidRPr="09400DC1">
              <w:rPr>
                <w:rFonts w:ascii="Verdana" w:hAnsi="Verdana"/>
                <w:lang w:val="es-MX"/>
              </w:rPr>
              <w:t>, así como, en lo descrito a través de la</w:t>
            </w:r>
            <w:r w:rsidR="5C031A86" w:rsidRPr="09400DC1">
              <w:rPr>
                <w:rFonts w:ascii="Verdana" w:hAnsi="Verdana"/>
                <w:lang w:val="es-MX"/>
              </w:rPr>
              <w:t>s</w:t>
            </w:r>
            <w:r w:rsidR="3415A132" w:rsidRPr="09400DC1">
              <w:rPr>
                <w:rFonts w:ascii="Verdana" w:hAnsi="Verdana"/>
                <w:lang w:val="es-MX"/>
              </w:rPr>
              <w:t xml:space="preserve"> sent</w:t>
            </w:r>
            <w:r w:rsidR="3415A132" w:rsidRPr="001A1F1A">
              <w:rPr>
                <w:rFonts w:ascii="Verdana" w:eastAsia="Verdana" w:hAnsi="Verdana" w:cs="Verdana"/>
                <w:lang w:val="es-MX"/>
              </w:rPr>
              <w:t>encia</w:t>
            </w:r>
            <w:r w:rsidR="71F08CA9" w:rsidRPr="09400DC1">
              <w:rPr>
                <w:rFonts w:ascii="Verdana" w:eastAsia="Verdana" w:hAnsi="Verdana" w:cs="Verdana"/>
                <w:lang w:val="es-MX"/>
              </w:rPr>
              <w:t>s</w:t>
            </w:r>
            <w:r w:rsidR="3415A132" w:rsidRPr="001A1F1A">
              <w:rPr>
                <w:rFonts w:ascii="Verdana" w:eastAsia="Verdana" w:hAnsi="Verdana" w:cs="Verdana"/>
                <w:lang w:val="es-MX"/>
              </w:rPr>
              <w:t xml:space="preserve"> T-387 de 2012</w:t>
            </w:r>
            <w:r w:rsidR="4A92D6AC" w:rsidRPr="09400DC1">
              <w:rPr>
                <w:rFonts w:ascii="Verdana" w:eastAsia="Verdana" w:hAnsi="Verdana" w:cs="Verdana"/>
                <w:lang w:val="es-MX"/>
              </w:rPr>
              <w:t xml:space="preserve"> y T 740 de 2015 </w:t>
            </w:r>
            <w:r w:rsidR="2D494C62" w:rsidRPr="09400DC1">
              <w:rPr>
                <w:rFonts w:ascii="Verdana" w:eastAsia="Verdana" w:hAnsi="Verdana" w:cs="Verdana"/>
                <w:lang w:val="es-MX"/>
              </w:rPr>
              <w:t xml:space="preserve"> y el Auto</w:t>
            </w:r>
            <w:r w:rsidR="3415A132" w:rsidRPr="001A1F1A">
              <w:rPr>
                <w:rFonts w:ascii="Verdana" w:eastAsia="Verdana" w:hAnsi="Verdana" w:cs="Verdana"/>
                <w:lang w:val="es-MX"/>
              </w:rPr>
              <w:t xml:space="preserve"> 268 de 2010</w:t>
            </w:r>
            <w:r w:rsidR="008838AB" w:rsidRPr="09400DC1">
              <w:rPr>
                <w:rFonts w:ascii="Verdana" w:eastAsia="Verdana" w:hAnsi="Verdana" w:cs="Verdana"/>
                <w:lang w:val="es-MX"/>
              </w:rPr>
              <w:footnoteReference w:id="11"/>
            </w:r>
            <w:r w:rsidR="3415A132" w:rsidRPr="001A1F1A">
              <w:rPr>
                <w:rFonts w:ascii="Verdana" w:eastAsia="Verdana" w:hAnsi="Verdana" w:cs="Verdana"/>
                <w:lang w:val="es-MX"/>
              </w:rPr>
              <w:t xml:space="preserve"> , </w:t>
            </w:r>
            <w:r w:rsidR="3415A132" w:rsidRPr="09400DC1">
              <w:rPr>
                <w:rFonts w:ascii="Verdana" w:eastAsia="Verdana" w:hAnsi="Verdana" w:cs="Verdana"/>
                <w:lang w:val="es-MX"/>
              </w:rPr>
              <w:t xml:space="preserve">donde </w:t>
            </w:r>
            <w:r w:rsidR="3415A132" w:rsidRPr="001A1F1A">
              <w:rPr>
                <w:rFonts w:ascii="Verdana" w:eastAsia="Verdana" w:hAnsi="Verdana" w:cs="Verdana"/>
                <w:lang w:val="es-MX"/>
              </w:rPr>
              <w:t>la Honorable Corte Constitucional se ha pronunciado sobre los recicladores de oficio como sujetos de especial protección constitucional y sobre la necesidad de promover acciones afirmativas a su favor.</w:t>
            </w:r>
          </w:p>
          <w:p w14:paraId="4EC517B0" w14:textId="7B8E516E" w:rsidR="008838AB" w:rsidRPr="004A500F" w:rsidRDefault="008838AB" w:rsidP="09400DC1">
            <w:pPr>
              <w:jc w:val="both"/>
              <w:rPr>
                <w:rFonts w:ascii="Verdana" w:eastAsia="Verdana" w:hAnsi="Verdana" w:cs="Verdana"/>
                <w:lang w:val="es-MX"/>
              </w:rPr>
            </w:pPr>
          </w:p>
          <w:p w14:paraId="7A2AAC4D" w14:textId="77777777" w:rsidR="008838AB" w:rsidRDefault="008838AB" w:rsidP="008838AB">
            <w:pPr>
              <w:jc w:val="both"/>
              <w:rPr>
                <w:rFonts w:ascii="Verdana" w:hAnsi="Verdana"/>
              </w:rPr>
            </w:pPr>
            <w:r w:rsidRPr="004A500F">
              <w:rPr>
                <w:rFonts w:ascii="Verdana" w:hAnsi="Verdana"/>
                <w:lang w:val="es-MX"/>
              </w:rPr>
              <w:lastRenderedPageBreak/>
              <w:t>Así las cosas, entendiendo que Bogotá es la ciudad donde se encuentra ubicada más del 40% de los recicladores de oficio del país, se incluye el análisis de las condiciones socioeconómicas de esta población para efectos del presente documento.</w:t>
            </w:r>
          </w:p>
          <w:p w14:paraId="5220FF5B" w14:textId="77777777" w:rsidR="008838AB" w:rsidRPr="004A500F" w:rsidRDefault="008838AB" w:rsidP="008838AB">
            <w:pPr>
              <w:jc w:val="both"/>
              <w:rPr>
                <w:rFonts w:ascii="Verdana" w:hAnsi="Verdana"/>
              </w:rPr>
            </w:pPr>
          </w:p>
          <w:p w14:paraId="56F129C9" w14:textId="77777777" w:rsidR="008838AB" w:rsidRDefault="008838AB" w:rsidP="008838AB">
            <w:pPr>
              <w:jc w:val="both"/>
              <w:rPr>
                <w:rFonts w:ascii="Verdana" w:hAnsi="Verdana"/>
              </w:rPr>
            </w:pPr>
            <w:r w:rsidRPr="004A500F">
              <w:rPr>
                <w:rFonts w:ascii="Verdana" w:hAnsi="Verdana"/>
                <w:lang w:val="es-MX"/>
              </w:rPr>
              <w:t>De acuerdo con el RURO, a enero de 2024, se cuenta con un total de 26.159 recicladores de oficio en la ciudad de Bogotá, de los cuales 11.134 (43%) son de género femenino y 15.025 (57%) de género masculino.</w:t>
            </w:r>
          </w:p>
          <w:p w14:paraId="7CDCFB27" w14:textId="77777777" w:rsidR="008838AB" w:rsidRDefault="008838AB" w:rsidP="008838AB">
            <w:pPr>
              <w:jc w:val="both"/>
              <w:rPr>
                <w:rFonts w:ascii="Verdana" w:hAnsi="Verdana"/>
              </w:rPr>
            </w:pPr>
          </w:p>
          <w:p w14:paraId="449C0007" w14:textId="77777777" w:rsidR="008838AB" w:rsidRPr="004A500F" w:rsidRDefault="008838AB" w:rsidP="008838AB">
            <w:pPr>
              <w:jc w:val="both"/>
              <w:rPr>
                <w:rFonts w:ascii="Verdana" w:hAnsi="Verdana"/>
              </w:rPr>
            </w:pPr>
            <w:r w:rsidRPr="004A500F">
              <w:rPr>
                <w:rFonts w:ascii="Verdana" w:hAnsi="Verdana"/>
                <w:lang w:val="es-MX"/>
              </w:rPr>
              <w:t>De otra parte, en cuanto al nivel educativo, los datos presentados por la UAESP para cada uno de los años desde el 2016 al 2023 son los siguientes:</w:t>
            </w:r>
            <w:r w:rsidRPr="004A500F">
              <w:rPr>
                <w:rFonts w:ascii="Verdana" w:hAnsi="Verdana"/>
              </w:rPr>
              <w:t> </w:t>
            </w:r>
          </w:p>
          <w:p w14:paraId="2FB9E5EF" w14:textId="77777777" w:rsidR="008838AB" w:rsidRPr="004A500F" w:rsidRDefault="008838AB" w:rsidP="008838AB">
            <w:pPr>
              <w:jc w:val="both"/>
              <w:rPr>
                <w:rFonts w:ascii="Verdana" w:hAnsi="Verdana"/>
              </w:rPr>
            </w:pPr>
          </w:p>
          <w:p w14:paraId="09B6D00E" w14:textId="504C1F82" w:rsidR="008838AB" w:rsidRPr="004A500F" w:rsidRDefault="008838AB" w:rsidP="008838AB">
            <w:pPr>
              <w:jc w:val="center"/>
              <w:rPr>
                <w:rFonts w:ascii="Verdana" w:hAnsi="Verdana"/>
              </w:rPr>
            </w:pPr>
            <w:r w:rsidRPr="00720245">
              <w:rPr>
                <w:rFonts w:ascii="Verdana" w:hAnsi="Verdana"/>
              </w:rPr>
              <w:t xml:space="preserve">Tabla </w:t>
            </w:r>
            <w:r w:rsidR="00B6266A" w:rsidRPr="00720245">
              <w:rPr>
                <w:rFonts w:ascii="Verdana" w:hAnsi="Verdana"/>
              </w:rPr>
              <w:t>3</w:t>
            </w:r>
            <w:r w:rsidRPr="00720245">
              <w:rPr>
                <w:rFonts w:ascii="Verdana" w:hAnsi="Verdana"/>
              </w:rPr>
              <w:t xml:space="preserve">. </w:t>
            </w:r>
            <w:r w:rsidRPr="00720245">
              <w:rPr>
                <w:rFonts w:ascii="Verdana" w:hAnsi="Verdana"/>
                <w:lang w:val="es-MX"/>
              </w:rPr>
              <w:t>Nivel e</w:t>
            </w:r>
            <w:r w:rsidRPr="004A500F">
              <w:rPr>
                <w:rFonts w:ascii="Verdana" w:hAnsi="Verdana"/>
                <w:lang w:val="es-MX"/>
              </w:rPr>
              <w:t>ducativo de los recicladores de oficio de Bogotá.</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54"/>
              <w:gridCol w:w="900"/>
              <w:gridCol w:w="900"/>
              <w:gridCol w:w="900"/>
              <w:gridCol w:w="900"/>
              <w:gridCol w:w="900"/>
              <w:gridCol w:w="900"/>
              <w:gridCol w:w="900"/>
              <w:gridCol w:w="900"/>
            </w:tblGrid>
            <w:tr w:rsidR="008838AB" w:rsidRPr="004A500F" w14:paraId="21FEDD9D" w14:textId="77777777" w:rsidTr="687EFF7E">
              <w:trPr>
                <w:trHeight w:val="300"/>
                <w:jc w:val="center"/>
              </w:trPr>
              <w:tc>
                <w:tcPr>
                  <w:tcW w:w="15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5584E7A" w14:textId="77777777" w:rsidR="008838AB" w:rsidRPr="004A500F" w:rsidRDefault="008838AB" w:rsidP="008838AB">
                  <w:pPr>
                    <w:jc w:val="center"/>
                    <w:rPr>
                      <w:rFonts w:ascii="Verdana" w:hAnsi="Verdana"/>
                      <w:sz w:val="18"/>
                      <w:szCs w:val="18"/>
                    </w:rPr>
                  </w:pPr>
                  <w:r w:rsidRPr="004A500F">
                    <w:rPr>
                      <w:rFonts w:ascii="Verdana" w:hAnsi="Verdana"/>
                      <w:b/>
                      <w:bCs/>
                      <w:sz w:val="18"/>
                      <w:szCs w:val="18"/>
                    </w:rPr>
                    <w:t>Nivel Educativo</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7C76A4C" w14:textId="77777777" w:rsidR="008838AB" w:rsidRPr="004A500F" w:rsidRDefault="008838AB" w:rsidP="008838AB">
                  <w:pPr>
                    <w:jc w:val="center"/>
                    <w:rPr>
                      <w:rFonts w:ascii="Verdana" w:hAnsi="Verdana"/>
                      <w:sz w:val="18"/>
                      <w:szCs w:val="18"/>
                    </w:rPr>
                  </w:pPr>
                  <w:r w:rsidRPr="004A500F">
                    <w:rPr>
                      <w:rFonts w:ascii="Verdana" w:hAnsi="Verdana"/>
                      <w:b/>
                      <w:bCs/>
                      <w:sz w:val="18"/>
                      <w:szCs w:val="18"/>
                    </w:rPr>
                    <w:t>2016</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45C67D" w14:textId="77777777" w:rsidR="008838AB" w:rsidRPr="004A500F" w:rsidRDefault="008838AB" w:rsidP="008838AB">
                  <w:pPr>
                    <w:jc w:val="center"/>
                    <w:rPr>
                      <w:rFonts w:ascii="Verdana" w:hAnsi="Verdana"/>
                      <w:sz w:val="18"/>
                      <w:szCs w:val="18"/>
                    </w:rPr>
                  </w:pPr>
                  <w:r w:rsidRPr="004A500F">
                    <w:rPr>
                      <w:rFonts w:ascii="Verdana" w:hAnsi="Verdana"/>
                      <w:b/>
                      <w:bCs/>
                      <w:sz w:val="18"/>
                      <w:szCs w:val="18"/>
                    </w:rPr>
                    <w:t>2017</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7DCA44B" w14:textId="77777777" w:rsidR="008838AB" w:rsidRPr="004A500F" w:rsidRDefault="008838AB" w:rsidP="008838AB">
                  <w:pPr>
                    <w:jc w:val="center"/>
                    <w:rPr>
                      <w:rFonts w:ascii="Verdana" w:hAnsi="Verdana"/>
                      <w:sz w:val="18"/>
                      <w:szCs w:val="18"/>
                    </w:rPr>
                  </w:pPr>
                  <w:r w:rsidRPr="004A500F">
                    <w:rPr>
                      <w:rFonts w:ascii="Verdana" w:hAnsi="Verdana"/>
                      <w:b/>
                      <w:bCs/>
                      <w:sz w:val="18"/>
                      <w:szCs w:val="18"/>
                    </w:rPr>
                    <w:t>2018</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697A6E4" w14:textId="77777777" w:rsidR="008838AB" w:rsidRPr="004A500F" w:rsidRDefault="008838AB" w:rsidP="008838AB">
                  <w:pPr>
                    <w:jc w:val="center"/>
                    <w:rPr>
                      <w:rFonts w:ascii="Verdana" w:hAnsi="Verdana"/>
                      <w:sz w:val="18"/>
                      <w:szCs w:val="18"/>
                    </w:rPr>
                  </w:pPr>
                  <w:r w:rsidRPr="004A500F">
                    <w:rPr>
                      <w:rFonts w:ascii="Verdana" w:hAnsi="Verdana"/>
                      <w:b/>
                      <w:bCs/>
                      <w:sz w:val="18"/>
                      <w:szCs w:val="18"/>
                    </w:rPr>
                    <w:t>2019</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2EA43E8" w14:textId="77777777" w:rsidR="008838AB" w:rsidRPr="004A500F" w:rsidRDefault="008838AB" w:rsidP="008838AB">
                  <w:pPr>
                    <w:jc w:val="center"/>
                    <w:rPr>
                      <w:rFonts w:ascii="Verdana" w:hAnsi="Verdana"/>
                      <w:sz w:val="18"/>
                      <w:szCs w:val="18"/>
                    </w:rPr>
                  </w:pPr>
                  <w:r w:rsidRPr="004A500F">
                    <w:rPr>
                      <w:rFonts w:ascii="Verdana" w:hAnsi="Verdana"/>
                      <w:b/>
                      <w:bCs/>
                      <w:sz w:val="18"/>
                      <w:szCs w:val="18"/>
                    </w:rPr>
                    <w:t>2020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03BF545" w14:textId="77777777" w:rsidR="008838AB" w:rsidRPr="004A500F" w:rsidRDefault="008838AB" w:rsidP="008838AB">
                  <w:pPr>
                    <w:jc w:val="center"/>
                    <w:rPr>
                      <w:rFonts w:ascii="Verdana" w:hAnsi="Verdana"/>
                      <w:sz w:val="18"/>
                      <w:szCs w:val="18"/>
                    </w:rPr>
                  </w:pPr>
                  <w:r w:rsidRPr="004A500F">
                    <w:rPr>
                      <w:rFonts w:ascii="Verdana" w:hAnsi="Verdana"/>
                      <w:b/>
                      <w:bCs/>
                      <w:sz w:val="18"/>
                      <w:szCs w:val="18"/>
                    </w:rPr>
                    <w:t>2021</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73D37AE" w14:textId="77777777" w:rsidR="008838AB" w:rsidRPr="004A500F" w:rsidRDefault="008838AB" w:rsidP="008838AB">
                  <w:pPr>
                    <w:jc w:val="center"/>
                    <w:rPr>
                      <w:rFonts w:ascii="Verdana" w:hAnsi="Verdana"/>
                      <w:sz w:val="18"/>
                      <w:szCs w:val="18"/>
                    </w:rPr>
                  </w:pPr>
                  <w:r w:rsidRPr="004A500F">
                    <w:rPr>
                      <w:rFonts w:ascii="Verdana" w:hAnsi="Verdana"/>
                      <w:b/>
                      <w:bCs/>
                      <w:sz w:val="18"/>
                      <w:szCs w:val="18"/>
                    </w:rPr>
                    <w:t>2022</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28DB8FF" w14:textId="77777777" w:rsidR="008838AB" w:rsidRPr="004A500F" w:rsidRDefault="008838AB" w:rsidP="008838AB">
                  <w:pPr>
                    <w:jc w:val="center"/>
                    <w:rPr>
                      <w:rFonts w:ascii="Verdana" w:hAnsi="Verdana"/>
                      <w:sz w:val="18"/>
                      <w:szCs w:val="18"/>
                    </w:rPr>
                  </w:pPr>
                  <w:r w:rsidRPr="004A500F">
                    <w:rPr>
                      <w:rFonts w:ascii="Verdana" w:hAnsi="Verdana"/>
                      <w:b/>
                      <w:bCs/>
                      <w:sz w:val="18"/>
                      <w:szCs w:val="18"/>
                    </w:rPr>
                    <w:t>2023</w:t>
                  </w:r>
                </w:p>
              </w:tc>
            </w:tr>
            <w:tr w:rsidR="008838AB" w:rsidRPr="004A500F" w14:paraId="55D7E05A" w14:textId="77777777" w:rsidTr="687EFF7E">
              <w:trPr>
                <w:trHeight w:val="300"/>
                <w:jc w:val="center"/>
              </w:trPr>
              <w:tc>
                <w:tcPr>
                  <w:tcW w:w="15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98894BF" w14:textId="77777777" w:rsidR="008838AB" w:rsidRPr="004A500F" w:rsidRDefault="008838AB" w:rsidP="008838AB">
                  <w:pPr>
                    <w:rPr>
                      <w:rFonts w:ascii="Verdana" w:hAnsi="Verdana"/>
                      <w:sz w:val="18"/>
                      <w:szCs w:val="18"/>
                    </w:rPr>
                  </w:pPr>
                  <w:r w:rsidRPr="004A500F">
                    <w:rPr>
                      <w:rFonts w:ascii="Verdana" w:hAnsi="Verdana"/>
                      <w:sz w:val="18"/>
                      <w:szCs w:val="18"/>
                    </w:rPr>
                    <w:t>Primaria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7BF2C85" w14:textId="77777777" w:rsidR="008838AB" w:rsidRPr="004A500F" w:rsidRDefault="008838AB" w:rsidP="008838AB">
                  <w:pPr>
                    <w:jc w:val="right"/>
                    <w:rPr>
                      <w:rFonts w:ascii="Verdana" w:hAnsi="Verdana"/>
                      <w:sz w:val="18"/>
                      <w:szCs w:val="18"/>
                    </w:rPr>
                  </w:pPr>
                  <w:r w:rsidRPr="004A500F">
                    <w:rPr>
                      <w:rFonts w:ascii="Verdana" w:hAnsi="Verdana"/>
                      <w:sz w:val="18"/>
                      <w:szCs w:val="18"/>
                    </w:rPr>
                    <w:t>359 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C1BA896" w14:textId="77777777" w:rsidR="008838AB" w:rsidRPr="004A500F" w:rsidRDefault="008838AB" w:rsidP="008838AB">
                  <w:pPr>
                    <w:jc w:val="right"/>
                    <w:rPr>
                      <w:rFonts w:ascii="Verdana" w:hAnsi="Verdana"/>
                      <w:sz w:val="18"/>
                      <w:szCs w:val="18"/>
                    </w:rPr>
                  </w:pPr>
                  <w:r w:rsidRPr="004A500F">
                    <w:rPr>
                      <w:rFonts w:ascii="Verdana" w:hAnsi="Verdana"/>
                      <w:sz w:val="18"/>
                      <w:szCs w:val="18"/>
                    </w:rPr>
                    <w:t>759 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C1F33CB" w14:textId="77777777" w:rsidR="008838AB" w:rsidRPr="004A500F" w:rsidRDefault="008838AB" w:rsidP="008838AB">
                  <w:pPr>
                    <w:jc w:val="right"/>
                    <w:rPr>
                      <w:rFonts w:ascii="Verdana" w:hAnsi="Verdana"/>
                      <w:sz w:val="18"/>
                      <w:szCs w:val="18"/>
                    </w:rPr>
                  </w:pPr>
                  <w:r w:rsidRPr="004A500F">
                    <w:rPr>
                      <w:rFonts w:ascii="Verdana" w:hAnsi="Verdana"/>
                      <w:sz w:val="18"/>
                      <w:szCs w:val="18"/>
                    </w:rPr>
                    <w:t>512 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412E085" w14:textId="77777777" w:rsidR="008838AB" w:rsidRPr="004A500F" w:rsidRDefault="008838AB" w:rsidP="008838AB">
                  <w:pPr>
                    <w:jc w:val="right"/>
                    <w:rPr>
                      <w:rFonts w:ascii="Verdana" w:hAnsi="Verdana"/>
                      <w:sz w:val="18"/>
                      <w:szCs w:val="18"/>
                    </w:rPr>
                  </w:pPr>
                  <w:r w:rsidRPr="004A500F">
                    <w:rPr>
                      <w:rFonts w:ascii="Verdana" w:hAnsi="Verdana"/>
                      <w:sz w:val="18"/>
                      <w:szCs w:val="18"/>
                    </w:rPr>
                    <w:t>666 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33C05D6" w14:textId="77777777" w:rsidR="008838AB" w:rsidRPr="004A500F" w:rsidRDefault="008838AB" w:rsidP="008838AB">
                  <w:pPr>
                    <w:jc w:val="right"/>
                    <w:rPr>
                      <w:rFonts w:ascii="Verdana" w:hAnsi="Verdana"/>
                      <w:sz w:val="18"/>
                      <w:szCs w:val="18"/>
                    </w:rPr>
                  </w:pPr>
                  <w:r w:rsidRPr="004A500F">
                    <w:rPr>
                      <w:rFonts w:ascii="Verdana" w:hAnsi="Verdana"/>
                      <w:sz w:val="18"/>
                      <w:szCs w:val="18"/>
                    </w:rPr>
                    <w:t>158 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0B8D370" w14:textId="77777777" w:rsidR="008838AB" w:rsidRPr="004A500F" w:rsidRDefault="008838AB" w:rsidP="008838AB">
                  <w:pPr>
                    <w:jc w:val="right"/>
                    <w:rPr>
                      <w:rFonts w:ascii="Verdana" w:hAnsi="Verdana"/>
                      <w:sz w:val="18"/>
                      <w:szCs w:val="18"/>
                    </w:rPr>
                  </w:pPr>
                  <w:r w:rsidRPr="004A500F">
                    <w:rPr>
                      <w:rFonts w:ascii="Verdana" w:hAnsi="Verdana"/>
                      <w:sz w:val="18"/>
                      <w:szCs w:val="18"/>
                    </w:rPr>
                    <w:t>330 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D942A5C" w14:textId="77777777" w:rsidR="008838AB" w:rsidRPr="004A500F" w:rsidRDefault="008838AB" w:rsidP="008838AB">
                  <w:pPr>
                    <w:jc w:val="right"/>
                    <w:rPr>
                      <w:rFonts w:ascii="Verdana" w:hAnsi="Verdana"/>
                      <w:sz w:val="18"/>
                      <w:szCs w:val="18"/>
                    </w:rPr>
                  </w:pPr>
                  <w:r w:rsidRPr="004A500F">
                    <w:rPr>
                      <w:rFonts w:ascii="Verdana" w:hAnsi="Verdana"/>
                      <w:sz w:val="18"/>
                      <w:szCs w:val="18"/>
                    </w:rPr>
                    <w:t>126 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829C783" w14:textId="77777777" w:rsidR="008838AB" w:rsidRPr="004A500F" w:rsidRDefault="008838AB" w:rsidP="008838AB">
                  <w:pPr>
                    <w:jc w:val="right"/>
                    <w:rPr>
                      <w:rFonts w:ascii="Verdana" w:hAnsi="Verdana"/>
                      <w:sz w:val="18"/>
                      <w:szCs w:val="18"/>
                    </w:rPr>
                  </w:pPr>
                  <w:r w:rsidRPr="004A500F">
                    <w:rPr>
                      <w:rFonts w:ascii="Verdana" w:hAnsi="Verdana"/>
                      <w:sz w:val="18"/>
                      <w:szCs w:val="18"/>
                    </w:rPr>
                    <w:t>221 </w:t>
                  </w:r>
                </w:p>
              </w:tc>
            </w:tr>
            <w:tr w:rsidR="008838AB" w:rsidRPr="004A500F" w14:paraId="43C71E2C" w14:textId="77777777" w:rsidTr="687EFF7E">
              <w:trPr>
                <w:trHeight w:val="300"/>
                <w:jc w:val="center"/>
              </w:trPr>
              <w:tc>
                <w:tcPr>
                  <w:tcW w:w="15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5C6CEE3" w14:textId="77777777" w:rsidR="008838AB" w:rsidRPr="004A500F" w:rsidRDefault="008838AB" w:rsidP="008838AB">
                  <w:pPr>
                    <w:rPr>
                      <w:rFonts w:ascii="Verdana" w:hAnsi="Verdana"/>
                      <w:sz w:val="18"/>
                      <w:szCs w:val="18"/>
                    </w:rPr>
                  </w:pPr>
                  <w:r w:rsidRPr="004A500F">
                    <w:rPr>
                      <w:rFonts w:ascii="Verdana" w:hAnsi="Verdana"/>
                      <w:sz w:val="18"/>
                      <w:szCs w:val="18"/>
                    </w:rPr>
                    <w:t>Primaria Incompleta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6FBAD69" w14:textId="77777777" w:rsidR="008838AB" w:rsidRPr="004A500F" w:rsidRDefault="008838AB" w:rsidP="008838AB">
                  <w:pPr>
                    <w:jc w:val="right"/>
                    <w:rPr>
                      <w:rFonts w:ascii="Verdana" w:hAnsi="Verdana"/>
                      <w:sz w:val="18"/>
                      <w:szCs w:val="18"/>
                    </w:rPr>
                  </w:pPr>
                  <w:r w:rsidRPr="004A500F">
                    <w:rPr>
                      <w:rFonts w:ascii="Verdana" w:hAnsi="Verdana"/>
                      <w:sz w:val="18"/>
                      <w:szCs w:val="18"/>
                    </w:rPr>
                    <w:t>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03871E8" w14:textId="77777777" w:rsidR="008838AB" w:rsidRPr="004A500F" w:rsidRDefault="008838AB" w:rsidP="008838AB">
                  <w:pPr>
                    <w:jc w:val="right"/>
                    <w:rPr>
                      <w:rFonts w:ascii="Verdana" w:hAnsi="Verdana"/>
                      <w:sz w:val="18"/>
                      <w:szCs w:val="18"/>
                    </w:rPr>
                  </w:pPr>
                  <w:r w:rsidRPr="004A500F">
                    <w:rPr>
                      <w:rFonts w:ascii="Verdana" w:hAnsi="Verdana"/>
                      <w:sz w:val="18"/>
                      <w:szCs w:val="18"/>
                    </w:rPr>
                    <w:t>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076A62D" w14:textId="77777777" w:rsidR="008838AB" w:rsidRPr="004A500F" w:rsidRDefault="008838AB" w:rsidP="008838AB">
                  <w:pPr>
                    <w:jc w:val="right"/>
                    <w:rPr>
                      <w:rFonts w:ascii="Verdana" w:hAnsi="Verdana"/>
                      <w:sz w:val="18"/>
                      <w:szCs w:val="18"/>
                    </w:rPr>
                  </w:pPr>
                  <w:r w:rsidRPr="004A500F">
                    <w:rPr>
                      <w:rFonts w:ascii="Verdana" w:hAnsi="Verdana"/>
                      <w:sz w:val="18"/>
                      <w:szCs w:val="18"/>
                    </w:rPr>
                    <w:t>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2D1DE77" w14:textId="77777777" w:rsidR="008838AB" w:rsidRPr="004A500F" w:rsidRDefault="008838AB" w:rsidP="008838AB">
                  <w:pPr>
                    <w:jc w:val="right"/>
                    <w:rPr>
                      <w:rFonts w:ascii="Verdana" w:hAnsi="Verdana"/>
                      <w:sz w:val="18"/>
                      <w:szCs w:val="18"/>
                    </w:rPr>
                  </w:pPr>
                  <w:r w:rsidRPr="004A500F">
                    <w:rPr>
                      <w:rFonts w:ascii="Verdana" w:hAnsi="Verdana"/>
                      <w:sz w:val="18"/>
                      <w:szCs w:val="18"/>
                    </w:rPr>
                    <w:t>57 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8507E6D" w14:textId="77777777" w:rsidR="008838AB" w:rsidRPr="004A500F" w:rsidRDefault="008838AB" w:rsidP="008838AB">
                  <w:pPr>
                    <w:jc w:val="right"/>
                    <w:rPr>
                      <w:rFonts w:ascii="Verdana" w:hAnsi="Verdana"/>
                      <w:sz w:val="18"/>
                      <w:szCs w:val="18"/>
                    </w:rPr>
                  </w:pPr>
                  <w:r w:rsidRPr="004A500F">
                    <w:rPr>
                      <w:rFonts w:ascii="Verdana" w:hAnsi="Verdana"/>
                      <w:sz w:val="18"/>
                      <w:szCs w:val="18"/>
                    </w:rPr>
                    <w:t>5 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30F1DE6" w14:textId="77777777" w:rsidR="008838AB" w:rsidRPr="004A500F" w:rsidRDefault="008838AB" w:rsidP="008838AB">
                  <w:pPr>
                    <w:jc w:val="right"/>
                    <w:rPr>
                      <w:rFonts w:ascii="Verdana" w:hAnsi="Verdana"/>
                      <w:sz w:val="18"/>
                      <w:szCs w:val="18"/>
                    </w:rPr>
                  </w:pPr>
                  <w:r w:rsidRPr="004A500F">
                    <w:rPr>
                      <w:rFonts w:ascii="Verdana" w:hAnsi="Verdana"/>
                      <w:sz w:val="18"/>
                      <w:szCs w:val="18"/>
                    </w:rPr>
                    <w:t>4 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FAD599" w14:textId="77777777" w:rsidR="008838AB" w:rsidRPr="004A500F" w:rsidRDefault="008838AB" w:rsidP="008838AB">
                  <w:pPr>
                    <w:jc w:val="right"/>
                    <w:rPr>
                      <w:rFonts w:ascii="Verdana" w:hAnsi="Verdana"/>
                      <w:sz w:val="18"/>
                      <w:szCs w:val="18"/>
                    </w:rPr>
                  </w:pPr>
                  <w:r w:rsidRPr="004A500F">
                    <w:rPr>
                      <w:rFonts w:ascii="Verdana" w:hAnsi="Verdana"/>
                      <w:sz w:val="18"/>
                      <w:szCs w:val="18"/>
                    </w:rPr>
                    <w:t>15 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2E12EA3" w14:textId="77777777" w:rsidR="008838AB" w:rsidRPr="004A500F" w:rsidRDefault="008838AB" w:rsidP="008838AB">
                  <w:pPr>
                    <w:jc w:val="right"/>
                    <w:rPr>
                      <w:rFonts w:ascii="Verdana" w:hAnsi="Verdana"/>
                      <w:sz w:val="18"/>
                      <w:szCs w:val="18"/>
                    </w:rPr>
                  </w:pPr>
                  <w:r w:rsidRPr="004A500F">
                    <w:rPr>
                      <w:rFonts w:ascii="Verdana" w:hAnsi="Verdana"/>
                      <w:sz w:val="18"/>
                      <w:szCs w:val="18"/>
                    </w:rPr>
                    <w:t>67 </w:t>
                  </w:r>
                </w:p>
              </w:tc>
            </w:tr>
            <w:tr w:rsidR="008838AB" w:rsidRPr="004A500F" w14:paraId="6A64B332" w14:textId="77777777" w:rsidTr="687EFF7E">
              <w:trPr>
                <w:trHeight w:val="300"/>
                <w:jc w:val="center"/>
              </w:trPr>
              <w:tc>
                <w:tcPr>
                  <w:tcW w:w="15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8DD5AAC" w14:textId="77777777" w:rsidR="008838AB" w:rsidRPr="004A500F" w:rsidRDefault="008838AB" w:rsidP="008838AB">
                  <w:pPr>
                    <w:rPr>
                      <w:rFonts w:ascii="Verdana" w:hAnsi="Verdana"/>
                      <w:sz w:val="18"/>
                      <w:szCs w:val="18"/>
                    </w:rPr>
                  </w:pPr>
                  <w:r w:rsidRPr="004A500F">
                    <w:rPr>
                      <w:rFonts w:ascii="Verdana" w:hAnsi="Verdana"/>
                      <w:sz w:val="18"/>
                      <w:szCs w:val="18"/>
                    </w:rPr>
                    <w:t>Secundaria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EEC4668" w14:textId="77777777" w:rsidR="008838AB" w:rsidRPr="004A500F" w:rsidRDefault="008838AB" w:rsidP="008838AB">
                  <w:pPr>
                    <w:jc w:val="right"/>
                    <w:rPr>
                      <w:rFonts w:ascii="Verdana" w:hAnsi="Verdana"/>
                      <w:sz w:val="18"/>
                      <w:szCs w:val="18"/>
                    </w:rPr>
                  </w:pPr>
                  <w:r w:rsidRPr="004A500F">
                    <w:rPr>
                      <w:rFonts w:ascii="Verdana" w:hAnsi="Verdana"/>
                      <w:sz w:val="18"/>
                      <w:szCs w:val="18"/>
                    </w:rPr>
                    <w:t>257 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9560062" w14:textId="77777777" w:rsidR="008838AB" w:rsidRPr="004A500F" w:rsidRDefault="008838AB" w:rsidP="008838AB">
                  <w:pPr>
                    <w:jc w:val="right"/>
                    <w:rPr>
                      <w:rFonts w:ascii="Verdana" w:hAnsi="Verdana"/>
                      <w:sz w:val="18"/>
                      <w:szCs w:val="18"/>
                    </w:rPr>
                  </w:pPr>
                  <w:r w:rsidRPr="004A500F">
                    <w:rPr>
                      <w:rFonts w:ascii="Verdana" w:hAnsi="Verdana"/>
                      <w:sz w:val="18"/>
                      <w:szCs w:val="18"/>
                    </w:rPr>
                    <w:t>594 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359B280" w14:textId="77777777" w:rsidR="008838AB" w:rsidRPr="004A500F" w:rsidRDefault="008838AB" w:rsidP="008838AB">
                  <w:pPr>
                    <w:jc w:val="right"/>
                    <w:rPr>
                      <w:rFonts w:ascii="Verdana" w:hAnsi="Verdana"/>
                      <w:sz w:val="18"/>
                      <w:szCs w:val="18"/>
                    </w:rPr>
                  </w:pPr>
                  <w:r w:rsidRPr="004A500F">
                    <w:rPr>
                      <w:rFonts w:ascii="Verdana" w:hAnsi="Verdana"/>
                      <w:sz w:val="18"/>
                      <w:szCs w:val="18"/>
                    </w:rPr>
                    <w:t>359 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321BEED" w14:textId="77777777" w:rsidR="008838AB" w:rsidRPr="004A500F" w:rsidRDefault="008838AB" w:rsidP="008838AB">
                  <w:pPr>
                    <w:jc w:val="right"/>
                    <w:rPr>
                      <w:rFonts w:ascii="Verdana" w:hAnsi="Verdana"/>
                      <w:sz w:val="18"/>
                      <w:szCs w:val="18"/>
                    </w:rPr>
                  </w:pPr>
                  <w:r w:rsidRPr="004A500F">
                    <w:rPr>
                      <w:rFonts w:ascii="Verdana" w:hAnsi="Verdana"/>
                      <w:sz w:val="18"/>
                      <w:szCs w:val="18"/>
                    </w:rPr>
                    <w:t>362 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0A66FA0" w14:textId="77777777" w:rsidR="008838AB" w:rsidRPr="004A500F" w:rsidRDefault="008838AB" w:rsidP="008838AB">
                  <w:pPr>
                    <w:jc w:val="right"/>
                    <w:rPr>
                      <w:rFonts w:ascii="Verdana" w:hAnsi="Verdana"/>
                      <w:sz w:val="18"/>
                      <w:szCs w:val="18"/>
                    </w:rPr>
                  </w:pPr>
                  <w:r w:rsidRPr="004A500F">
                    <w:rPr>
                      <w:rFonts w:ascii="Verdana" w:hAnsi="Verdana"/>
                      <w:sz w:val="18"/>
                      <w:szCs w:val="18"/>
                    </w:rPr>
                    <w:t>223 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C152BB0" w14:textId="77777777" w:rsidR="008838AB" w:rsidRPr="004A500F" w:rsidRDefault="008838AB" w:rsidP="008838AB">
                  <w:pPr>
                    <w:jc w:val="right"/>
                    <w:rPr>
                      <w:rFonts w:ascii="Verdana" w:hAnsi="Verdana"/>
                      <w:sz w:val="18"/>
                      <w:szCs w:val="18"/>
                    </w:rPr>
                  </w:pPr>
                  <w:r w:rsidRPr="004A500F">
                    <w:rPr>
                      <w:rFonts w:ascii="Verdana" w:hAnsi="Verdana"/>
                      <w:sz w:val="18"/>
                      <w:szCs w:val="18"/>
                    </w:rPr>
                    <w:t>235 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339BB41" w14:textId="77777777" w:rsidR="008838AB" w:rsidRPr="004A500F" w:rsidRDefault="008838AB" w:rsidP="008838AB">
                  <w:pPr>
                    <w:jc w:val="right"/>
                    <w:rPr>
                      <w:rFonts w:ascii="Verdana" w:hAnsi="Verdana"/>
                      <w:sz w:val="18"/>
                      <w:szCs w:val="18"/>
                    </w:rPr>
                  </w:pPr>
                  <w:r w:rsidRPr="004A500F">
                    <w:rPr>
                      <w:rFonts w:ascii="Verdana" w:hAnsi="Verdana"/>
                      <w:sz w:val="18"/>
                      <w:szCs w:val="18"/>
                    </w:rPr>
                    <w:t>185 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8D18EEC" w14:textId="77777777" w:rsidR="008838AB" w:rsidRPr="004A500F" w:rsidRDefault="008838AB" w:rsidP="008838AB">
                  <w:pPr>
                    <w:jc w:val="right"/>
                    <w:rPr>
                      <w:rFonts w:ascii="Verdana" w:hAnsi="Verdana"/>
                      <w:sz w:val="18"/>
                      <w:szCs w:val="18"/>
                    </w:rPr>
                  </w:pPr>
                  <w:r w:rsidRPr="004A500F">
                    <w:rPr>
                      <w:rFonts w:ascii="Verdana" w:hAnsi="Verdana"/>
                      <w:sz w:val="18"/>
                      <w:szCs w:val="18"/>
                    </w:rPr>
                    <w:t>252 </w:t>
                  </w:r>
                </w:p>
              </w:tc>
            </w:tr>
            <w:tr w:rsidR="008838AB" w:rsidRPr="004A500F" w14:paraId="353205E0" w14:textId="77777777" w:rsidTr="687EFF7E">
              <w:trPr>
                <w:trHeight w:val="300"/>
                <w:jc w:val="center"/>
              </w:trPr>
              <w:tc>
                <w:tcPr>
                  <w:tcW w:w="15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43B7F99" w14:textId="77777777" w:rsidR="008838AB" w:rsidRPr="004A500F" w:rsidRDefault="008838AB" w:rsidP="008838AB">
                  <w:pPr>
                    <w:rPr>
                      <w:rFonts w:ascii="Verdana" w:hAnsi="Verdana"/>
                      <w:sz w:val="18"/>
                      <w:szCs w:val="18"/>
                    </w:rPr>
                  </w:pPr>
                  <w:r w:rsidRPr="004A500F">
                    <w:rPr>
                      <w:rFonts w:ascii="Verdana" w:hAnsi="Verdana"/>
                      <w:sz w:val="18"/>
                      <w:szCs w:val="18"/>
                    </w:rPr>
                    <w:t>Secundaria Incompleta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99AE2C7" w14:textId="77777777" w:rsidR="008838AB" w:rsidRPr="004A500F" w:rsidRDefault="008838AB" w:rsidP="008838AB">
                  <w:pPr>
                    <w:jc w:val="right"/>
                    <w:rPr>
                      <w:rFonts w:ascii="Verdana" w:hAnsi="Verdana"/>
                      <w:sz w:val="18"/>
                      <w:szCs w:val="18"/>
                    </w:rPr>
                  </w:pPr>
                  <w:r w:rsidRPr="004A500F">
                    <w:rPr>
                      <w:rFonts w:ascii="Verdana" w:hAnsi="Verdana"/>
                      <w:sz w:val="18"/>
                      <w:szCs w:val="18"/>
                    </w:rPr>
                    <w:t>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5FAD018" w14:textId="77777777" w:rsidR="008838AB" w:rsidRPr="004A500F" w:rsidRDefault="008838AB" w:rsidP="008838AB">
                  <w:pPr>
                    <w:jc w:val="right"/>
                    <w:rPr>
                      <w:rFonts w:ascii="Verdana" w:hAnsi="Verdana"/>
                      <w:sz w:val="18"/>
                      <w:szCs w:val="18"/>
                    </w:rPr>
                  </w:pPr>
                  <w:r w:rsidRPr="004A500F">
                    <w:rPr>
                      <w:rFonts w:ascii="Verdana" w:hAnsi="Verdana"/>
                      <w:sz w:val="18"/>
                      <w:szCs w:val="18"/>
                    </w:rPr>
                    <w:t>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20E26D3" w14:textId="77777777" w:rsidR="008838AB" w:rsidRPr="004A500F" w:rsidRDefault="008838AB" w:rsidP="008838AB">
                  <w:pPr>
                    <w:jc w:val="right"/>
                    <w:rPr>
                      <w:rFonts w:ascii="Verdana" w:hAnsi="Verdana"/>
                      <w:sz w:val="18"/>
                      <w:szCs w:val="18"/>
                    </w:rPr>
                  </w:pPr>
                  <w:r w:rsidRPr="004A500F">
                    <w:rPr>
                      <w:rFonts w:ascii="Verdana" w:hAnsi="Verdana"/>
                      <w:sz w:val="18"/>
                      <w:szCs w:val="18"/>
                    </w:rPr>
                    <w:t>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3F43B1A" w14:textId="77777777" w:rsidR="008838AB" w:rsidRPr="004A500F" w:rsidRDefault="008838AB" w:rsidP="008838AB">
                  <w:pPr>
                    <w:jc w:val="right"/>
                    <w:rPr>
                      <w:rFonts w:ascii="Verdana" w:hAnsi="Verdana"/>
                      <w:sz w:val="18"/>
                      <w:szCs w:val="18"/>
                    </w:rPr>
                  </w:pPr>
                  <w:r w:rsidRPr="004A500F">
                    <w:rPr>
                      <w:rFonts w:ascii="Verdana" w:hAnsi="Verdana"/>
                      <w:sz w:val="18"/>
                      <w:szCs w:val="18"/>
                    </w:rPr>
                    <w:t>110 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B8C351B" w14:textId="77777777" w:rsidR="008838AB" w:rsidRPr="004A500F" w:rsidRDefault="008838AB" w:rsidP="008838AB">
                  <w:pPr>
                    <w:jc w:val="right"/>
                    <w:rPr>
                      <w:rFonts w:ascii="Verdana" w:hAnsi="Verdana"/>
                      <w:sz w:val="18"/>
                      <w:szCs w:val="18"/>
                    </w:rPr>
                  </w:pPr>
                  <w:r w:rsidRPr="004A500F">
                    <w:rPr>
                      <w:rFonts w:ascii="Verdana" w:hAnsi="Verdana"/>
                      <w:sz w:val="18"/>
                      <w:szCs w:val="18"/>
                    </w:rPr>
                    <w:t>3 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CDE0C6C" w14:textId="77777777" w:rsidR="008838AB" w:rsidRPr="004A500F" w:rsidRDefault="008838AB" w:rsidP="008838AB">
                  <w:pPr>
                    <w:jc w:val="right"/>
                    <w:rPr>
                      <w:rFonts w:ascii="Verdana" w:hAnsi="Verdana"/>
                      <w:sz w:val="18"/>
                      <w:szCs w:val="18"/>
                    </w:rPr>
                  </w:pPr>
                  <w:r w:rsidRPr="004A500F">
                    <w:rPr>
                      <w:rFonts w:ascii="Verdana" w:hAnsi="Verdana"/>
                      <w:sz w:val="18"/>
                      <w:szCs w:val="18"/>
                    </w:rPr>
                    <w:t>5 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D8F6D3E" w14:textId="77777777" w:rsidR="008838AB" w:rsidRPr="004A500F" w:rsidRDefault="008838AB" w:rsidP="008838AB">
                  <w:pPr>
                    <w:jc w:val="right"/>
                    <w:rPr>
                      <w:rFonts w:ascii="Verdana" w:hAnsi="Verdana"/>
                      <w:sz w:val="18"/>
                      <w:szCs w:val="18"/>
                    </w:rPr>
                  </w:pPr>
                  <w:r w:rsidRPr="004A500F">
                    <w:rPr>
                      <w:rFonts w:ascii="Verdana" w:hAnsi="Verdana"/>
                      <w:sz w:val="18"/>
                      <w:szCs w:val="18"/>
                    </w:rPr>
                    <w:t>32 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25EAD7A" w14:textId="77777777" w:rsidR="008838AB" w:rsidRPr="004A500F" w:rsidRDefault="008838AB" w:rsidP="008838AB">
                  <w:pPr>
                    <w:jc w:val="right"/>
                    <w:rPr>
                      <w:rFonts w:ascii="Verdana" w:hAnsi="Verdana"/>
                      <w:sz w:val="18"/>
                      <w:szCs w:val="18"/>
                    </w:rPr>
                  </w:pPr>
                  <w:r w:rsidRPr="004A500F">
                    <w:rPr>
                      <w:rFonts w:ascii="Verdana" w:hAnsi="Verdana"/>
                      <w:sz w:val="18"/>
                      <w:szCs w:val="18"/>
                    </w:rPr>
                    <w:t>103 </w:t>
                  </w:r>
                </w:p>
              </w:tc>
            </w:tr>
            <w:tr w:rsidR="008838AB" w:rsidRPr="004A500F" w14:paraId="312894C8" w14:textId="77777777" w:rsidTr="687EFF7E">
              <w:trPr>
                <w:trHeight w:val="300"/>
                <w:jc w:val="center"/>
              </w:trPr>
              <w:tc>
                <w:tcPr>
                  <w:tcW w:w="15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B183339" w14:textId="77777777" w:rsidR="008838AB" w:rsidRPr="004A500F" w:rsidRDefault="008838AB" w:rsidP="008838AB">
                  <w:pPr>
                    <w:rPr>
                      <w:rFonts w:ascii="Verdana" w:hAnsi="Verdana"/>
                      <w:sz w:val="18"/>
                      <w:szCs w:val="18"/>
                    </w:rPr>
                  </w:pPr>
                  <w:r w:rsidRPr="004A500F">
                    <w:rPr>
                      <w:rFonts w:ascii="Verdana" w:hAnsi="Verdana"/>
                      <w:sz w:val="18"/>
                      <w:szCs w:val="18"/>
                    </w:rPr>
                    <w:t>Técnico/Tecnólogo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A71EB2C" w14:textId="77777777" w:rsidR="008838AB" w:rsidRPr="004A500F" w:rsidRDefault="008838AB" w:rsidP="008838AB">
                  <w:pPr>
                    <w:jc w:val="right"/>
                    <w:rPr>
                      <w:rFonts w:ascii="Verdana" w:hAnsi="Verdana"/>
                      <w:sz w:val="18"/>
                      <w:szCs w:val="18"/>
                    </w:rPr>
                  </w:pPr>
                  <w:r w:rsidRPr="004A500F">
                    <w:rPr>
                      <w:rFonts w:ascii="Verdana" w:hAnsi="Verdana"/>
                      <w:sz w:val="18"/>
                      <w:szCs w:val="18"/>
                    </w:rPr>
                    <w:t>13 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F57CC2E" w14:textId="77777777" w:rsidR="008838AB" w:rsidRPr="004A500F" w:rsidRDefault="008838AB" w:rsidP="008838AB">
                  <w:pPr>
                    <w:jc w:val="right"/>
                    <w:rPr>
                      <w:rFonts w:ascii="Verdana" w:hAnsi="Verdana"/>
                      <w:sz w:val="18"/>
                      <w:szCs w:val="18"/>
                    </w:rPr>
                  </w:pPr>
                  <w:r w:rsidRPr="004A500F">
                    <w:rPr>
                      <w:rFonts w:ascii="Verdana" w:hAnsi="Verdana"/>
                      <w:sz w:val="18"/>
                      <w:szCs w:val="18"/>
                    </w:rPr>
                    <w:t>21 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640C858" w14:textId="77777777" w:rsidR="008838AB" w:rsidRPr="004A500F" w:rsidRDefault="008838AB" w:rsidP="008838AB">
                  <w:pPr>
                    <w:jc w:val="right"/>
                    <w:rPr>
                      <w:rFonts w:ascii="Verdana" w:hAnsi="Verdana"/>
                      <w:sz w:val="18"/>
                      <w:szCs w:val="18"/>
                    </w:rPr>
                  </w:pPr>
                  <w:r w:rsidRPr="004A500F">
                    <w:rPr>
                      <w:rFonts w:ascii="Verdana" w:hAnsi="Verdana"/>
                      <w:sz w:val="18"/>
                      <w:szCs w:val="18"/>
                    </w:rPr>
                    <w:t>25 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E52A451" w14:textId="77777777" w:rsidR="008838AB" w:rsidRPr="004A500F" w:rsidRDefault="008838AB" w:rsidP="008838AB">
                  <w:pPr>
                    <w:jc w:val="right"/>
                    <w:rPr>
                      <w:rFonts w:ascii="Verdana" w:hAnsi="Verdana"/>
                      <w:sz w:val="18"/>
                      <w:szCs w:val="18"/>
                    </w:rPr>
                  </w:pPr>
                  <w:r w:rsidRPr="004A500F">
                    <w:rPr>
                      <w:rFonts w:ascii="Verdana" w:hAnsi="Verdana"/>
                      <w:sz w:val="18"/>
                      <w:szCs w:val="18"/>
                    </w:rPr>
                    <w:t>21 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376BB26" w14:textId="77777777" w:rsidR="008838AB" w:rsidRPr="004A500F" w:rsidRDefault="008838AB" w:rsidP="008838AB">
                  <w:pPr>
                    <w:jc w:val="right"/>
                    <w:rPr>
                      <w:rFonts w:ascii="Verdana" w:hAnsi="Verdana"/>
                      <w:sz w:val="18"/>
                      <w:szCs w:val="18"/>
                    </w:rPr>
                  </w:pPr>
                  <w:r w:rsidRPr="004A500F">
                    <w:rPr>
                      <w:rFonts w:ascii="Verdana" w:hAnsi="Verdana"/>
                      <w:sz w:val="18"/>
                      <w:szCs w:val="18"/>
                    </w:rPr>
                    <w:t>2 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CF6873C" w14:textId="77777777" w:rsidR="008838AB" w:rsidRPr="004A500F" w:rsidRDefault="008838AB" w:rsidP="008838AB">
                  <w:pPr>
                    <w:jc w:val="right"/>
                    <w:rPr>
                      <w:rFonts w:ascii="Verdana" w:hAnsi="Verdana"/>
                      <w:sz w:val="18"/>
                      <w:szCs w:val="18"/>
                    </w:rPr>
                  </w:pPr>
                  <w:r w:rsidRPr="004A500F">
                    <w:rPr>
                      <w:rFonts w:ascii="Verdana" w:hAnsi="Verdana"/>
                      <w:sz w:val="18"/>
                      <w:szCs w:val="18"/>
                    </w:rPr>
                    <w:t>12 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8AEC7F7" w14:textId="77777777" w:rsidR="008838AB" w:rsidRPr="004A500F" w:rsidRDefault="008838AB" w:rsidP="008838AB">
                  <w:pPr>
                    <w:jc w:val="right"/>
                    <w:rPr>
                      <w:rFonts w:ascii="Verdana" w:hAnsi="Verdana"/>
                      <w:sz w:val="18"/>
                      <w:szCs w:val="18"/>
                    </w:rPr>
                  </w:pPr>
                  <w:r w:rsidRPr="004A500F">
                    <w:rPr>
                      <w:rFonts w:ascii="Verdana" w:hAnsi="Verdana"/>
                      <w:sz w:val="18"/>
                      <w:szCs w:val="18"/>
                    </w:rPr>
                    <w:t>14 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43A06EE" w14:textId="77777777" w:rsidR="008838AB" w:rsidRPr="004A500F" w:rsidRDefault="008838AB" w:rsidP="008838AB">
                  <w:pPr>
                    <w:jc w:val="right"/>
                    <w:rPr>
                      <w:rFonts w:ascii="Verdana" w:hAnsi="Verdana"/>
                      <w:sz w:val="18"/>
                      <w:szCs w:val="18"/>
                    </w:rPr>
                  </w:pPr>
                  <w:r w:rsidRPr="004A500F">
                    <w:rPr>
                      <w:rFonts w:ascii="Verdana" w:hAnsi="Verdana"/>
                      <w:sz w:val="18"/>
                      <w:szCs w:val="18"/>
                    </w:rPr>
                    <w:t>17 </w:t>
                  </w:r>
                </w:p>
              </w:tc>
            </w:tr>
            <w:tr w:rsidR="008838AB" w:rsidRPr="004A500F" w14:paraId="258E2213" w14:textId="77777777" w:rsidTr="687EFF7E">
              <w:trPr>
                <w:trHeight w:val="300"/>
                <w:jc w:val="center"/>
              </w:trPr>
              <w:tc>
                <w:tcPr>
                  <w:tcW w:w="15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CE07898" w14:textId="77777777" w:rsidR="008838AB" w:rsidRPr="004A500F" w:rsidRDefault="008838AB" w:rsidP="008838AB">
                  <w:pPr>
                    <w:rPr>
                      <w:rFonts w:ascii="Verdana" w:hAnsi="Verdana"/>
                      <w:sz w:val="18"/>
                      <w:szCs w:val="18"/>
                    </w:rPr>
                  </w:pPr>
                  <w:r w:rsidRPr="004A500F">
                    <w:rPr>
                      <w:rFonts w:ascii="Verdana" w:hAnsi="Verdana"/>
                      <w:sz w:val="18"/>
                      <w:szCs w:val="18"/>
                    </w:rPr>
                    <w:t>Profesional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A7F6B69" w14:textId="77777777" w:rsidR="008838AB" w:rsidRPr="004A500F" w:rsidRDefault="008838AB" w:rsidP="008838AB">
                  <w:pPr>
                    <w:jc w:val="right"/>
                    <w:rPr>
                      <w:rFonts w:ascii="Verdana" w:hAnsi="Verdana"/>
                      <w:sz w:val="18"/>
                      <w:szCs w:val="18"/>
                    </w:rPr>
                  </w:pPr>
                  <w:r w:rsidRPr="004A500F">
                    <w:rPr>
                      <w:rFonts w:ascii="Verdana" w:hAnsi="Verdana"/>
                      <w:sz w:val="18"/>
                      <w:szCs w:val="18"/>
                    </w:rPr>
                    <w:t>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5486F4B" w14:textId="77777777" w:rsidR="008838AB" w:rsidRPr="004A500F" w:rsidRDefault="008838AB" w:rsidP="008838AB">
                  <w:pPr>
                    <w:jc w:val="right"/>
                    <w:rPr>
                      <w:rFonts w:ascii="Verdana" w:hAnsi="Verdana"/>
                      <w:sz w:val="18"/>
                      <w:szCs w:val="18"/>
                    </w:rPr>
                  </w:pPr>
                  <w:r w:rsidRPr="004A500F">
                    <w:rPr>
                      <w:rFonts w:ascii="Verdana" w:hAnsi="Verdana"/>
                      <w:sz w:val="18"/>
                      <w:szCs w:val="18"/>
                    </w:rPr>
                    <w:t>16 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6E2430D" w14:textId="77777777" w:rsidR="008838AB" w:rsidRPr="004A500F" w:rsidRDefault="008838AB" w:rsidP="008838AB">
                  <w:pPr>
                    <w:jc w:val="right"/>
                    <w:rPr>
                      <w:rFonts w:ascii="Verdana" w:hAnsi="Verdana"/>
                      <w:sz w:val="18"/>
                      <w:szCs w:val="18"/>
                    </w:rPr>
                  </w:pPr>
                  <w:r w:rsidRPr="004A500F">
                    <w:rPr>
                      <w:rFonts w:ascii="Verdana" w:hAnsi="Verdana"/>
                      <w:sz w:val="18"/>
                      <w:szCs w:val="18"/>
                    </w:rPr>
                    <w:t>6 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133030C" w14:textId="77777777" w:rsidR="008838AB" w:rsidRPr="004A500F" w:rsidRDefault="008838AB" w:rsidP="008838AB">
                  <w:pPr>
                    <w:jc w:val="right"/>
                    <w:rPr>
                      <w:rFonts w:ascii="Verdana" w:hAnsi="Verdana"/>
                      <w:sz w:val="18"/>
                      <w:szCs w:val="18"/>
                    </w:rPr>
                  </w:pPr>
                  <w:r w:rsidRPr="004A500F">
                    <w:rPr>
                      <w:rFonts w:ascii="Verdana" w:hAnsi="Verdana"/>
                      <w:sz w:val="18"/>
                      <w:szCs w:val="18"/>
                    </w:rPr>
                    <w:t>4 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D08951D" w14:textId="77777777" w:rsidR="008838AB" w:rsidRPr="004A500F" w:rsidRDefault="008838AB" w:rsidP="008838AB">
                  <w:pPr>
                    <w:jc w:val="right"/>
                    <w:rPr>
                      <w:rFonts w:ascii="Verdana" w:hAnsi="Verdana"/>
                      <w:sz w:val="18"/>
                      <w:szCs w:val="18"/>
                    </w:rPr>
                  </w:pPr>
                  <w:r w:rsidRPr="004A500F">
                    <w:rPr>
                      <w:rFonts w:ascii="Verdana" w:hAnsi="Verdana"/>
                      <w:sz w:val="18"/>
                      <w:szCs w:val="18"/>
                    </w:rPr>
                    <w:t>1 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D4D4463" w14:textId="77777777" w:rsidR="008838AB" w:rsidRPr="004A500F" w:rsidRDefault="008838AB" w:rsidP="008838AB">
                  <w:pPr>
                    <w:jc w:val="right"/>
                    <w:rPr>
                      <w:rFonts w:ascii="Verdana" w:hAnsi="Verdana"/>
                      <w:sz w:val="18"/>
                      <w:szCs w:val="18"/>
                    </w:rPr>
                  </w:pPr>
                  <w:r w:rsidRPr="004A500F">
                    <w:rPr>
                      <w:rFonts w:ascii="Verdana" w:hAnsi="Verdana"/>
                      <w:sz w:val="18"/>
                      <w:szCs w:val="18"/>
                    </w:rPr>
                    <w:t>1 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84580EA" w14:textId="77777777" w:rsidR="008838AB" w:rsidRPr="004A500F" w:rsidRDefault="008838AB" w:rsidP="008838AB">
                  <w:pPr>
                    <w:jc w:val="right"/>
                    <w:rPr>
                      <w:rFonts w:ascii="Verdana" w:hAnsi="Verdana"/>
                      <w:sz w:val="18"/>
                      <w:szCs w:val="18"/>
                    </w:rPr>
                  </w:pPr>
                  <w:r w:rsidRPr="004A500F">
                    <w:rPr>
                      <w:rFonts w:ascii="Verdana" w:hAnsi="Verdana"/>
                      <w:sz w:val="18"/>
                      <w:szCs w:val="18"/>
                    </w:rPr>
                    <w:t>1 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D6F654E" w14:textId="77777777" w:rsidR="008838AB" w:rsidRPr="004A500F" w:rsidRDefault="008838AB" w:rsidP="008838AB">
                  <w:pPr>
                    <w:jc w:val="right"/>
                    <w:rPr>
                      <w:rFonts w:ascii="Verdana" w:hAnsi="Verdana"/>
                      <w:sz w:val="18"/>
                      <w:szCs w:val="18"/>
                    </w:rPr>
                  </w:pPr>
                  <w:r w:rsidRPr="004A500F">
                    <w:rPr>
                      <w:rFonts w:ascii="Verdana" w:hAnsi="Verdana"/>
                      <w:sz w:val="18"/>
                      <w:szCs w:val="18"/>
                    </w:rPr>
                    <w:t>1 </w:t>
                  </w:r>
                </w:p>
              </w:tc>
            </w:tr>
            <w:tr w:rsidR="008838AB" w:rsidRPr="004A500F" w14:paraId="3C8AD888" w14:textId="77777777" w:rsidTr="687EFF7E">
              <w:trPr>
                <w:trHeight w:val="300"/>
                <w:jc w:val="center"/>
              </w:trPr>
              <w:tc>
                <w:tcPr>
                  <w:tcW w:w="15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8BE0A58" w14:textId="77777777" w:rsidR="008838AB" w:rsidRPr="004A500F" w:rsidRDefault="008838AB" w:rsidP="008838AB">
                  <w:pPr>
                    <w:rPr>
                      <w:rFonts w:ascii="Verdana" w:hAnsi="Verdana"/>
                      <w:sz w:val="18"/>
                      <w:szCs w:val="18"/>
                    </w:rPr>
                  </w:pPr>
                  <w:r w:rsidRPr="004A500F">
                    <w:rPr>
                      <w:rFonts w:ascii="Verdana" w:hAnsi="Verdana"/>
                      <w:sz w:val="18"/>
                      <w:szCs w:val="18"/>
                    </w:rPr>
                    <w:t>Sin Información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9FAAD6" w14:textId="77777777" w:rsidR="008838AB" w:rsidRPr="004A500F" w:rsidRDefault="008838AB" w:rsidP="008838AB">
                  <w:pPr>
                    <w:jc w:val="right"/>
                    <w:rPr>
                      <w:rFonts w:ascii="Verdana" w:hAnsi="Verdana"/>
                      <w:sz w:val="18"/>
                      <w:szCs w:val="18"/>
                    </w:rPr>
                  </w:pPr>
                  <w:r w:rsidRPr="004A500F">
                    <w:rPr>
                      <w:rFonts w:ascii="Verdana" w:hAnsi="Verdana"/>
                      <w:sz w:val="18"/>
                      <w:szCs w:val="18"/>
                    </w:rPr>
                    <w:t>339 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169978D" w14:textId="77777777" w:rsidR="008838AB" w:rsidRPr="004A500F" w:rsidRDefault="008838AB" w:rsidP="008838AB">
                  <w:pPr>
                    <w:jc w:val="right"/>
                    <w:rPr>
                      <w:rFonts w:ascii="Verdana" w:hAnsi="Verdana"/>
                      <w:sz w:val="18"/>
                      <w:szCs w:val="18"/>
                    </w:rPr>
                  </w:pPr>
                  <w:r w:rsidRPr="004A500F">
                    <w:rPr>
                      <w:rFonts w:ascii="Verdana" w:hAnsi="Verdana"/>
                      <w:sz w:val="18"/>
                      <w:szCs w:val="18"/>
                    </w:rPr>
                    <w:t>487 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AE7E4D3" w14:textId="77777777" w:rsidR="008838AB" w:rsidRPr="004A500F" w:rsidRDefault="008838AB" w:rsidP="008838AB">
                  <w:pPr>
                    <w:jc w:val="right"/>
                    <w:rPr>
                      <w:rFonts w:ascii="Verdana" w:hAnsi="Verdana"/>
                      <w:sz w:val="18"/>
                      <w:szCs w:val="18"/>
                    </w:rPr>
                  </w:pPr>
                  <w:r w:rsidRPr="004A500F">
                    <w:rPr>
                      <w:rFonts w:ascii="Verdana" w:hAnsi="Verdana"/>
                      <w:sz w:val="18"/>
                      <w:szCs w:val="18"/>
                    </w:rPr>
                    <w:t>116 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423C01" w14:textId="77777777" w:rsidR="008838AB" w:rsidRPr="004A500F" w:rsidRDefault="008838AB" w:rsidP="008838AB">
                  <w:pPr>
                    <w:jc w:val="right"/>
                    <w:rPr>
                      <w:rFonts w:ascii="Verdana" w:hAnsi="Verdana"/>
                      <w:sz w:val="18"/>
                      <w:szCs w:val="18"/>
                    </w:rPr>
                  </w:pPr>
                  <w:r w:rsidRPr="004A500F">
                    <w:rPr>
                      <w:rFonts w:ascii="Verdana" w:hAnsi="Verdana"/>
                      <w:sz w:val="18"/>
                      <w:szCs w:val="18"/>
                    </w:rPr>
                    <w:t>68 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104EBE5" w14:textId="77777777" w:rsidR="008838AB" w:rsidRPr="004A500F" w:rsidRDefault="008838AB" w:rsidP="008838AB">
                  <w:pPr>
                    <w:jc w:val="right"/>
                    <w:rPr>
                      <w:rFonts w:ascii="Verdana" w:hAnsi="Verdana"/>
                      <w:sz w:val="18"/>
                      <w:szCs w:val="18"/>
                    </w:rPr>
                  </w:pPr>
                  <w:r w:rsidRPr="004A500F">
                    <w:rPr>
                      <w:rFonts w:ascii="Verdana" w:hAnsi="Verdana"/>
                      <w:sz w:val="18"/>
                      <w:szCs w:val="18"/>
                    </w:rPr>
                    <w:t>123 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4DAA201" w14:textId="77777777" w:rsidR="008838AB" w:rsidRPr="004A500F" w:rsidRDefault="008838AB" w:rsidP="008838AB">
                  <w:pPr>
                    <w:jc w:val="right"/>
                    <w:rPr>
                      <w:rFonts w:ascii="Verdana" w:hAnsi="Verdana"/>
                      <w:sz w:val="18"/>
                      <w:szCs w:val="18"/>
                    </w:rPr>
                  </w:pPr>
                  <w:r w:rsidRPr="004A500F">
                    <w:rPr>
                      <w:rFonts w:ascii="Verdana" w:hAnsi="Verdana"/>
                      <w:sz w:val="18"/>
                      <w:szCs w:val="18"/>
                    </w:rPr>
                    <w:t>102 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285FD45" w14:textId="77777777" w:rsidR="008838AB" w:rsidRPr="004A500F" w:rsidRDefault="008838AB" w:rsidP="008838AB">
                  <w:pPr>
                    <w:jc w:val="right"/>
                    <w:rPr>
                      <w:rFonts w:ascii="Verdana" w:hAnsi="Verdana"/>
                      <w:sz w:val="18"/>
                      <w:szCs w:val="18"/>
                    </w:rPr>
                  </w:pPr>
                  <w:r w:rsidRPr="004A500F">
                    <w:rPr>
                      <w:rFonts w:ascii="Verdana" w:hAnsi="Verdana"/>
                      <w:sz w:val="18"/>
                      <w:szCs w:val="18"/>
                    </w:rPr>
                    <w:t>24 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521209" w14:textId="77777777" w:rsidR="008838AB" w:rsidRPr="004A500F" w:rsidRDefault="008838AB" w:rsidP="008838AB">
                  <w:pPr>
                    <w:jc w:val="right"/>
                    <w:rPr>
                      <w:rFonts w:ascii="Verdana" w:hAnsi="Verdana"/>
                      <w:sz w:val="18"/>
                      <w:szCs w:val="18"/>
                    </w:rPr>
                  </w:pPr>
                  <w:r w:rsidRPr="004A500F">
                    <w:rPr>
                      <w:rFonts w:ascii="Verdana" w:hAnsi="Verdana"/>
                      <w:sz w:val="18"/>
                      <w:szCs w:val="18"/>
                    </w:rPr>
                    <w:t>54 </w:t>
                  </w:r>
                </w:p>
              </w:tc>
            </w:tr>
            <w:tr w:rsidR="008838AB" w:rsidRPr="004A500F" w14:paraId="3E67BF83" w14:textId="77777777" w:rsidTr="687EFF7E">
              <w:trPr>
                <w:trHeight w:val="300"/>
                <w:jc w:val="center"/>
              </w:trPr>
              <w:tc>
                <w:tcPr>
                  <w:tcW w:w="15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A1BD83" w14:textId="77777777" w:rsidR="008838AB" w:rsidRPr="004A500F" w:rsidRDefault="008838AB" w:rsidP="008838AB">
                  <w:pPr>
                    <w:rPr>
                      <w:rFonts w:ascii="Verdana" w:hAnsi="Verdana"/>
                      <w:sz w:val="18"/>
                      <w:szCs w:val="18"/>
                    </w:rPr>
                  </w:pPr>
                  <w:proofErr w:type="gramStart"/>
                  <w:r w:rsidRPr="004A500F">
                    <w:rPr>
                      <w:rFonts w:ascii="Verdana" w:hAnsi="Verdana"/>
                      <w:sz w:val="18"/>
                      <w:szCs w:val="18"/>
                    </w:rPr>
                    <w:t>Total</w:t>
                  </w:r>
                  <w:proofErr w:type="gramEnd"/>
                  <w:r w:rsidRPr="004A500F">
                    <w:rPr>
                      <w:rFonts w:ascii="Verdana" w:hAnsi="Verdana"/>
                      <w:sz w:val="18"/>
                      <w:szCs w:val="18"/>
                    </w:rPr>
                    <w:t xml:space="preserve"> general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8F017D8" w14:textId="77777777" w:rsidR="008838AB" w:rsidRPr="004A500F" w:rsidRDefault="008838AB" w:rsidP="008838AB">
                  <w:pPr>
                    <w:jc w:val="right"/>
                    <w:rPr>
                      <w:rFonts w:ascii="Verdana" w:hAnsi="Verdana"/>
                      <w:sz w:val="18"/>
                      <w:szCs w:val="18"/>
                    </w:rPr>
                  </w:pPr>
                  <w:r w:rsidRPr="004A500F">
                    <w:rPr>
                      <w:rFonts w:ascii="Verdana" w:hAnsi="Verdana"/>
                      <w:sz w:val="18"/>
                      <w:szCs w:val="18"/>
                    </w:rPr>
                    <w:t>968 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DCF775C" w14:textId="77777777" w:rsidR="008838AB" w:rsidRPr="004A500F" w:rsidRDefault="008838AB" w:rsidP="008838AB">
                  <w:pPr>
                    <w:jc w:val="right"/>
                    <w:rPr>
                      <w:rFonts w:ascii="Verdana" w:hAnsi="Verdana"/>
                      <w:sz w:val="18"/>
                      <w:szCs w:val="18"/>
                    </w:rPr>
                  </w:pPr>
                  <w:r w:rsidRPr="004A500F">
                    <w:rPr>
                      <w:rFonts w:ascii="Verdana" w:hAnsi="Verdana"/>
                      <w:sz w:val="18"/>
                      <w:szCs w:val="18"/>
                    </w:rPr>
                    <w:t>1877 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B22DF9C" w14:textId="77777777" w:rsidR="008838AB" w:rsidRPr="004A500F" w:rsidRDefault="008838AB" w:rsidP="008838AB">
                  <w:pPr>
                    <w:jc w:val="right"/>
                    <w:rPr>
                      <w:rFonts w:ascii="Verdana" w:hAnsi="Verdana"/>
                      <w:sz w:val="18"/>
                      <w:szCs w:val="18"/>
                    </w:rPr>
                  </w:pPr>
                  <w:r w:rsidRPr="004A500F">
                    <w:rPr>
                      <w:rFonts w:ascii="Verdana" w:hAnsi="Verdana"/>
                      <w:sz w:val="18"/>
                      <w:szCs w:val="18"/>
                    </w:rPr>
                    <w:t>1018 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3E93FAE" w14:textId="77777777" w:rsidR="008838AB" w:rsidRPr="004A500F" w:rsidRDefault="008838AB" w:rsidP="008838AB">
                  <w:pPr>
                    <w:jc w:val="right"/>
                    <w:rPr>
                      <w:rFonts w:ascii="Verdana" w:hAnsi="Verdana"/>
                      <w:sz w:val="18"/>
                      <w:szCs w:val="18"/>
                    </w:rPr>
                  </w:pPr>
                  <w:r w:rsidRPr="004A500F">
                    <w:rPr>
                      <w:rFonts w:ascii="Verdana" w:hAnsi="Verdana"/>
                      <w:sz w:val="18"/>
                      <w:szCs w:val="18"/>
                    </w:rPr>
                    <w:t>1288 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63CF883" w14:textId="77777777" w:rsidR="008838AB" w:rsidRPr="004A500F" w:rsidRDefault="008838AB" w:rsidP="008838AB">
                  <w:pPr>
                    <w:jc w:val="right"/>
                    <w:rPr>
                      <w:rFonts w:ascii="Verdana" w:hAnsi="Verdana"/>
                      <w:sz w:val="18"/>
                      <w:szCs w:val="18"/>
                    </w:rPr>
                  </w:pPr>
                  <w:r w:rsidRPr="004A500F">
                    <w:rPr>
                      <w:rFonts w:ascii="Verdana" w:hAnsi="Verdana"/>
                      <w:sz w:val="18"/>
                      <w:szCs w:val="18"/>
                    </w:rPr>
                    <w:t>515 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C168EA1" w14:textId="77777777" w:rsidR="008838AB" w:rsidRPr="004A500F" w:rsidRDefault="008838AB" w:rsidP="008838AB">
                  <w:pPr>
                    <w:jc w:val="right"/>
                    <w:rPr>
                      <w:rFonts w:ascii="Verdana" w:hAnsi="Verdana"/>
                      <w:sz w:val="18"/>
                      <w:szCs w:val="18"/>
                    </w:rPr>
                  </w:pPr>
                  <w:r w:rsidRPr="004A500F">
                    <w:rPr>
                      <w:rFonts w:ascii="Verdana" w:hAnsi="Verdana"/>
                      <w:sz w:val="18"/>
                      <w:szCs w:val="18"/>
                    </w:rPr>
                    <w:t>689 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86ABCEA" w14:textId="77777777" w:rsidR="008838AB" w:rsidRPr="004A500F" w:rsidRDefault="008838AB" w:rsidP="008838AB">
                  <w:pPr>
                    <w:jc w:val="right"/>
                    <w:rPr>
                      <w:rFonts w:ascii="Verdana" w:hAnsi="Verdana"/>
                      <w:sz w:val="18"/>
                      <w:szCs w:val="18"/>
                    </w:rPr>
                  </w:pPr>
                  <w:r w:rsidRPr="004A500F">
                    <w:rPr>
                      <w:rFonts w:ascii="Verdana" w:hAnsi="Verdana"/>
                      <w:sz w:val="18"/>
                      <w:szCs w:val="18"/>
                    </w:rPr>
                    <w:t>397 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1DE0B64" w14:textId="77777777" w:rsidR="008838AB" w:rsidRPr="004A500F" w:rsidRDefault="008838AB" w:rsidP="008838AB">
                  <w:pPr>
                    <w:jc w:val="right"/>
                    <w:rPr>
                      <w:rFonts w:ascii="Verdana" w:hAnsi="Verdana"/>
                      <w:sz w:val="18"/>
                      <w:szCs w:val="18"/>
                    </w:rPr>
                  </w:pPr>
                  <w:r w:rsidRPr="004A500F">
                    <w:rPr>
                      <w:rFonts w:ascii="Verdana" w:hAnsi="Verdana"/>
                      <w:sz w:val="18"/>
                      <w:szCs w:val="18"/>
                    </w:rPr>
                    <w:t>715 </w:t>
                  </w:r>
                </w:p>
              </w:tc>
            </w:tr>
          </w:tbl>
          <w:p w14:paraId="2D2AE9AC" w14:textId="218DC194" w:rsidR="008838AB" w:rsidRPr="001A1F1A" w:rsidRDefault="008838AB" w:rsidP="687EFF7E">
            <w:pPr>
              <w:rPr>
                <w:rFonts w:ascii="Verdana" w:hAnsi="Verdana"/>
                <w:i/>
                <w:iCs/>
                <w:sz w:val="16"/>
                <w:szCs w:val="16"/>
              </w:rPr>
            </w:pPr>
            <w:r w:rsidRPr="687EFF7E">
              <w:rPr>
                <w:rFonts w:ascii="Verdana" w:hAnsi="Verdana"/>
                <w:i/>
                <w:iCs/>
                <w:sz w:val="16"/>
                <w:szCs w:val="16"/>
                <w:lang w:val="es-MX"/>
              </w:rPr>
              <w:t>Fuente:</w:t>
            </w:r>
            <w:r w:rsidR="38E46D97" w:rsidRPr="687EFF7E">
              <w:rPr>
                <w:rFonts w:ascii="Verdana" w:hAnsi="Verdana"/>
                <w:i/>
                <w:iCs/>
                <w:sz w:val="16"/>
                <w:szCs w:val="16"/>
                <w:lang w:val="es-MX"/>
              </w:rPr>
              <w:t xml:space="preserve"> </w:t>
            </w:r>
            <w:r w:rsidRPr="687EFF7E">
              <w:rPr>
                <w:rFonts w:ascii="Verdana" w:hAnsi="Verdana"/>
                <w:i/>
                <w:iCs/>
                <w:sz w:val="16"/>
                <w:szCs w:val="16"/>
                <w:lang w:val="es-MX"/>
              </w:rPr>
              <w:t xml:space="preserve"> </w:t>
            </w:r>
            <w:r w:rsidR="1206E7E2" w:rsidRPr="687EFF7E">
              <w:rPr>
                <w:rFonts w:ascii="Verdana" w:hAnsi="Verdana"/>
                <w:i/>
                <w:iCs/>
                <w:sz w:val="16"/>
                <w:szCs w:val="16"/>
                <w:lang w:val="es-MX"/>
              </w:rPr>
              <w:t xml:space="preserve">Caracterización </w:t>
            </w:r>
            <w:r w:rsidR="6E3FF689" w:rsidRPr="687EFF7E">
              <w:rPr>
                <w:rFonts w:ascii="Verdana" w:hAnsi="Verdana"/>
                <w:i/>
                <w:iCs/>
                <w:sz w:val="16"/>
                <w:szCs w:val="16"/>
                <w:lang w:val="es-MX"/>
              </w:rPr>
              <w:t>s</w:t>
            </w:r>
            <w:r w:rsidR="1206E7E2" w:rsidRPr="001A1F1A">
              <w:rPr>
                <w:rFonts w:ascii="Verdana" w:hAnsi="Verdana"/>
                <w:i/>
                <w:iCs/>
                <w:sz w:val="16"/>
                <w:szCs w:val="16"/>
                <w:lang w:val="es-MX"/>
              </w:rPr>
              <w:t>ocial realizada a través del Registro Único de Recicladores de Oficio (RURO)</w:t>
            </w:r>
            <w:r w:rsidR="1206E7E2" w:rsidRPr="687EFF7E">
              <w:rPr>
                <w:rFonts w:ascii="Verdana" w:hAnsi="Verdana"/>
                <w:i/>
                <w:iCs/>
                <w:sz w:val="16"/>
                <w:szCs w:val="16"/>
                <w:lang w:val="es-MX"/>
              </w:rPr>
              <w:t xml:space="preserve"> de la </w:t>
            </w:r>
            <w:r w:rsidRPr="687EFF7E">
              <w:rPr>
                <w:rFonts w:ascii="Verdana" w:hAnsi="Verdana"/>
                <w:i/>
                <w:iCs/>
                <w:sz w:val="16"/>
                <w:szCs w:val="16"/>
                <w:lang w:val="es-MX"/>
              </w:rPr>
              <w:t>Unidad Administrativa Especial de Servicios Públicos (UAESP</w:t>
            </w:r>
            <w:proofErr w:type="gramStart"/>
            <w:r w:rsidRPr="687EFF7E">
              <w:rPr>
                <w:rFonts w:ascii="Verdana" w:hAnsi="Verdana"/>
                <w:i/>
                <w:iCs/>
                <w:sz w:val="16"/>
                <w:szCs w:val="16"/>
                <w:lang w:val="es-MX"/>
              </w:rPr>
              <w:t>)</w:t>
            </w:r>
            <w:r w:rsidRPr="001A1F1A">
              <w:rPr>
                <w:rFonts w:ascii="Verdana" w:hAnsi="Verdana"/>
                <w:i/>
                <w:iCs/>
                <w:sz w:val="16"/>
                <w:szCs w:val="16"/>
              </w:rPr>
              <w:t> </w:t>
            </w:r>
            <w:r w:rsidR="55F89F8C" w:rsidRPr="687EFF7E">
              <w:rPr>
                <w:rFonts w:ascii="Verdana" w:hAnsi="Verdana"/>
                <w:i/>
                <w:iCs/>
                <w:sz w:val="16"/>
                <w:szCs w:val="16"/>
              </w:rPr>
              <w:t>.</w:t>
            </w:r>
            <w:proofErr w:type="gramEnd"/>
            <w:r w:rsidR="55F89F8C" w:rsidRPr="687EFF7E">
              <w:rPr>
                <w:rFonts w:ascii="Verdana" w:hAnsi="Verdana"/>
                <w:i/>
                <w:iCs/>
                <w:sz w:val="16"/>
                <w:szCs w:val="16"/>
              </w:rPr>
              <w:t xml:space="preserve"> Disponible en: https://www.uaesp.gov.co/content/caracterizacion-organizaciones-recicladores</w:t>
            </w:r>
          </w:p>
          <w:p w14:paraId="6253373C" w14:textId="77777777" w:rsidR="005D2878" w:rsidRDefault="005D2878" w:rsidP="00FB314A">
            <w:pPr>
              <w:jc w:val="both"/>
              <w:rPr>
                <w:rFonts w:ascii="Verdana" w:hAnsi="Verdana"/>
                <w:bCs/>
                <w:lang w:val="es-CO"/>
              </w:rPr>
            </w:pPr>
          </w:p>
          <w:p w14:paraId="2D7AEB24" w14:textId="77777777" w:rsidR="008838AB" w:rsidRDefault="008838AB" w:rsidP="008838AB">
            <w:pPr>
              <w:jc w:val="both"/>
              <w:rPr>
                <w:rFonts w:ascii="Verdana" w:hAnsi="Verdana"/>
                <w:lang w:val="es-MX"/>
              </w:rPr>
            </w:pPr>
            <w:r w:rsidRPr="004A500F">
              <w:rPr>
                <w:rFonts w:ascii="Verdana" w:hAnsi="Verdana"/>
                <w:lang w:val="es-MX"/>
              </w:rPr>
              <w:t>De acuerdo con la UAESP, los datos corresponden a información de la población recicladora incluida en cada uno de los años desde el 2016 al 2023 y no las cifras acumuladas del total de recicladores.</w:t>
            </w:r>
          </w:p>
          <w:p w14:paraId="5F9B7E98" w14:textId="77777777" w:rsidR="008838AB" w:rsidRPr="004A500F" w:rsidRDefault="008838AB" w:rsidP="008838AB">
            <w:pPr>
              <w:jc w:val="both"/>
              <w:rPr>
                <w:rFonts w:ascii="Verdana" w:hAnsi="Verdana"/>
              </w:rPr>
            </w:pPr>
          </w:p>
          <w:p w14:paraId="4B1C1E93" w14:textId="15C6BAB1" w:rsidR="388D4128" w:rsidRDefault="030567AE" w:rsidP="388D4128">
            <w:pPr>
              <w:jc w:val="both"/>
              <w:rPr>
                <w:rFonts w:ascii="Verdana" w:hAnsi="Verdana"/>
              </w:rPr>
            </w:pPr>
            <w:r w:rsidRPr="388D4128">
              <w:rPr>
                <w:rFonts w:ascii="Verdana" w:hAnsi="Verdana"/>
                <w:lang w:val="es-MX"/>
              </w:rPr>
              <w:t>Así las cosas, se puede observar que a través de estos años se han registrado como recicladores de oficio en la ciudad de Bogotá en su mayoría con un nivel de educación en primaria, seguido de aquellos que cuentan con educación secundaria. Adicionalmente, se resalta que una población considerable de recicladores de oficio en Bogotá no registra información sobre su nivel educativo. De lo anterior, la UAESP</w:t>
            </w:r>
            <w:r w:rsidR="008838AB" w:rsidRPr="388D4128">
              <w:rPr>
                <w:rFonts w:ascii="Verdana" w:hAnsi="Verdana"/>
                <w:lang w:val="es-MX"/>
              </w:rPr>
              <w:footnoteReference w:id="12"/>
            </w:r>
            <w:r w:rsidRPr="388D4128">
              <w:rPr>
                <w:rFonts w:ascii="Verdana" w:hAnsi="Verdana"/>
                <w:lang w:val="es-MX"/>
              </w:rPr>
              <w:t xml:space="preserve"> indica que, esta situación puede deberse, en parte, a que, en las condiciones del oficio del reciclaje, este grupo social no tiene como primera opción la preparación académica y en algunos casos no puede contemplarse para futuras generaciones, que igualmente deciden emplearse laboralmente y dejar de lado la educación oficial.</w:t>
            </w:r>
          </w:p>
          <w:p w14:paraId="2F93DCF4" w14:textId="0EC1D555" w:rsidR="388D4128" w:rsidRDefault="388D4128" w:rsidP="388D4128">
            <w:pPr>
              <w:jc w:val="both"/>
              <w:rPr>
                <w:rFonts w:ascii="Verdana" w:hAnsi="Verdana"/>
              </w:rPr>
            </w:pPr>
          </w:p>
          <w:p w14:paraId="11ACF483" w14:textId="77777777" w:rsidR="005D2878" w:rsidRDefault="008838AB" w:rsidP="008838AB">
            <w:pPr>
              <w:jc w:val="both"/>
              <w:rPr>
                <w:rFonts w:ascii="Verdana" w:hAnsi="Verdana"/>
                <w:lang w:val="es-MX"/>
              </w:rPr>
            </w:pPr>
            <w:r w:rsidRPr="004A500F">
              <w:rPr>
                <w:rFonts w:ascii="Verdana" w:hAnsi="Verdana"/>
                <w:lang w:val="es-MX"/>
              </w:rPr>
              <w:t>Ahora, en relación con el acceso al sistema de salud, por parte de los recicladores de oficio que ejercen su labor en la ciudad de Bogotá y que fueron ingresados al RURO en los años 2016 a 2023, se evidencia que más del 80% se encuentran en el régimen subsidiado del sistema de seguridad social en salud, es decir que tienen acceso a los servicios de salud a través del subsidio que ofrece el estado, por encontrarse dentro de la población más pobre del país y sin capacidad de pago para este servici</w:t>
            </w:r>
            <w:r>
              <w:rPr>
                <w:rFonts w:ascii="Verdana" w:hAnsi="Verdana"/>
                <w:lang w:val="es-MX"/>
              </w:rPr>
              <w:t>o.</w:t>
            </w:r>
          </w:p>
          <w:p w14:paraId="332D002F" w14:textId="77777777" w:rsidR="008838AB" w:rsidRDefault="008838AB" w:rsidP="008838AB">
            <w:pPr>
              <w:jc w:val="both"/>
              <w:rPr>
                <w:rFonts w:ascii="Verdana" w:hAnsi="Verdana"/>
                <w:lang w:val="es-MX"/>
              </w:rPr>
            </w:pPr>
          </w:p>
          <w:p w14:paraId="70C42E65" w14:textId="77777777" w:rsidR="003A004E" w:rsidRDefault="003A004E" w:rsidP="008838AB">
            <w:pPr>
              <w:jc w:val="center"/>
              <w:rPr>
                <w:rFonts w:ascii="Verdana" w:hAnsi="Verdana"/>
                <w:i/>
                <w:iCs/>
              </w:rPr>
            </w:pPr>
          </w:p>
          <w:p w14:paraId="606CE68F" w14:textId="069DDA16" w:rsidR="008838AB" w:rsidRPr="004A500F" w:rsidRDefault="008838AB" w:rsidP="008838AB">
            <w:pPr>
              <w:jc w:val="center"/>
              <w:rPr>
                <w:rFonts w:ascii="Verdana" w:hAnsi="Verdana"/>
                <w:i/>
                <w:iCs/>
              </w:rPr>
            </w:pPr>
            <w:r w:rsidRPr="00720245">
              <w:rPr>
                <w:rFonts w:ascii="Verdana" w:hAnsi="Verdana"/>
                <w:i/>
                <w:iCs/>
              </w:rPr>
              <w:lastRenderedPageBreak/>
              <w:t xml:space="preserve">Tabla </w:t>
            </w:r>
            <w:r w:rsidR="00B6266A" w:rsidRPr="00720245">
              <w:rPr>
                <w:rFonts w:ascii="Verdana" w:hAnsi="Verdana"/>
                <w:i/>
                <w:iCs/>
              </w:rPr>
              <w:t>4</w:t>
            </w:r>
            <w:r w:rsidRPr="00720245">
              <w:rPr>
                <w:rFonts w:ascii="Verdana" w:hAnsi="Verdana"/>
                <w:i/>
                <w:iCs/>
              </w:rPr>
              <w:t>. Acceso</w:t>
            </w:r>
            <w:r w:rsidRPr="004A500F">
              <w:rPr>
                <w:rFonts w:ascii="Verdana" w:hAnsi="Verdana"/>
                <w:i/>
                <w:iCs/>
              </w:rPr>
              <w:t xml:space="preserve"> al sistema de salud de los recicladores de oficio de Bogotá</w:t>
            </w:r>
          </w:p>
          <w:tbl>
            <w:tblPr>
              <w:tblW w:w="8505"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15"/>
              <w:gridCol w:w="926"/>
              <w:gridCol w:w="926"/>
              <w:gridCol w:w="926"/>
              <w:gridCol w:w="926"/>
              <w:gridCol w:w="926"/>
              <w:gridCol w:w="926"/>
              <w:gridCol w:w="926"/>
              <w:gridCol w:w="708"/>
            </w:tblGrid>
            <w:tr w:rsidR="008838AB" w:rsidRPr="00E705AC" w14:paraId="55F0F2F2" w14:textId="77777777" w:rsidTr="687EFF7E">
              <w:trPr>
                <w:trHeight w:val="300"/>
                <w:jc w:val="center"/>
              </w:trPr>
              <w:tc>
                <w:tcPr>
                  <w:tcW w:w="13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CD5F3D6" w14:textId="77777777" w:rsidR="008838AB" w:rsidRPr="00E705AC" w:rsidRDefault="008838AB" w:rsidP="008838AB">
                  <w:pPr>
                    <w:jc w:val="center"/>
                    <w:rPr>
                      <w:rFonts w:ascii="Verdana" w:hAnsi="Verdana"/>
                      <w:sz w:val="18"/>
                      <w:szCs w:val="18"/>
                    </w:rPr>
                  </w:pPr>
                  <w:r w:rsidRPr="00E705AC">
                    <w:rPr>
                      <w:rFonts w:ascii="Verdana" w:hAnsi="Verdana"/>
                      <w:b/>
                      <w:bCs/>
                      <w:sz w:val="18"/>
                      <w:szCs w:val="18"/>
                    </w:rPr>
                    <w:t>Salud</w:t>
                  </w:r>
                </w:p>
              </w:tc>
              <w:tc>
                <w:tcPr>
                  <w:tcW w:w="9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6F82432" w14:textId="77777777" w:rsidR="008838AB" w:rsidRPr="00E705AC" w:rsidRDefault="008838AB" w:rsidP="008838AB">
                  <w:pPr>
                    <w:jc w:val="center"/>
                    <w:rPr>
                      <w:rFonts w:ascii="Verdana" w:hAnsi="Verdana"/>
                      <w:sz w:val="18"/>
                      <w:szCs w:val="18"/>
                    </w:rPr>
                  </w:pPr>
                  <w:r w:rsidRPr="00E705AC">
                    <w:rPr>
                      <w:rFonts w:ascii="Verdana" w:hAnsi="Verdana"/>
                      <w:b/>
                      <w:bCs/>
                      <w:sz w:val="18"/>
                      <w:szCs w:val="18"/>
                    </w:rPr>
                    <w:t>2016</w:t>
                  </w:r>
                </w:p>
              </w:tc>
              <w:tc>
                <w:tcPr>
                  <w:tcW w:w="9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9168A2" w14:textId="77777777" w:rsidR="008838AB" w:rsidRPr="00E705AC" w:rsidRDefault="008838AB" w:rsidP="008838AB">
                  <w:pPr>
                    <w:jc w:val="center"/>
                    <w:rPr>
                      <w:rFonts w:ascii="Verdana" w:hAnsi="Verdana"/>
                      <w:sz w:val="18"/>
                      <w:szCs w:val="18"/>
                    </w:rPr>
                  </w:pPr>
                  <w:r w:rsidRPr="00E705AC">
                    <w:rPr>
                      <w:rFonts w:ascii="Verdana" w:hAnsi="Verdana"/>
                      <w:b/>
                      <w:bCs/>
                      <w:sz w:val="18"/>
                      <w:szCs w:val="18"/>
                    </w:rPr>
                    <w:t>2017</w:t>
                  </w:r>
                </w:p>
              </w:tc>
              <w:tc>
                <w:tcPr>
                  <w:tcW w:w="9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D67D9DB" w14:textId="77777777" w:rsidR="008838AB" w:rsidRPr="00E705AC" w:rsidRDefault="008838AB" w:rsidP="008838AB">
                  <w:pPr>
                    <w:jc w:val="center"/>
                    <w:rPr>
                      <w:rFonts w:ascii="Verdana" w:hAnsi="Verdana"/>
                      <w:sz w:val="18"/>
                      <w:szCs w:val="18"/>
                    </w:rPr>
                  </w:pPr>
                  <w:r w:rsidRPr="00E705AC">
                    <w:rPr>
                      <w:rFonts w:ascii="Verdana" w:hAnsi="Verdana"/>
                      <w:b/>
                      <w:bCs/>
                      <w:sz w:val="18"/>
                      <w:szCs w:val="18"/>
                    </w:rPr>
                    <w:t>2018</w:t>
                  </w:r>
                </w:p>
              </w:tc>
              <w:tc>
                <w:tcPr>
                  <w:tcW w:w="9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41D7994" w14:textId="77777777" w:rsidR="008838AB" w:rsidRPr="00E705AC" w:rsidRDefault="008838AB" w:rsidP="008838AB">
                  <w:pPr>
                    <w:jc w:val="center"/>
                    <w:rPr>
                      <w:rFonts w:ascii="Verdana" w:hAnsi="Verdana"/>
                      <w:sz w:val="18"/>
                      <w:szCs w:val="18"/>
                    </w:rPr>
                  </w:pPr>
                  <w:r w:rsidRPr="00E705AC">
                    <w:rPr>
                      <w:rFonts w:ascii="Verdana" w:hAnsi="Verdana"/>
                      <w:b/>
                      <w:bCs/>
                      <w:sz w:val="18"/>
                      <w:szCs w:val="18"/>
                    </w:rPr>
                    <w:t>2019</w:t>
                  </w:r>
                </w:p>
              </w:tc>
              <w:tc>
                <w:tcPr>
                  <w:tcW w:w="9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9CE0680" w14:textId="77777777" w:rsidR="008838AB" w:rsidRPr="00E705AC" w:rsidRDefault="008838AB" w:rsidP="008838AB">
                  <w:pPr>
                    <w:jc w:val="center"/>
                    <w:rPr>
                      <w:rFonts w:ascii="Verdana" w:hAnsi="Verdana"/>
                      <w:sz w:val="18"/>
                      <w:szCs w:val="18"/>
                    </w:rPr>
                  </w:pPr>
                  <w:r w:rsidRPr="00E705AC">
                    <w:rPr>
                      <w:rFonts w:ascii="Verdana" w:hAnsi="Verdana"/>
                      <w:b/>
                      <w:bCs/>
                      <w:sz w:val="18"/>
                      <w:szCs w:val="18"/>
                    </w:rPr>
                    <w:t>2020</w:t>
                  </w:r>
                </w:p>
              </w:tc>
              <w:tc>
                <w:tcPr>
                  <w:tcW w:w="9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FDC06E9" w14:textId="77777777" w:rsidR="008838AB" w:rsidRPr="00E705AC" w:rsidRDefault="008838AB" w:rsidP="008838AB">
                  <w:pPr>
                    <w:jc w:val="center"/>
                    <w:rPr>
                      <w:rFonts w:ascii="Verdana" w:hAnsi="Verdana"/>
                      <w:sz w:val="18"/>
                      <w:szCs w:val="18"/>
                    </w:rPr>
                  </w:pPr>
                  <w:r w:rsidRPr="00E705AC">
                    <w:rPr>
                      <w:rFonts w:ascii="Verdana" w:hAnsi="Verdana"/>
                      <w:b/>
                      <w:bCs/>
                      <w:sz w:val="18"/>
                      <w:szCs w:val="18"/>
                    </w:rPr>
                    <w:t>2021</w:t>
                  </w:r>
                </w:p>
              </w:tc>
              <w:tc>
                <w:tcPr>
                  <w:tcW w:w="9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701EB23" w14:textId="77777777" w:rsidR="008838AB" w:rsidRPr="00E705AC" w:rsidRDefault="008838AB" w:rsidP="008838AB">
                  <w:pPr>
                    <w:jc w:val="center"/>
                    <w:rPr>
                      <w:rFonts w:ascii="Verdana" w:hAnsi="Verdana"/>
                      <w:sz w:val="18"/>
                      <w:szCs w:val="18"/>
                    </w:rPr>
                  </w:pPr>
                  <w:r w:rsidRPr="00E705AC">
                    <w:rPr>
                      <w:rFonts w:ascii="Verdana" w:hAnsi="Verdana"/>
                      <w:b/>
                      <w:bCs/>
                      <w:sz w:val="18"/>
                      <w:szCs w:val="18"/>
                    </w:rPr>
                    <w:t>2022</w:t>
                  </w:r>
                </w:p>
              </w:tc>
              <w:tc>
                <w:tcPr>
                  <w:tcW w:w="70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FA69D65" w14:textId="77777777" w:rsidR="008838AB" w:rsidRPr="00E705AC" w:rsidRDefault="008838AB" w:rsidP="008838AB">
                  <w:pPr>
                    <w:jc w:val="center"/>
                    <w:rPr>
                      <w:rFonts w:ascii="Verdana" w:hAnsi="Verdana"/>
                      <w:sz w:val="18"/>
                      <w:szCs w:val="18"/>
                    </w:rPr>
                  </w:pPr>
                  <w:r w:rsidRPr="00E705AC">
                    <w:rPr>
                      <w:rFonts w:ascii="Verdana" w:hAnsi="Verdana"/>
                      <w:b/>
                      <w:bCs/>
                      <w:sz w:val="18"/>
                      <w:szCs w:val="18"/>
                    </w:rPr>
                    <w:t>2023</w:t>
                  </w:r>
                </w:p>
              </w:tc>
            </w:tr>
            <w:tr w:rsidR="008838AB" w:rsidRPr="00E705AC" w14:paraId="6BC06E18" w14:textId="77777777" w:rsidTr="687EFF7E">
              <w:trPr>
                <w:trHeight w:val="300"/>
                <w:jc w:val="center"/>
              </w:trPr>
              <w:tc>
                <w:tcPr>
                  <w:tcW w:w="13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7A52427" w14:textId="77777777" w:rsidR="008838AB" w:rsidRPr="00E705AC" w:rsidRDefault="008838AB" w:rsidP="008838AB">
                  <w:pPr>
                    <w:rPr>
                      <w:rFonts w:ascii="Verdana" w:hAnsi="Verdana"/>
                      <w:sz w:val="18"/>
                      <w:szCs w:val="18"/>
                    </w:rPr>
                  </w:pPr>
                  <w:r w:rsidRPr="00E705AC">
                    <w:rPr>
                      <w:rFonts w:ascii="Verdana" w:hAnsi="Verdana"/>
                      <w:sz w:val="18"/>
                      <w:szCs w:val="18"/>
                    </w:rPr>
                    <w:t>Contributivo</w:t>
                  </w:r>
                </w:p>
              </w:tc>
              <w:tc>
                <w:tcPr>
                  <w:tcW w:w="9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68B7C6" w14:textId="77777777" w:rsidR="008838AB" w:rsidRPr="00E705AC" w:rsidRDefault="008838AB" w:rsidP="008838AB">
                  <w:pPr>
                    <w:jc w:val="center"/>
                    <w:rPr>
                      <w:rFonts w:ascii="Verdana" w:hAnsi="Verdana"/>
                      <w:sz w:val="18"/>
                      <w:szCs w:val="18"/>
                    </w:rPr>
                  </w:pPr>
                  <w:r w:rsidRPr="00E705AC">
                    <w:rPr>
                      <w:rFonts w:ascii="Verdana" w:hAnsi="Verdana"/>
                      <w:sz w:val="18"/>
                      <w:szCs w:val="18"/>
                    </w:rPr>
                    <w:t>30</w:t>
                  </w:r>
                </w:p>
              </w:tc>
              <w:tc>
                <w:tcPr>
                  <w:tcW w:w="9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5EE4F9" w14:textId="77777777" w:rsidR="008838AB" w:rsidRPr="00E705AC" w:rsidRDefault="008838AB" w:rsidP="008838AB">
                  <w:pPr>
                    <w:jc w:val="center"/>
                    <w:rPr>
                      <w:rFonts w:ascii="Verdana" w:hAnsi="Verdana"/>
                      <w:sz w:val="18"/>
                      <w:szCs w:val="18"/>
                    </w:rPr>
                  </w:pPr>
                  <w:r w:rsidRPr="00E705AC">
                    <w:rPr>
                      <w:rFonts w:ascii="Verdana" w:hAnsi="Verdana"/>
                      <w:sz w:val="18"/>
                      <w:szCs w:val="18"/>
                    </w:rPr>
                    <w:t>70</w:t>
                  </w:r>
                </w:p>
              </w:tc>
              <w:tc>
                <w:tcPr>
                  <w:tcW w:w="9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C82E739" w14:textId="77777777" w:rsidR="008838AB" w:rsidRPr="00E705AC" w:rsidRDefault="008838AB" w:rsidP="008838AB">
                  <w:pPr>
                    <w:jc w:val="center"/>
                    <w:rPr>
                      <w:rFonts w:ascii="Verdana" w:hAnsi="Verdana"/>
                      <w:sz w:val="18"/>
                      <w:szCs w:val="18"/>
                    </w:rPr>
                  </w:pPr>
                  <w:r w:rsidRPr="00E705AC">
                    <w:rPr>
                      <w:rFonts w:ascii="Verdana" w:hAnsi="Verdana"/>
                      <w:sz w:val="18"/>
                      <w:szCs w:val="18"/>
                    </w:rPr>
                    <w:t>29</w:t>
                  </w:r>
                </w:p>
              </w:tc>
              <w:tc>
                <w:tcPr>
                  <w:tcW w:w="9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4ED231E" w14:textId="77777777" w:rsidR="008838AB" w:rsidRPr="00E705AC" w:rsidRDefault="008838AB" w:rsidP="008838AB">
                  <w:pPr>
                    <w:jc w:val="center"/>
                    <w:rPr>
                      <w:rFonts w:ascii="Verdana" w:hAnsi="Verdana"/>
                      <w:sz w:val="18"/>
                      <w:szCs w:val="18"/>
                    </w:rPr>
                  </w:pPr>
                  <w:r w:rsidRPr="00E705AC">
                    <w:rPr>
                      <w:rFonts w:ascii="Verdana" w:hAnsi="Verdana"/>
                      <w:sz w:val="18"/>
                      <w:szCs w:val="18"/>
                    </w:rPr>
                    <w:t>131</w:t>
                  </w:r>
                </w:p>
              </w:tc>
              <w:tc>
                <w:tcPr>
                  <w:tcW w:w="9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68EC38" w14:textId="77777777" w:rsidR="008838AB" w:rsidRPr="00E705AC" w:rsidRDefault="008838AB" w:rsidP="008838AB">
                  <w:pPr>
                    <w:jc w:val="center"/>
                    <w:rPr>
                      <w:rFonts w:ascii="Verdana" w:hAnsi="Verdana"/>
                      <w:sz w:val="18"/>
                      <w:szCs w:val="18"/>
                    </w:rPr>
                  </w:pPr>
                  <w:r w:rsidRPr="00E705AC">
                    <w:rPr>
                      <w:rFonts w:ascii="Verdana" w:hAnsi="Verdana"/>
                      <w:sz w:val="18"/>
                      <w:szCs w:val="18"/>
                    </w:rPr>
                    <w:t>28</w:t>
                  </w:r>
                </w:p>
              </w:tc>
              <w:tc>
                <w:tcPr>
                  <w:tcW w:w="9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C3B14A3" w14:textId="77777777" w:rsidR="008838AB" w:rsidRPr="00E705AC" w:rsidRDefault="008838AB" w:rsidP="008838AB">
                  <w:pPr>
                    <w:jc w:val="center"/>
                    <w:rPr>
                      <w:rFonts w:ascii="Verdana" w:hAnsi="Verdana"/>
                      <w:sz w:val="18"/>
                      <w:szCs w:val="18"/>
                    </w:rPr>
                  </w:pPr>
                  <w:r w:rsidRPr="00E705AC">
                    <w:rPr>
                      <w:rFonts w:ascii="Verdana" w:hAnsi="Verdana"/>
                      <w:sz w:val="18"/>
                      <w:szCs w:val="18"/>
                    </w:rPr>
                    <w:t>23</w:t>
                  </w:r>
                </w:p>
              </w:tc>
              <w:tc>
                <w:tcPr>
                  <w:tcW w:w="9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1936119" w14:textId="77777777" w:rsidR="008838AB" w:rsidRPr="00E705AC" w:rsidRDefault="008838AB" w:rsidP="008838AB">
                  <w:pPr>
                    <w:jc w:val="center"/>
                    <w:rPr>
                      <w:rFonts w:ascii="Verdana" w:hAnsi="Verdana"/>
                      <w:sz w:val="18"/>
                      <w:szCs w:val="18"/>
                    </w:rPr>
                  </w:pPr>
                  <w:r w:rsidRPr="00E705AC">
                    <w:rPr>
                      <w:rFonts w:ascii="Verdana" w:hAnsi="Verdana"/>
                      <w:sz w:val="18"/>
                      <w:szCs w:val="18"/>
                    </w:rPr>
                    <w:t>17</w:t>
                  </w:r>
                </w:p>
              </w:tc>
              <w:tc>
                <w:tcPr>
                  <w:tcW w:w="70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E00B22F" w14:textId="77777777" w:rsidR="008838AB" w:rsidRPr="00E705AC" w:rsidRDefault="008838AB" w:rsidP="008838AB">
                  <w:pPr>
                    <w:jc w:val="center"/>
                    <w:rPr>
                      <w:rFonts w:ascii="Verdana" w:hAnsi="Verdana"/>
                      <w:sz w:val="18"/>
                      <w:szCs w:val="18"/>
                    </w:rPr>
                  </w:pPr>
                  <w:r w:rsidRPr="00E705AC">
                    <w:rPr>
                      <w:rFonts w:ascii="Verdana" w:hAnsi="Verdana"/>
                      <w:sz w:val="18"/>
                      <w:szCs w:val="18"/>
                    </w:rPr>
                    <w:t>40</w:t>
                  </w:r>
                </w:p>
              </w:tc>
            </w:tr>
            <w:tr w:rsidR="008838AB" w:rsidRPr="00E705AC" w14:paraId="3462D88D" w14:textId="77777777" w:rsidTr="687EFF7E">
              <w:trPr>
                <w:trHeight w:val="300"/>
                <w:jc w:val="center"/>
              </w:trPr>
              <w:tc>
                <w:tcPr>
                  <w:tcW w:w="13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04C7153" w14:textId="77777777" w:rsidR="008838AB" w:rsidRPr="00E705AC" w:rsidRDefault="008838AB" w:rsidP="008838AB">
                  <w:pPr>
                    <w:rPr>
                      <w:rFonts w:ascii="Verdana" w:hAnsi="Verdana"/>
                      <w:sz w:val="18"/>
                      <w:szCs w:val="18"/>
                    </w:rPr>
                  </w:pPr>
                  <w:r w:rsidRPr="00E705AC">
                    <w:rPr>
                      <w:rFonts w:ascii="Verdana" w:hAnsi="Verdana"/>
                      <w:sz w:val="18"/>
                      <w:szCs w:val="18"/>
                    </w:rPr>
                    <w:t>Subsidiado</w:t>
                  </w:r>
                </w:p>
              </w:tc>
              <w:tc>
                <w:tcPr>
                  <w:tcW w:w="9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FA4587E" w14:textId="77777777" w:rsidR="008838AB" w:rsidRPr="00E705AC" w:rsidRDefault="008838AB" w:rsidP="008838AB">
                  <w:pPr>
                    <w:jc w:val="center"/>
                    <w:rPr>
                      <w:rFonts w:ascii="Verdana" w:hAnsi="Verdana"/>
                      <w:sz w:val="18"/>
                      <w:szCs w:val="18"/>
                    </w:rPr>
                  </w:pPr>
                  <w:r w:rsidRPr="00E705AC">
                    <w:rPr>
                      <w:rFonts w:ascii="Verdana" w:hAnsi="Verdana"/>
                      <w:sz w:val="18"/>
                      <w:szCs w:val="18"/>
                    </w:rPr>
                    <w:t>812</w:t>
                  </w:r>
                </w:p>
              </w:tc>
              <w:tc>
                <w:tcPr>
                  <w:tcW w:w="9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EE39D5B" w14:textId="77777777" w:rsidR="008838AB" w:rsidRPr="00E705AC" w:rsidRDefault="008838AB" w:rsidP="008838AB">
                  <w:pPr>
                    <w:jc w:val="center"/>
                    <w:rPr>
                      <w:rFonts w:ascii="Verdana" w:hAnsi="Verdana"/>
                      <w:sz w:val="18"/>
                      <w:szCs w:val="18"/>
                    </w:rPr>
                  </w:pPr>
                  <w:r w:rsidRPr="00E705AC">
                    <w:rPr>
                      <w:rFonts w:ascii="Verdana" w:hAnsi="Verdana"/>
                      <w:sz w:val="18"/>
                      <w:szCs w:val="18"/>
                    </w:rPr>
                    <w:t>1572</w:t>
                  </w:r>
                </w:p>
              </w:tc>
              <w:tc>
                <w:tcPr>
                  <w:tcW w:w="9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18A61D" w14:textId="77777777" w:rsidR="008838AB" w:rsidRPr="00E705AC" w:rsidRDefault="008838AB" w:rsidP="008838AB">
                  <w:pPr>
                    <w:jc w:val="center"/>
                    <w:rPr>
                      <w:rFonts w:ascii="Verdana" w:hAnsi="Verdana"/>
                      <w:sz w:val="18"/>
                      <w:szCs w:val="18"/>
                    </w:rPr>
                  </w:pPr>
                  <w:r w:rsidRPr="00E705AC">
                    <w:rPr>
                      <w:rFonts w:ascii="Verdana" w:hAnsi="Verdana"/>
                      <w:sz w:val="18"/>
                      <w:szCs w:val="18"/>
                    </w:rPr>
                    <w:t>875</w:t>
                  </w:r>
                </w:p>
              </w:tc>
              <w:tc>
                <w:tcPr>
                  <w:tcW w:w="9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A9A2B1" w14:textId="77777777" w:rsidR="008838AB" w:rsidRPr="00E705AC" w:rsidRDefault="008838AB" w:rsidP="008838AB">
                  <w:pPr>
                    <w:jc w:val="center"/>
                    <w:rPr>
                      <w:rFonts w:ascii="Verdana" w:hAnsi="Verdana"/>
                      <w:sz w:val="18"/>
                      <w:szCs w:val="18"/>
                    </w:rPr>
                  </w:pPr>
                  <w:r w:rsidRPr="00E705AC">
                    <w:rPr>
                      <w:rFonts w:ascii="Verdana" w:hAnsi="Verdana"/>
                      <w:sz w:val="18"/>
                      <w:szCs w:val="18"/>
                    </w:rPr>
                    <w:t>1055</w:t>
                  </w:r>
                </w:p>
              </w:tc>
              <w:tc>
                <w:tcPr>
                  <w:tcW w:w="9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D33964" w14:textId="77777777" w:rsidR="008838AB" w:rsidRPr="00E705AC" w:rsidRDefault="008838AB" w:rsidP="008838AB">
                  <w:pPr>
                    <w:jc w:val="center"/>
                    <w:rPr>
                      <w:rFonts w:ascii="Verdana" w:hAnsi="Verdana"/>
                      <w:sz w:val="18"/>
                      <w:szCs w:val="18"/>
                    </w:rPr>
                  </w:pPr>
                  <w:r w:rsidRPr="00E705AC">
                    <w:rPr>
                      <w:rFonts w:ascii="Verdana" w:hAnsi="Verdana"/>
                      <w:sz w:val="18"/>
                      <w:szCs w:val="18"/>
                    </w:rPr>
                    <w:t>331</w:t>
                  </w:r>
                </w:p>
              </w:tc>
              <w:tc>
                <w:tcPr>
                  <w:tcW w:w="9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4D8A0C" w14:textId="77777777" w:rsidR="008838AB" w:rsidRPr="00E705AC" w:rsidRDefault="008838AB" w:rsidP="008838AB">
                  <w:pPr>
                    <w:jc w:val="center"/>
                    <w:rPr>
                      <w:rFonts w:ascii="Verdana" w:hAnsi="Verdana"/>
                      <w:sz w:val="18"/>
                      <w:szCs w:val="18"/>
                    </w:rPr>
                  </w:pPr>
                  <w:r w:rsidRPr="00E705AC">
                    <w:rPr>
                      <w:rFonts w:ascii="Verdana" w:hAnsi="Verdana"/>
                      <w:sz w:val="18"/>
                      <w:szCs w:val="18"/>
                    </w:rPr>
                    <w:t>383</w:t>
                  </w:r>
                </w:p>
              </w:tc>
              <w:tc>
                <w:tcPr>
                  <w:tcW w:w="9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2B5A43B" w14:textId="77777777" w:rsidR="008838AB" w:rsidRPr="00E705AC" w:rsidRDefault="008838AB" w:rsidP="008838AB">
                  <w:pPr>
                    <w:jc w:val="center"/>
                    <w:rPr>
                      <w:rFonts w:ascii="Verdana" w:hAnsi="Verdana"/>
                      <w:sz w:val="18"/>
                      <w:szCs w:val="18"/>
                    </w:rPr>
                  </w:pPr>
                  <w:r w:rsidRPr="00E705AC">
                    <w:rPr>
                      <w:rFonts w:ascii="Verdana" w:hAnsi="Verdana"/>
                      <w:sz w:val="18"/>
                      <w:szCs w:val="18"/>
                    </w:rPr>
                    <w:t>251</w:t>
                  </w:r>
                </w:p>
              </w:tc>
              <w:tc>
                <w:tcPr>
                  <w:tcW w:w="70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D6A5C47" w14:textId="77777777" w:rsidR="008838AB" w:rsidRPr="00E705AC" w:rsidRDefault="008838AB" w:rsidP="008838AB">
                  <w:pPr>
                    <w:jc w:val="center"/>
                    <w:rPr>
                      <w:rFonts w:ascii="Verdana" w:hAnsi="Verdana"/>
                      <w:sz w:val="18"/>
                      <w:szCs w:val="18"/>
                    </w:rPr>
                  </w:pPr>
                  <w:r w:rsidRPr="00E705AC">
                    <w:rPr>
                      <w:rFonts w:ascii="Verdana" w:hAnsi="Verdana"/>
                      <w:sz w:val="18"/>
                      <w:szCs w:val="18"/>
                    </w:rPr>
                    <w:t>649</w:t>
                  </w:r>
                </w:p>
              </w:tc>
            </w:tr>
            <w:tr w:rsidR="008838AB" w:rsidRPr="00E705AC" w14:paraId="6D6F161E" w14:textId="77777777" w:rsidTr="687EFF7E">
              <w:trPr>
                <w:trHeight w:val="300"/>
                <w:jc w:val="center"/>
              </w:trPr>
              <w:tc>
                <w:tcPr>
                  <w:tcW w:w="13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F1A5B02" w14:textId="77777777" w:rsidR="008838AB" w:rsidRPr="00E705AC" w:rsidRDefault="008838AB" w:rsidP="008838AB">
                  <w:pPr>
                    <w:rPr>
                      <w:rFonts w:ascii="Verdana" w:hAnsi="Verdana"/>
                      <w:sz w:val="18"/>
                      <w:szCs w:val="18"/>
                    </w:rPr>
                  </w:pPr>
                  <w:r w:rsidRPr="00E705AC">
                    <w:rPr>
                      <w:rFonts w:ascii="Verdana" w:hAnsi="Verdana"/>
                      <w:sz w:val="18"/>
                      <w:szCs w:val="18"/>
                    </w:rPr>
                    <w:t>Otro</w:t>
                  </w:r>
                </w:p>
              </w:tc>
              <w:tc>
                <w:tcPr>
                  <w:tcW w:w="9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1224800" w14:textId="77777777" w:rsidR="008838AB" w:rsidRPr="00E705AC" w:rsidRDefault="008838AB" w:rsidP="008838AB">
                  <w:pPr>
                    <w:jc w:val="center"/>
                    <w:rPr>
                      <w:rFonts w:ascii="Verdana" w:hAnsi="Verdana"/>
                      <w:sz w:val="18"/>
                      <w:szCs w:val="18"/>
                    </w:rPr>
                  </w:pPr>
                </w:p>
              </w:tc>
              <w:tc>
                <w:tcPr>
                  <w:tcW w:w="9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B30ED88" w14:textId="77777777" w:rsidR="008838AB" w:rsidRPr="00E705AC" w:rsidRDefault="008838AB" w:rsidP="008838AB">
                  <w:pPr>
                    <w:jc w:val="center"/>
                    <w:rPr>
                      <w:rFonts w:ascii="Verdana" w:hAnsi="Verdana"/>
                      <w:sz w:val="18"/>
                      <w:szCs w:val="18"/>
                    </w:rPr>
                  </w:pPr>
                </w:p>
              </w:tc>
              <w:tc>
                <w:tcPr>
                  <w:tcW w:w="9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F1569D2" w14:textId="77777777" w:rsidR="008838AB" w:rsidRPr="00E705AC" w:rsidRDefault="008838AB" w:rsidP="008838AB">
                  <w:pPr>
                    <w:jc w:val="center"/>
                    <w:rPr>
                      <w:rFonts w:ascii="Verdana" w:hAnsi="Verdana"/>
                      <w:sz w:val="18"/>
                      <w:szCs w:val="18"/>
                    </w:rPr>
                  </w:pPr>
                </w:p>
              </w:tc>
              <w:tc>
                <w:tcPr>
                  <w:tcW w:w="9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389A14F" w14:textId="77777777" w:rsidR="008838AB" w:rsidRPr="00E705AC" w:rsidRDefault="008838AB" w:rsidP="008838AB">
                  <w:pPr>
                    <w:jc w:val="center"/>
                    <w:rPr>
                      <w:rFonts w:ascii="Verdana" w:hAnsi="Verdana"/>
                      <w:sz w:val="18"/>
                      <w:szCs w:val="18"/>
                    </w:rPr>
                  </w:pPr>
                </w:p>
              </w:tc>
              <w:tc>
                <w:tcPr>
                  <w:tcW w:w="9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1FE5601" w14:textId="77777777" w:rsidR="008838AB" w:rsidRPr="00E705AC" w:rsidRDefault="008838AB" w:rsidP="008838AB">
                  <w:pPr>
                    <w:jc w:val="center"/>
                    <w:rPr>
                      <w:rFonts w:ascii="Verdana" w:hAnsi="Verdana"/>
                      <w:sz w:val="18"/>
                      <w:szCs w:val="18"/>
                    </w:rPr>
                  </w:pPr>
                </w:p>
              </w:tc>
              <w:tc>
                <w:tcPr>
                  <w:tcW w:w="9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536130C" w14:textId="77777777" w:rsidR="008838AB" w:rsidRPr="00E705AC" w:rsidRDefault="008838AB" w:rsidP="008838AB">
                  <w:pPr>
                    <w:jc w:val="center"/>
                    <w:rPr>
                      <w:rFonts w:ascii="Verdana" w:hAnsi="Verdana"/>
                      <w:sz w:val="18"/>
                      <w:szCs w:val="18"/>
                    </w:rPr>
                  </w:pPr>
                </w:p>
              </w:tc>
              <w:tc>
                <w:tcPr>
                  <w:tcW w:w="9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6856D0E" w14:textId="77777777" w:rsidR="008838AB" w:rsidRPr="00E705AC" w:rsidRDefault="008838AB" w:rsidP="008838AB">
                  <w:pPr>
                    <w:jc w:val="center"/>
                    <w:rPr>
                      <w:rFonts w:ascii="Verdana" w:hAnsi="Verdana"/>
                      <w:sz w:val="18"/>
                      <w:szCs w:val="18"/>
                    </w:rPr>
                  </w:pPr>
                </w:p>
              </w:tc>
              <w:tc>
                <w:tcPr>
                  <w:tcW w:w="70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7B59DAF" w14:textId="77777777" w:rsidR="008838AB" w:rsidRPr="00E705AC" w:rsidRDefault="008838AB" w:rsidP="008838AB">
                  <w:pPr>
                    <w:jc w:val="center"/>
                    <w:rPr>
                      <w:rFonts w:ascii="Verdana" w:hAnsi="Verdana"/>
                      <w:sz w:val="18"/>
                      <w:szCs w:val="18"/>
                    </w:rPr>
                  </w:pPr>
                </w:p>
              </w:tc>
            </w:tr>
            <w:tr w:rsidR="008838AB" w:rsidRPr="00E705AC" w14:paraId="2FFF2765" w14:textId="77777777" w:rsidTr="687EFF7E">
              <w:trPr>
                <w:trHeight w:val="300"/>
                <w:jc w:val="center"/>
              </w:trPr>
              <w:tc>
                <w:tcPr>
                  <w:tcW w:w="13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B06B0B" w14:textId="77777777" w:rsidR="008838AB" w:rsidRPr="00E705AC" w:rsidRDefault="008838AB" w:rsidP="008838AB">
                  <w:pPr>
                    <w:rPr>
                      <w:rFonts w:ascii="Verdana" w:hAnsi="Verdana"/>
                      <w:sz w:val="18"/>
                      <w:szCs w:val="18"/>
                    </w:rPr>
                  </w:pPr>
                  <w:r w:rsidRPr="00E705AC">
                    <w:rPr>
                      <w:rFonts w:ascii="Verdana" w:hAnsi="Verdana"/>
                      <w:sz w:val="18"/>
                      <w:szCs w:val="18"/>
                    </w:rPr>
                    <w:t>Sin Información</w:t>
                  </w:r>
                </w:p>
              </w:tc>
              <w:tc>
                <w:tcPr>
                  <w:tcW w:w="9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0075F6F" w14:textId="77777777" w:rsidR="008838AB" w:rsidRPr="00E705AC" w:rsidRDefault="008838AB" w:rsidP="008838AB">
                  <w:pPr>
                    <w:jc w:val="center"/>
                    <w:rPr>
                      <w:rFonts w:ascii="Verdana" w:hAnsi="Verdana"/>
                      <w:sz w:val="18"/>
                      <w:szCs w:val="18"/>
                    </w:rPr>
                  </w:pPr>
                  <w:r w:rsidRPr="00E705AC">
                    <w:rPr>
                      <w:rFonts w:ascii="Verdana" w:hAnsi="Verdana"/>
                      <w:sz w:val="18"/>
                      <w:szCs w:val="18"/>
                    </w:rPr>
                    <w:t>126</w:t>
                  </w:r>
                </w:p>
              </w:tc>
              <w:tc>
                <w:tcPr>
                  <w:tcW w:w="9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5E50862" w14:textId="77777777" w:rsidR="008838AB" w:rsidRPr="00E705AC" w:rsidRDefault="008838AB" w:rsidP="008838AB">
                  <w:pPr>
                    <w:jc w:val="center"/>
                    <w:rPr>
                      <w:rFonts w:ascii="Verdana" w:hAnsi="Verdana"/>
                      <w:sz w:val="18"/>
                      <w:szCs w:val="18"/>
                    </w:rPr>
                  </w:pPr>
                  <w:r w:rsidRPr="00E705AC">
                    <w:rPr>
                      <w:rFonts w:ascii="Verdana" w:hAnsi="Verdana"/>
                      <w:sz w:val="18"/>
                      <w:szCs w:val="18"/>
                    </w:rPr>
                    <w:t>235</w:t>
                  </w:r>
                </w:p>
              </w:tc>
              <w:tc>
                <w:tcPr>
                  <w:tcW w:w="9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E7F5007" w14:textId="77777777" w:rsidR="008838AB" w:rsidRPr="00E705AC" w:rsidRDefault="008838AB" w:rsidP="008838AB">
                  <w:pPr>
                    <w:jc w:val="center"/>
                    <w:rPr>
                      <w:rFonts w:ascii="Verdana" w:hAnsi="Verdana"/>
                      <w:sz w:val="18"/>
                      <w:szCs w:val="18"/>
                    </w:rPr>
                  </w:pPr>
                  <w:r w:rsidRPr="00E705AC">
                    <w:rPr>
                      <w:rFonts w:ascii="Verdana" w:hAnsi="Verdana"/>
                      <w:sz w:val="18"/>
                      <w:szCs w:val="18"/>
                    </w:rPr>
                    <w:t>114</w:t>
                  </w:r>
                </w:p>
              </w:tc>
              <w:tc>
                <w:tcPr>
                  <w:tcW w:w="9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52DC767" w14:textId="77777777" w:rsidR="008838AB" w:rsidRPr="00E705AC" w:rsidRDefault="008838AB" w:rsidP="008838AB">
                  <w:pPr>
                    <w:jc w:val="center"/>
                    <w:rPr>
                      <w:rFonts w:ascii="Verdana" w:hAnsi="Verdana"/>
                      <w:sz w:val="18"/>
                      <w:szCs w:val="18"/>
                    </w:rPr>
                  </w:pPr>
                  <w:r w:rsidRPr="00E705AC">
                    <w:rPr>
                      <w:rFonts w:ascii="Verdana" w:hAnsi="Verdana"/>
                      <w:sz w:val="18"/>
                      <w:szCs w:val="18"/>
                    </w:rPr>
                    <w:t>102</w:t>
                  </w:r>
                </w:p>
              </w:tc>
              <w:tc>
                <w:tcPr>
                  <w:tcW w:w="9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847905D" w14:textId="77777777" w:rsidR="008838AB" w:rsidRPr="00E705AC" w:rsidRDefault="008838AB" w:rsidP="008838AB">
                  <w:pPr>
                    <w:jc w:val="center"/>
                    <w:rPr>
                      <w:rFonts w:ascii="Verdana" w:hAnsi="Verdana"/>
                      <w:sz w:val="18"/>
                      <w:szCs w:val="18"/>
                    </w:rPr>
                  </w:pPr>
                  <w:r w:rsidRPr="00E705AC">
                    <w:rPr>
                      <w:rFonts w:ascii="Verdana" w:hAnsi="Verdana"/>
                      <w:sz w:val="18"/>
                      <w:szCs w:val="18"/>
                    </w:rPr>
                    <w:t>156</w:t>
                  </w:r>
                </w:p>
              </w:tc>
              <w:tc>
                <w:tcPr>
                  <w:tcW w:w="9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C7A0060" w14:textId="77777777" w:rsidR="008838AB" w:rsidRPr="00E705AC" w:rsidRDefault="008838AB" w:rsidP="008838AB">
                  <w:pPr>
                    <w:jc w:val="center"/>
                    <w:rPr>
                      <w:rFonts w:ascii="Verdana" w:hAnsi="Verdana"/>
                      <w:sz w:val="18"/>
                      <w:szCs w:val="18"/>
                    </w:rPr>
                  </w:pPr>
                  <w:r w:rsidRPr="00E705AC">
                    <w:rPr>
                      <w:rFonts w:ascii="Verdana" w:hAnsi="Verdana"/>
                      <w:sz w:val="18"/>
                      <w:szCs w:val="18"/>
                    </w:rPr>
                    <w:t>283</w:t>
                  </w:r>
                </w:p>
              </w:tc>
              <w:tc>
                <w:tcPr>
                  <w:tcW w:w="9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F6D2C62" w14:textId="77777777" w:rsidR="008838AB" w:rsidRPr="00E705AC" w:rsidRDefault="008838AB" w:rsidP="008838AB">
                  <w:pPr>
                    <w:jc w:val="center"/>
                    <w:rPr>
                      <w:rFonts w:ascii="Verdana" w:hAnsi="Verdana"/>
                      <w:sz w:val="18"/>
                      <w:szCs w:val="18"/>
                    </w:rPr>
                  </w:pPr>
                  <w:r w:rsidRPr="00E705AC">
                    <w:rPr>
                      <w:rFonts w:ascii="Verdana" w:hAnsi="Verdana"/>
                      <w:sz w:val="18"/>
                      <w:szCs w:val="18"/>
                    </w:rPr>
                    <w:t>129</w:t>
                  </w:r>
                </w:p>
              </w:tc>
              <w:tc>
                <w:tcPr>
                  <w:tcW w:w="70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A4C6659" w14:textId="77777777" w:rsidR="008838AB" w:rsidRPr="00E705AC" w:rsidRDefault="008838AB" w:rsidP="008838AB">
                  <w:pPr>
                    <w:jc w:val="center"/>
                    <w:rPr>
                      <w:rFonts w:ascii="Verdana" w:hAnsi="Verdana"/>
                      <w:sz w:val="18"/>
                      <w:szCs w:val="18"/>
                    </w:rPr>
                  </w:pPr>
                  <w:r w:rsidRPr="00E705AC">
                    <w:rPr>
                      <w:rFonts w:ascii="Verdana" w:hAnsi="Verdana"/>
                      <w:sz w:val="18"/>
                      <w:szCs w:val="18"/>
                    </w:rPr>
                    <w:t>26</w:t>
                  </w:r>
                </w:p>
              </w:tc>
            </w:tr>
            <w:tr w:rsidR="008838AB" w:rsidRPr="00E705AC" w14:paraId="257DDD2B" w14:textId="77777777" w:rsidTr="687EFF7E">
              <w:trPr>
                <w:trHeight w:val="300"/>
                <w:jc w:val="center"/>
              </w:trPr>
              <w:tc>
                <w:tcPr>
                  <w:tcW w:w="13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A9716F8" w14:textId="77777777" w:rsidR="008838AB" w:rsidRPr="00E705AC" w:rsidRDefault="008838AB" w:rsidP="008838AB">
                  <w:pPr>
                    <w:rPr>
                      <w:rFonts w:ascii="Verdana" w:hAnsi="Verdana"/>
                      <w:sz w:val="18"/>
                      <w:szCs w:val="18"/>
                    </w:rPr>
                  </w:pPr>
                  <w:r w:rsidRPr="00E705AC">
                    <w:rPr>
                      <w:rFonts w:ascii="Verdana" w:hAnsi="Verdana"/>
                      <w:sz w:val="18"/>
                      <w:szCs w:val="18"/>
                    </w:rPr>
                    <w:t>Total</w:t>
                  </w:r>
                </w:p>
              </w:tc>
              <w:tc>
                <w:tcPr>
                  <w:tcW w:w="9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1591AA9" w14:textId="77777777" w:rsidR="008838AB" w:rsidRPr="00E705AC" w:rsidRDefault="008838AB" w:rsidP="008838AB">
                  <w:pPr>
                    <w:jc w:val="center"/>
                    <w:rPr>
                      <w:rFonts w:ascii="Verdana" w:hAnsi="Verdana"/>
                      <w:sz w:val="18"/>
                      <w:szCs w:val="18"/>
                    </w:rPr>
                  </w:pPr>
                  <w:r w:rsidRPr="00E705AC">
                    <w:rPr>
                      <w:rFonts w:ascii="Verdana" w:hAnsi="Verdana"/>
                      <w:sz w:val="18"/>
                      <w:szCs w:val="18"/>
                    </w:rPr>
                    <w:t>968</w:t>
                  </w:r>
                </w:p>
              </w:tc>
              <w:tc>
                <w:tcPr>
                  <w:tcW w:w="9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26094D2" w14:textId="77777777" w:rsidR="008838AB" w:rsidRPr="00E705AC" w:rsidRDefault="008838AB" w:rsidP="008838AB">
                  <w:pPr>
                    <w:jc w:val="center"/>
                    <w:rPr>
                      <w:rFonts w:ascii="Verdana" w:hAnsi="Verdana"/>
                      <w:sz w:val="18"/>
                      <w:szCs w:val="18"/>
                    </w:rPr>
                  </w:pPr>
                  <w:r w:rsidRPr="00E705AC">
                    <w:rPr>
                      <w:rFonts w:ascii="Verdana" w:hAnsi="Verdana"/>
                      <w:sz w:val="18"/>
                      <w:szCs w:val="18"/>
                    </w:rPr>
                    <w:t>1877</w:t>
                  </w:r>
                </w:p>
              </w:tc>
              <w:tc>
                <w:tcPr>
                  <w:tcW w:w="9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E3A0473" w14:textId="77777777" w:rsidR="008838AB" w:rsidRPr="00E705AC" w:rsidRDefault="008838AB" w:rsidP="008838AB">
                  <w:pPr>
                    <w:jc w:val="center"/>
                    <w:rPr>
                      <w:rFonts w:ascii="Verdana" w:hAnsi="Verdana"/>
                      <w:sz w:val="18"/>
                      <w:szCs w:val="18"/>
                    </w:rPr>
                  </w:pPr>
                  <w:r w:rsidRPr="00E705AC">
                    <w:rPr>
                      <w:rFonts w:ascii="Verdana" w:hAnsi="Verdana"/>
                      <w:sz w:val="18"/>
                      <w:szCs w:val="18"/>
                    </w:rPr>
                    <w:t>1018</w:t>
                  </w:r>
                </w:p>
              </w:tc>
              <w:tc>
                <w:tcPr>
                  <w:tcW w:w="9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2C9602F" w14:textId="77777777" w:rsidR="008838AB" w:rsidRPr="00E705AC" w:rsidRDefault="008838AB" w:rsidP="008838AB">
                  <w:pPr>
                    <w:jc w:val="center"/>
                    <w:rPr>
                      <w:rFonts w:ascii="Verdana" w:hAnsi="Verdana"/>
                      <w:sz w:val="18"/>
                      <w:szCs w:val="18"/>
                    </w:rPr>
                  </w:pPr>
                  <w:r w:rsidRPr="00E705AC">
                    <w:rPr>
                      <w:rFonts w:ascii="Verdana" w:hAnsi="Verdana"/>
                      <w:sz w:val="18"/>
                      <w:szCs w:val="18"/>
                    </w:rPr>
                    <w:t>1288</w:t>
                  </w:r>
                </w:p>
              </w:tc>
              <w:tc>
                <w:tcPr>
                  <w:tcW w:w="9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27BAB96" w14:textId="77777777" w:rsidR="008838AB" w:rsidRPr="00E705AC" w:rsidRDefault="008838AB" w:rsidP="008838AB">
                  <w:pPr>
                    <w:jc w:val="center"/>
                    <w:rPr>
                      <w:rFonts w:ascii="Verdana" w:hAnsi="Verdana"/>
                      <w:sz w:val="18"/>
                      <w:szCs w:val="18"/>
                    </w:rPr>
                  </w:pPr>
                  <w:r w:rsidRPr="00E705AC">
                    <w:rPr>
                      <w:rFonts w:ascii="Verdana" w:hAnsi="Verdana"/>
                      <w:sz w:val="18"/>
                      <w:szCs w:val="18"/>
                    </w:rPr>
                    <w:t>515</w:t>
                  </w:r>
                </w:p>
              </w:tc>
              <w:tc>
                <w:tcPr>
                  <w:tcW w:w="9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728265" w14:textId="77777777" w:rsidR="008838AB" w:rsidRPr="00E705AC" w:rsidRDefault="008838AB" w:rsidP="008838AB">
                  <w:pPr>
                    <w:jc w:val="center"/>
                    <w:rPr>
                      <w:rFonts w:ascii="Verdana" w:hAnsi="Verdana"/>
                      <w:sz w:val="18"/>
                      <w:szCs w:val="18"/>
                    </w:rPr>
                  </w:pPr>
                  <w:r w:rsidRPr="00E705AC">
                    <w:rPr>
                      <w:rFonts w:ascii="Verdana" w:hAnsi="Verdana"/>
                      <w:sz w:val="18"/>
                      <w:szCs w:val="18"/>
                    </w:rPr>
                    <w:t>689</w:t>
                  </w:r>
                </w:p>
              </w:tc>
              <w:tc>
                <w:tcPr>
                  <w:tcW w:w="9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011B8E" w14:textId="77777777" w:rsidR="008838AB" w:rsidRPr="00E705AC" w:rsidRDefault="008838AB" w:rsidP="008838AB">
                  <w:pPr>
                    <w:jc w:val="center"/>
                    <w:rPr>
                      <w:rFonts w:ascii="Verdana" w:hAnsi="Verdana"/>
                      <w:sz w:val="18"/>
                      <w:szCs w:val="18"/>
                    </w:rPr>
                  </w:pPr>
                  <w:r w:rsidRPr="00E705AC">
                    <w:rPr>
                      <w:rFonts w:ascii="Verdana" w:hAnsi="Verdana"/>
                      <w:sz w:val="18"/>
                      <w:szCs w:val="18"/>
                    </w:rPr>
                    <w:t>397</w:t>
                  </w:r>
                </w:p>
              </w:tc>
              <w:tc>
                <w:tcPr>
                  <w:tcW w:w="70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E8AFFA3" w14:textId="77777777" w:rsidR="008838AB" w:rsidRPr="00E705AC" w:rsidRDefault="008838AB" w:rsidP="008838AB">
                  <w:pPr>
                    <w:jc w:val="center"/>
                    <w:rPr>
                      <w:rFonts w:ascii="Verdana" w:hAnsi="Verdana"/>
                      <w:sz w:val="18"/>
                      <w:szCs w:val="18"/>
                    </w:rPr>
                  </w:pPr>
                  <w:r w:rsidRPr="00E705AC">
                    <w:rPr>
                      <w:rFonts w:ascii="Verdana" w:hAnsi="Verdana"/>
                      <w:sz w:val="18"/>
                      <w:szCs w:val="18"/>
                    </w:rPr>
                    <w:t>715</w:t>
                  </w:r>
                </w:p>
              </w:tc>
            </w:tr>
          </w:tbl>
          <w:p w14:paraId="592199C3" w14:textId="2D9CB720" w:rsidR="008838AB" w:rsidRPr="004A500F" w:rsidRDefault="008838AB" w:rsidP="163BC4B9">
            <w:pPr>
              <w:rPr>
                <w:rFonts w:ascii="Verdana" w:hAnsi="Verdana"/>
                <w:i/>
                <w:iCs/>
                <w:sz w:val="16"/>
                <w:szCs w:val="16"/>
              </w:rPr>
            </w:pPr>
            <w:r w:rsidRPr="163BC4B9">
              <w:rPr>
                <w:rFonts w:ascii="Verdana" w:hAnsi="Verdana"/>
                <w:i/>
                <w:iCs/>
                <w:sz w:val="16"/>
                <w:szCs w:val="16"/>
                <w:lang w:val="es-MX"/>
              </w:rPr>
              <w:t xml:space="preserve">Fuente: </w:t>
            </w:r>
            <w:r w:rsidR="21495411" w:rsidRPr="163BC4B9">
              <w:rPr>
                <w:rFonts w:ascii="Verdana" w:hAnsi="Verdana"/>
                <w:i/>
                <w:iCs/>
                <w:sz w:val="16"/>
                <w:szCs w:val="16"/>
                <w:lang w:val="es-MX"/>
              </w:rPr>
              <w:t xml:space="preserve">Caracterización </w:t>
            </w:r>
            <w:r w:rsidR="6DFADA29" w:rsidRPr="163BC4B9">
              <w:rPr>
                <w:rFonts w:ascii="Verdana" w:hAnsi="Verdana"/>
                <w:i/>
                <w:iCs/>
                <w:sz w:val="16"/>
                <w:szCs w:val="16"/>
                <w:lang w:val="es-MX"/>
              </w:rPr>
              <w:t>s</w:t>
            </w:r>
            <w:r w:rsidR="21495411" w:rsidRPr="163BC4B9">
              <w:rPr>
                <w:rFonts w:ascii="Verdana" w:hAnsi="Verdana"/>
                <w:i/>
                <w:iCs/>
                <w:sz w:val="16"/>
                <w:szCs w:val="16"/>
                <w:lang w:val="es-MX"/>
              </w:rPr>
              <w:t xml:space="preserve">ocial realizada a través del Registro Único de Recicladores de Oficio (RURO) de la </w:t>
            </w:r>
            <w:r w:rsidRPr="163BC4B9">
              <w:rPr>
                <w:rFonts w:ascii="Verdana" w:hAnsi="Verdana"/>
                <w:i/>
                <w:iCs/>
                <w:sz w:val="16"/>
                <w:szCs w:val="16"/>
                <w:lang w:val="es-MX"/>
              </w:rPr>
              <w:t>Unidad Administrativa Especial de Servicios Públicos (</w:t>
            </w:r>
            <w:proofErr w:type="gramStart"/>
            <w:r w:rsidRPr="163BC4B9">
              <w:rPr>
                <w:rFonts w:ascii="Verdana" w:hAnsi="Verdana"/>
                <w:i/>
                <w:iCs/>
                <w:sz w:val="16"/>
                <w:szCs w:val="16"/>
                <w:lang w:val="es-MX"/>
              </w:rPr>
              <w:t>UAESP)</w:t>
            </w:r>
            <w:r w:rsidRPr="163BC4B9">
              <w:rPr>
                <w:rFonts w:ascii="Verdana" w:hAnsi="Verdana"/>
                <w:sz w:val="16"/>
                <w:szCs w:val="16"/>
              </w:rPr>
              <w:t> </w:t>
            </w:r>
            <w:r w:rsidR="19E5E05D" w:rsidRPr="163BC4B9">
              <w:rPr>
                <w:rFonts w:ascii="Verdana" w:hAnsi="Verdana"/>
                <w:i/>
                <w:iCs/>
                <w:sz w:val="16"/>
                <w:szCs w:val="16"/>
              </w:rPr>
              <w:t xml:space="preserve"> Disponible</w:t>
            </w:r>
            <w:proofErr w:type="gramEnd"/>
            <w:r w:rsidR="19E5E05D" w:rsidRPr="163BC4B9">
              <w:rPr>
                <w:rFonts w:ascii="Verdana" w:hAnsi="Verdana"/>
                <w:i/>
                <w:iCs/>
                <w:sz w:val="16"/>
                <w:szCs w:val="16"/>
              </w:rPr>
              <w:t xml:space="preserve"> en : https://www.uaesp.gov.co/content/caracterizacion-organizaciones-recicladores</w:t>
            </w:r>
          </w:p>
          <w:p w14:paraId="689A8300" w14:textId="65397678" w:rsidR="008838AB" w:rsidRPr="004A500F" w:rsidRDefault="008838AB" w:rsidP="388D4128">
            <w:pPr>
              <w:rPr>
                <w:rFonts w:ascii="Verdana" w:hAnsi="Verdana"/>
                <w:sz w:val="16"/>
                <w:szCs w:val="16"/>
              </w:rPr>
            </w:pPr>
          </w:p>
          <w:p w14:paraId="4AC1DAFF" w14:textId="77777777" w:rsidR="008838AB" w:rsidRDefault="008838AB" w:rsidP="008838AB">
            <w:pPr>
              <w:jc w:val="both"/>
              <w:rPr>
                <w:rFonts w:ascii="Verdana" w:hAnsi="Verdana"/>
                <w:lang w:val="es-MX"/>
              </w:rPr>
            </w:pPr>
            <w:r w:rsidRPr="004A500F">
              <w:rPr>
                <w:rFonts w:ascii="Verdana" w:hAnsi="Verdana"/>
                <w:lang w:val="es-MX"/>
              </w:rPr>
              <w:t>Por su parte, sobre el acceso a vivienda de los recicladores de oficio de la ciudad capital ingresados al RURO durante los años 2016 a 2023, se observa que, la mayoría de estos cuentan con viviendas arrendadas, seguido de la vivienda propia. Cabe resaltar que, existe una población importante de recicladores de oficio en Bogotá que no brindó información acerca de su lugar de vivienda en el registro de recicladores de oficio.</w:t>
            </w:r>
          </w:p>
          <w:p w14:paraId="09FB52AA" w14:textId="77777777" w:rsidR="008838AB" w:rsidRDefault="008838AB" w:rsidP="008838AB">
            <w:pPr>
              <w:jc w:val="both"/>
              <w:rPr>
                <w:rFonts w:ascii="Verdana" w:hAnsi="Verdana"/>
                <w:lang w:val="es-MX"/>
              </w:rPr>
            </w:pPr>
          </w:p>
          <w:p w14:paraId="099EF810" w14:textId="7051B97F" w:rsidR="008838AB" w:rsidRPr="004A500F" w:rsidRDefault="008838AB" w:rsidP="008838AB">
            <w:pPr>
              <w:jc w:val="center"/>
              <w:rPr>
                <w:rFonts w:ascii="Verdana" w:hAnsi="Verdana"/>
                <w:i/>
                <w:iCs/>
              </w:rPr>
            </w:pPr>
            <w:r w:rsidRPr="00720245">
              <w:rPr>
                <w:rFonts w:ascii="Verdana" w:hAnsi="Verdana"/>
                <w:i/>
                <w:iCs/>
              </w:rPr>
              <w:t xml:space="preserve">Tabla </w:t>
            </w:r>
            <w:r w:rsidR="00B6266A" w:rsidRPr="00720245">
              <w:rPr>
                <w:rFonts w:ascii="Verdana" w:hAnsi="Verdana"/>
                <w:i/>
                <w:iCs/>
              </w:rPr>
              <w:t>5</w:t>
            </w:r>
            <w:r w:rsidRPr="00720245">
              <w:rPr>
                <w:rFonts w:ascii="Verdana" w:hAnsi="Verdana"/>
                <w:i/>
                <w:iCs/>
              </w:rPr>
              <w:t>.</w:t>
            </w:r>
            <w:r w:rsidRPr="004A500F">
              <w:rPr>
                <w:rFonts w:ascii="Verdana" w:hAnsi="Verdana"/>
                <w:i/>
                <w:iCs/>
              </w:rPr>
              <w:t xml:space="preserve"> Acceso a vivienda de los recicladores de oficio de Bogotá</w:t>
            </w:r>
          </w:p>
          <w:tbl>
            <w:tblPr>
              <w:tblW w:w="8505"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02"/>
              <w:gridCol w:w="764"/>
              <w:gridCol w:w="839"/>
              <w:gridCol w:w="988"/>
              <w:gridCol w:w="839"/>
              <w:gridCol w:w="839"/>
              <w:gridCol w:w="839"/>
              <w:gridCol w:w="839"/>
              <w:gridCol w:w="656"/>
            </w:tblGrid>
            <w:tr w:rsidR="008838AB" w:rsidRPr="004A500F" w14:paraId="23261655" w14:textId="77777777" w:rsidTr="687EFF7E">
              <w:trPr>
                <w:trHeight w:val="300"/>
                <w:tblHeader/>
                <w:jc w:val="center"/>
              </w:trPr>
              <w:tc>
                <w:tcPr>
                  <w:tcW w:w="190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29F290C" w14:textId="77777777" w:rsidR="008838AB" w:rsidRPr="004A500F" w:rsidRDefault="008838AB" w:rsidP="008838AB">
                  <w:pPr>
                    <w:jc w:val="center"/>
                    <w:rPr>
                      <w:rFonts w:ascii="Verdana" w:hAnsi="Verdana"/>
                      <w:sz w:val="18"/>
                      <w:szCs w:val="18"/>
                    </w:rPr>
                  </w:pPr>
                  <w:r w:rsidRPr="004A500F">
                    <w:rPr>
                      <w:rFonts w:ascii="Verdana" w:hAnsi="Verdana"/>
                      <w:b/>
                      <w:bCs/>
                      <w:sz w:val="18"/>
                      <w:szCs w:val="18"/>
                    </w:rPr>
                    <w:t>Tipo de Vivienda</w:t>
                  </w:r>
                </w:p>
              </w:tc>
              <w:tc>
                <w:tcPr>
                  <w:tcW w:w="764"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EF683C8" w14:textId="77777777" w:rsidR="008838AB" w:rsidRPr="004A500F" w:rsidRDefault="008838AB" w:rsidP="008838AB">
                  <w:pPr>
                    <w:jc w:val="center"/>
                    <w:rPr>
                      <w:rFonts w:ascii="Verdana" w:hAnsi="Verdana"/>
                      <w:sz w:val="18"/>
                      <w:szCs w:val="18"/>
                    </w:rPr>
                  </w:pPr>
                  <w:r w:rsidRPr="004A500F">
                    <w:rPr>
                      <w:rFonts w:ascii="Verdana" w:hAnsi="Verdana"/>
                      <w:b/>
                      <w:bCs/>
                      <w:sz w:val="18"/>
                      <w:szCs w:val="18"/>
                    </w:rPr>
                    <w:t>2016</w:t>
                  </w:r>
                </w:p>
              </w:tc>
              <w:tc>
                <w:tcPr>
                  <w:tcW w:w="83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22A6200" w14:textId="77777777" w:rsidR="008838AB" w:rsidRPr="004A500F" w:rsidRDefault="008838AB" w:rsidP="008838AB">
                  <w:pPr>
                    <w:jc w:val="center"/>
                    <w:rPr>
                      <w:rFonts w:ascii="Verdana" w:hAnsi="Verdana"/>
                      <w:sz w:val="18"/>
                      <w:szCs w:val="18"/>
                    </w:rPr>
                  </w:pPr>
                  <w:r w:rsidRPr="004A500F">
                    <w:rPr>
                      <w:rFonts w:ascii="Verdana" w:hAnsi="Verdana"/>
                      <w:b/>
                      <w:bCs/>
                      <w:sz w:val="18"/>
                      <w:szCs w:val="18"/>
                    </w:rPr>
                    <w:t>2017</w:t>
                  </w:r>
                </w:p>
              </w:tc>
              <w:tc>
                <w:tcPr>
                  <w:tcW w:w="98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EFE8BBD" w14:textId="77777777" w:rsidR="008838AB" w:rsidRPr="004A500F" w:rsidRDefault="008838AB" w:rsidP="008838AB">
                  <w:pPr>
                    <w:jc w:val="center"/>
                    <w:rPr>
                      <w:rFonts w:ascii="Verdana" w:hAnsi="Verdana"/>
                      <w:sz w:val="18"/>
                      <w:szCs w:val="18"/>
                    </w:rPr>
                  </w:pPr>
                  <w:r w:rsidRPr="004A500F">
                    <w:rPr>
                      <w:rFonts w:ascii="Verdana" w:hAnsi="Verdana"/>
                      <w:b/>
                      <w:bCs/>
                      <w:sz w:val="18"/>
                      <w:szCs w:val="18"/>
                    </w:rPr>
                    <w:t>2018</w:t>
                  </w:r>
                </w:p>
              </w:tc>
              <w:tc>
                <w:tcPr>
                  <w:tcW w:w="83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643C7AC" w14:textId="77777777" w:rsidR="008838AB" w:rsidRPr="004A500F" w:rsidRDefault="008838AB" w:rsidP="008838AB">
                  <w:pPr>
                    <w:jc w:val="center"/>
                    <w:rPr>
                      <w:rFonts w:ascii="Verdana" w:hAnsi="Verdana"/>
                      <w:sz w:val="18"/>
                      <w:szCs w:val="18"/>
                    </w:rPr>
                  </w:pPr>
                  <w:r w:rsidRPr="004A500F">
                    <w:rPr>
                      <w:rFonts w:ascii="Verdana" w:hAnsi="Verdana"/>
                      <w:b/>
                      <w:bCs/>
                      <w:sz w:val="18"/>
                      <w:szCs w:val="18"/>
                    </w:rPr>
                    <w:t>2019</w:t>
                  </w:r>
                </w:p>
              </w:tc>
              <w:tc>
                <w:tcPr>
                  <w:tcW w:w="83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14FEE8B" w14:textId="77777777" w:rsidR="008838AB" w:rsidRPr="004A500F" w:rsidRDefault="008838AB" w:rsidP="008838AB">
                  <w:pPr>
                    <w:jc w:val="center"/>
                    <w:rPr>
                      <w:rFonts w:ascii="Verdana" w:hAnsi="Verdana"/>
                      <w:sz w:val="18"/>
                      <w:szCs w:val="18"/>
                    </w:rPr>
                  </w:pPr>
                  <w:r w:rsidRPr="004A500F">
                    <w:rPr>
                      <w:rFonts w:ascii="Verdana" w:hAnsi="Verdana"/>
                      <w:b/>
                      <w:bCs/>
                      <w:sz w:val="18"/>
                      <w:szCs w:val="18"/>
                    </w:rPr>
                    <w:t>2020</w:t>
                  </w:r>
                </w:p>
              </w:tc>
              <w:tc>
                <w:tcPr>
                  <w:tcW w:w="83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27F3B44" w14:textId="77777777" w:rsidR="008838AB" w:rsidRPr="004A500F" w:rsidRDefault="008838AB" w:rsidP="008838AB">
                  <w:pPr>
                    <w:jc w:val="center"/>
                    <w:rPr>
                      <w:rFonts w:ascii="Verdana" w:hAnsi="Verdana"/>
                      <w:sz w:val="18"/>
                      <w:szCs w:val="18"/>
                    </w:rPr>
                  </w:pPr>
                  <w:r w:rsidRPr="004A500F">
                    <w:rPr>
                      <w:rFonts w:ascii="Verdana" w:hAnsi="Verdana"/>
                      <w:b/>
                      <w:bCs/>
                      <w:sz w:val="18"/>
                      <w:szCs w:val="18"/>
                    </w:rPr>
                    <w:t>2021</w:t>
                  </w:r>
                </w:p>
              </w:tc>
              <w:tc>
                <w:tcPr>
                  <w:tcW w:w="83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6116157" w14:textId="77777777" w:rsidR="008838AB" w:rsidRPr="004A500F" w:rsidRDefault="008838AB" w:rsidP="008838AB">
                  <w:pPr>
                    <w:jc w:val="center"/>
                    <w:rPr>
                      <w:rFonts w:ascii="Verdana" w:hAnsi="Verdana"/>
                      <w:sz w:val="18"/>
                      <w:szCs w:val="18"/>
                    </w:rPr>
                  </w:pPr>
                  <w:r w:rsidRPr="004A500F">
                    <w:rPr>
                      <w:rFonts w:ascii="Verdana" w:hAnsi="Verdana"/>
                      <w:b/>
                      <w:bCs/>
                      <w:sz w:val="18"/>
                      <w:szCs w:val="18"/>
                    </w:rPr>
                    <w:t>2022</w:t>
                  </w:r>
                </w:p>
              </w:tc>
              <w:tc>
                <w:tcPr>
                  <w:tcW w:w="65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3D024F1" w14:textId="77777777" w:rsidR="008838AB" w:rsidRPr="004A500F" w:rsidRDefault="008838AB" w:rsidP="008838AB">
                  <w:pPr>
                    <w:jc w:val="center"/>
                    <w:rPr>
                      <w:rFonts w:ascii="Verdana" w:hAnsi="Verdana"/>
                      <w:sz w:val="18"/>
                      <w:szCs w:val="18"/>
                    </w:rPr>
                  </w:pPr>
                  <w:r w:rsidRPr="004A500F">
                    <w:rPr>
                      <w:rFonts w:ascii="Verdana" w:hAnsi="Verdana"/>
                      <w:b/>
                      <w:bCs/>
                      <w:sz w:val="18"/>
                      <w:szCs w:val="18"/>
                    </w:rPr>
                    <w:t>2023</w:t>
                  </w:r>
                </w:p>
              </w:tc>
            </w:tr>
            <w:tr w:rsidR="008838AB" w:rsidRPr="004A500F" w14:paraId="7EB9859E" w14:textId="77777777" w:rsidTr="687EFF7E">
              <w:trPr>
                <w:trHeight w:val="300"/>
                <w:jc w:val="center"/>
              </w:trPr>
              <w:tc>
                <w:tcPr>
                  <w:tcW w:w="190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7337A1F" w14:textId="77777777" w:rsidR="008838AB" w:rsidRPr="004A500F" w:rsidRDefault="008838AB" w:rsidP="008838AB">
                  <w:pPr>
                    <w:rPr>
                      <w:rFonts w:ascii="Verdana" w:hAnsi="Verdana"/>
                      <w:sz w:val="18"/>
                      <w:szCs w:val="18"/>
                    </w:rPr>
                  </w:pPr>
                  <w:r w:rsidRPr="004A500F">
                    <w:rPr>
                      <w:rFonts w:ascii="Verdana" w:hAnsi="Verdana"/>
                      <w:sz w:val="18"/>
                      <w:szCs w:val="18"/>
                    </w:rPr>
                    <w:t>Arrendada </w:t>
                  </w:r>
                </w:p>
              </w:tc>
              <w:tc>
                <w:tcPr>
                  <w:tcW w:w="764"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CE0B66D" w14:textId="77777777" w:rsidR="008838AB" w:rsidRPr="004A500F" w:rsidRDefault="008838AB" w:rsidP="008838AB">
                  <w:pPr>
                    <w:jc w:val="right"/>
                    <w:rPr>
                      <w:rFonts w:ascii="Verdana" w:hAnsi="Verdana"/>
                      <w:sz w:val="18"/>
                      <w:szCs w:val="18"/>
                    </w:rPr>
                  </w:pPr>
                  <w:r w:rsidRPr="004A500F">
                    <w:rPr>
                      <w:rFonts w:ascii="Verdana" w:hAnsi="Verdana"/>
                      <w:sz w:val="18"/>
                      <w:szCs w:val="18"/>
                    </w:rPr>
                    <w:t>509 </w:t>
                  </w:r>
                </w:p>
              </w:tc>
              <w:tc>
                <w:tcPr>
                  <w:tcW w:w="83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3C35229" w14:textId="77777777" w:rsidR="008838AB" w:rsidRPr="004A500F" w:rsidRDefault="008838AB" w:rsidP="008838AB">
                  <w:pPr>
                    <w:jc w:val="right"/>
                    <w:rPr>
                      <w:rFonts w:ascii="Verdana" w:hAnsi="Verdana"/>
                      <w:sz w:val="18"/>
                      <w:szCs w:val="18"/>
                    </w:rPr>
                  </w:pPr>
                  <w:r w:rsidRPr="004A500F">
                    <w:rPr>
                      <w:rFonts w:ascii="Verdana" w:hAnsi="Verdana"/>
                      <w:sz w:val="18"/>
                      <w:szCs w:val="18"/>
                    </w:rPr>
                    <w:t>1098 </w:t>
                  </w:r>
                </w:p>
              </w:tc>
              <w:tc>
                <w:tcPr>
                  <w:tcW w:w="98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733AB36" w14:textId="77777777" w:rsidR="008838AB" w:rsidRPr="004A500F" w:rsidRDefault="008838AB" w:rsidP="008838AB">
                  <w:pPr>
                    <w:jc w:val="right"/>
                    <w:rPr>
                      <w:rFonts w:ascii="Verdana" w:hAnsi="Verdana"/>
                      <w:sz w:val="18"/>
                      <w:szCs w:val="18"/>
                    </w:rPr>
                  </w:pPr>
                  <w:r w:rsidRPr="004A500F">
                    <w:rPr>
                      <w:rFonts w:ascii="Verdana" w:hAnsi="Verdana"/>
                      <w:sz w:val="18"/>
                      <w:szCs w:val="18"/>
                    </w:rPr>
                    <w:t>592 </w:t>
                  </w:r>
                </w:p>
              </w:tc>
              <w:tc>
                <w:tcPr>
                  <w:tcW w:w="83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43C18EC" w14:textId="77777777" w:rsidR="008838AB" w:rsidRPr="004A500F" w:rsidRDefault="008838AB" w:rsidP="008838AB">
                  <w:pPr>
                    <w:jc w:val="right"/>
                    <w:rPr>
                      <w:rFonts w:ascii="Verdana" w:hAnsi="Verdana"/>
                      <w:sz w:val="18"/>
                      <w:szCs w:val="18"/>
                    </w:rPr>
                  </w:pPr>
                  <w:r w:rsidRPr="004A500F">
                    <w:rPr>
                      <w:rFonts w:ascii="Verdana" w:hAnsi="Verdana"/>
                      <w:sz w:val="18"/>
                      <w:szCs w:val="18"/>
                    </w:rPr>
                    <w:t>995 </w:t>
                  </w:r>
                </w:p>
              </w:tc>
              <w:tc>
                <w:tcPr>
                  <w:tcW w:w="83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094FB90" w14:textId="77777777" w:rsidR="008838AB" w:rsidRPr="004A500F" w:rsidRDefault="008838AB" w:rsidP="008838AB">
                  <w:pPr>
                    <w:jc w:val="right"/>
                    <w:rPr>
                      <w:rFonts w:ascii="Verdana" w:hAnsi="Verdana"/>
                      <w:sz w:val="18"/>
                      <w:szCs w:val="18"/>
                    </w:rPr>
                  </w:pPr>
                  <w:r w:rsidRPr="004A500F">
                    <w:rPr>
                      <w:rFonts w:ascii="Verdana" w:hAnsi="Verdana"/>
                      <w:sz w:val="18"/>
                      <w:szCs w:val="18"/>
                    </w:rPr>
                    <w:t>303 </w:t>
                  </w:r>
                </w:p>
              </w:tc>
              <w:tc>
                <w:tcPr>
                  <w:tcW w:w="83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E839761" w14:textId="77777777" w:rsidR="008838AB" w:rsidRPr="004A500F" w:rsidRDefault="008838AB" w:rsidP="008838AB">
                  <w:pPr>
                    <w:jc w:val="right"/>
                    <w:rPr>
                      <w:rFonts w:ascii="Verdana" w:hAnsi="Verdana"/>
                      <w:sz w:val="18"/>
                      <w:szCs w:val="18"/>
                    </w:rPr>
                  </w:pPr>
                  <w:r w:rsidRPr="004A500F">
                    <w:rPr>
                      <w:rFonts w:ascii="Verdana" w:hAnsi="Verdana"/>
                      <w:sz w:val="18"/>
                      <w:szCs w:val="18"/>
                    </w:rPr>
                    <w:t>492 </w:t>
                  </w:r>
                </w:p>
              </w:tc>
              <w:tc>
                <w:tcPr>
                  <w:tcW w:w="83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9535CCD" w14:textId="77777777" w:rsidR="008838AB" w:rsidRPr="004A500F" w:rsidRDefault="008838AB" w:rsidP="008838AB">
                  <w:pPr>
                    <w:jc w:val="right"/>
                    <w:rPr>
                      <w:rFonts w:ascii="Verdana" w:hAnsi="Verdana"/>
                      <w:sz w:val="18"/>
                      <w:szCs w:val="18"/>
                    </w:rPr>
                  </w:pPr>
                  <w:r w:rsidRPr="004A500F">
                    <w:rPr>
                      <w:rFonts w:ascii="Verdana" w:hAnsi="Verdana"/>
                      <w:sz w:val="18"/>
                      <w:szCs w:val="18"/>
                    </w:rPr>
                    <w:t>310 </w:t>
                  </w:r>
                </w:p>
              </w:tc>
              <w:tc>
                <w:tcPr>
                  <w:tcW w:w="65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E1BE1FD" w14:textId="77777777" w:rsidR="008838AB" w:rsidRPr="004A500F" w:rsidRDefault="008838AB" w:rsidP="008838AB">
                  <w:pPr>
                    <w:jc w:val="right"/>
                    <w:rPr>
                      <w:rFonts w:ascii="Verdana" w:hAnsi="Verdana"/>
                      <w:sz w:val="18"/>
                      <w:szCs w:val="18"/>
                    </w:rPr>
                  </w:pPr>
                  <w:r w:rsidRPr="004A500F">
                    <w:rPr>
                      <w:rFonts w:ascii="Verdana" w:hAnsi="Verdana"/>
                      <w:sz w:val="18"/>
                      <w:szCs w:val="18"/>
                    </w:rPr>
                    <w:t>544 </w:t>
                  </w:r>
                </w:p>
              </w:tc>
            </w:tr>
            <w:tr w:rsidR="008838AB" w:rsidRPr="004A500F" w14:paraId="06E58C70" w14:textId="77777777" w:rsidTr="687EFF7E">
              <w:trPr>
                <w:trHeight w:val="300"/>
                <w:jc w:val="center"/>
              </w:trPr>
              <w:tc>
                <w:tcPr>
                  <w:tcW w:w="190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E47EF04" w14:textId="77777777" w:rsidR="008838AB" w:rsidRPr="004A500F" w:rsidRDefault="008838AB" w:rsidP="008838AB">
                  <w:pPr>
                    <w:rPr>
                      <w:rFonts w:ascii="Verdana" w:hAnsi="Verdana"/>
                      <w:sz w:val="18"/>
                      <w:szCs w:val="18"/>
                    </w:rPr>
                  </w:pPr>
                  <w:r w:rsidRPr="004A500F">
                    <w:rPr>
                      <w:rFonts w:ascii="Verdana" w:hAnsi="Verdana"/>
                      <w:sz w:val="18"/>
                      <w:szCs w:val="18"/>
                    </w:rPr>
                    <w:t>Propia </w:t>
                  </w:r>
                </w:p>
              </w:tc>
              <w:tc>
                <w:tcPr>
                  <w:tcW w:w="764"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8A94698" w14:textId="77777777" w:rsidR="008838AB" w:rsidRPr="004A500F" w:rsidRDefault="008838AB" w:rsidP="008838AB">
                  <w:pPr>
                    <w:jc w:val="right"/>
                    <w:rPr>
                      <w:rFonts w:ascii="Verdana" w:hAnsi="Verdana"/>
                      <w:sz w:val="18"/>
                      <w:szCs w:val="18"/>
                    </w:rPr>
                  </w:pPr>
                  <w:r w:rsidRPr="004A500F">
                    <w:rPr>
                      <w:rFonts w:ascii="Verdana" w:hAnsi="Verdana"/>
                      <w:sz w:val="18"/>
                      <w:szCs w:val="18"/>
                    </w:rPr>
                    <w:t>107 </w:t>
                  </w:r>
                </w:p>
              </w:tc>
              <w:tc>
                <w:tcPr>
                  <w:tcW w:w="83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05FC67" w14:textId="77777777" w:rsidR="008838AB" w:rsidRPr="004A500F" w:rsidRDefault="008838AB" w:rsidP="008838AB">
                  <w:pPr>
                    <w:jc w:val="right"/>
                    <w:rPr>
                      <w:rFonts w:ascii="Verdana" w:hAnsi="Verdana"/>
                      <w:sz w:val="18"/>
                      <w:szCs w:val="18"/>
                    </w:rPr>
                  </w:pPr>
                  <w:r w:rsidRPr="004A500F">
                    <w:rPr>
                      <w:rFonts w:ascii="Verdana" w:hAnsi="Verdana"/>
                      <w:sz w:val="18"/>
                      <w:szCs w:val="18"/>
                    </w:rPr>
                    <w:t>193 </w:t>
                  </w:r>
                </w:p>
              </w:tc>
              <w:tc>
                <w:tcPr>
                  <w:tcW w:w="98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DB0C453" w14:textId="77777777" w:rsidR="008838AB" w:rsidRPr="004A500F" w:rsidRDefault="008838AB" w:rsidP="008838AB">
                  <w:pPr>
                    <w:jc w:val="right"/>
                    <w:rPr>
                      <w:rFonts w:ascii="Verdana" w:hAnsi="Verdana"/>
                      <w:sz w:val="18"/>
                      <w:szCs w:val="18"/>
                    </w:rPr>
                  </w:pPr>
                  <w:r w:rsidRPr="004A500F">
                    <w:rPr>
                      <w:rFonts w:ascii="Verdana" w:hAnsi="Verdana"/>
                      <w:sz w:val="18"/>
                      <w:szCs w:val="18"/>
                    </w:rPr>
                    <w:t>116 </w:t>
                  </w:r>
                </w:p>
              </w:tc>
              <w:tc>
                <w:tcPr>
                  <w:tcW w:w="83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16873E1" w14:textId="77777777" w:rsidR="008838AB" w:rsidRPr="004A500F" w:rsidRDefault="008838AB" w:rsidP="008838AB">
                  <w:pPr>
                    <w:jc w:val="right"/>
                    <w:rPr>
                      <w:rFonts w:ascii="Verdana" w:hAnsi="Verdana"/>
                      <w:sz w:val="18"/>
                      <w:szCs w:val="18"/>
                    </w:rPr>
                  </w:pPr>
                  <w:r w:rsidRPr="004A500F">
                    <w:rPr>
                      <w:rFonts w:ascii="Verdana" w:hAnsi="Verdana"/>
                      <w:sz w:val="18"/>
                      <w:szCs w:val="18"/>
                    </w:rPr>
                    <w:t>172 </w:t>
                  </w:r>
                </w:p>
              </w:tc>
              <w:tc>
                <w:tcPr>
                  <w:tcW w:w="83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F323C67" w14:textId="77777777" w:rsidR="008838AB" w:rsidRPr="004A500F" w:rsidRDefault="008838AB" w:rsidP="008838AB">
                  <w:pPr>
                    <w:jc w:val="right"/>
                    <w:rPr>
                      <w:rFonts w:ascii="Verdana" w:hAnsi="Verdana"/>
                      <w:sz w:val="18"/>
                      <w:szCs w:val="18"/>
                    </w:rPr>
                  </w:pPr>
                  <w:r w:rsidRPr="004A500F">
                    <w:rPr>
                      <w:rFonts w:ascii="Verdana" w:hAnsi="Verdana"/>
                      <w:sz w:val="18"/>
                      <w:szCs w:val="18"/>
                    </w:rPr>
                    <w:t>41 </w:t>
                  </w:r>
                </w:p>
              </w:tc>
              <w:tc>
                <w:tcPr>
                  <w:tcW w:w="83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5442810" w14:textId="77777777" w:rsidR="008838AB" w:rsidRPr="004A500F" w:rsidRDefault="008838AB" w:rsidP="008838AB">
                  <w:pPr>
                    <w:jc w:val="right"/>
                    <w:rPr>
                      <w:rFonts w:ascii="Verdana" w:hAnsi="Verdana"/>
                      <w:sz w:val="18"/>
                      <w:szCs w:val="18"/>
                    </w:rPr>
                  </w:pPr>
                  <w:r w:rsidRPr="004A500F">
                    <w:rPr>
                      <w:rFonts w:ascii="Verdana" w:hAnsi="Verdana"/>
                      <w:sz w:val="18"/>
                      <w:szCs w:val="18"/>
                    </w:rPr>
                    <w:t>65 </w:t>
                  </w:r>
                </w:p>
              </w:tc>
              <w:tc>
                <w:tcPr>
                  <w:tcW w:w="83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2C1D656" w14:textId="77777777" w:rsidR="008838AB" w:rsidRPr="004A500F" w:rsidRDefault="008838AB" w:rsidP="008838AB">
                  <w:pPr>
                    <w:jc w:val="right"/>
                    <w:rPr>
                      <w:rFonts w:ascii="Verdana" w:hAnsi="Verdana"/>
                      <w:sz w:val="18"/>
                      <w:szCs w:val="18"/>
                    </w:rPr>
                  </w:pPr>
                  <w:r w:rsidRPr="004A500F">
                    <w:rPr>
                      <w:rFonts w:ascii="Verdana" w:hAnsi="Verdana"/>
                      <w:sz w:val="18"/>
                      <w:szCs w:val="18"/>
                    </w:rPr>
                    <w:t>25 </w:t>
                  </w:r>
                </w:p>
              </w:tc>
              <w:tc>
                <w:tcPr>
                  <w:tcW w:w="65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1488A10" w14:textId="77777777" w:rsidR="008838AB" w:rsidRPr="004A500F" w:rsidRDefault="008838AB" w:rsidP="008838AB">
                  <w:pPr>
                    <w:jc w:val="right"/>
                    <w:rPr>
                      <w:rFonts w:ascii="Verdana" w:hAnsi="Verdana"/>
                      <w:sz w:val="18"/>
                      <w:szCs w:val="18"/>
                    </w:rPr>
                  </w:pPr>
                  <w:r w:rsidRPr="004A500F">
                    <w:rPr>
                      <w:rFonts w:ascii="Verdana" w:hAnsi="Verdana"/>
                      <w:sz w:val="18"/>
                      <w:szCs w:val="18"/>
                    </w:rPr>
                    <w:t>76 </w:t>
                  </w:r>
                </w:p>
              </w:tc>
            </w:tr>
            <w:tr w:rsidR="008838AB" w:rsidRPr="004A500F" w14:paraId="3E41F939" w14:textId="77777777" w:rsidTr="687EFF7E">
              <w:trPr>
                <w:trHeight w:val="300"/>
                <w:jc w:val="center"/>
              </w:trPr>
              <w:tc>
                <w:tcPr>
                  <w:tcW w:w="190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F496BA5" w14:textId="77777777" w:rsidR="008838AB" w:rsidRPr="004A500F" w:rsidRDefault="008838AB" w:rsidP="008838AB">
                  <w:pPr>
                    <w:rPr>
                      <w:rFonts w:ascii="Verdana" w:hAnsi="Verdana"/>
                      <w:sz w:val="18"/>
                      <w:szCs w:val="18"/>
                    </w:rPr>
                  </w:pPr>
                  <w:r w:rsidRPr="004A500F">
                    <w:rPr>
                      <w:rFonts w:ascii="Verdana" w:hAnsi="Verdana"/>
                      <w:sz w:val="18"/>
                      <w:szCs w:val="18"/>
                    </w:rPr>
                    <w:t>Habitación </w:t>
                  </w:r>
                </w:p>
              </w:tc>
              <w:tc>
                <w:tcPr>
                  <w:tcW w:w="764"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EB3734E" w14:textId="77777777" w:rsidR="008838AB" w:rsidRPr="004A500F" w:rsidRDefault="008838AB" w:rsidP="008838AB">
                  <w:pPr>
                    <w:jc w:val="right"/>
                    <w:rPr>
                      <w:rFonts w:ascii="Verdana" w:hAnsi="Verdana"/>
                      <w:sz w:val="18"/>
                      <w:szCs w:val="18"/>
                    </w:rPr>
                  </w:pPr>
                  <w:r w:rsidRPr="004A500F">
                    <w:rPr>
                      <w:rFonts w:ascii="Verdana" w:hAnsi="Verdana"/>
                      <w:sz w:val="18"/>
                      <w:szCs w:val="18"/>
                    </w:rPr>
                    <w:t> </w:t>
                  </w:r>
                </w:p>
              </w:tc>
              <w:tc>
                <w:tcPr>
                  <w:tcW w:w="83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5B536C" w14:textId="77777777" w:rsidR="008838AB" w:rsidRPr="004A500F" w:rsidRDefault="008838AB" w:rsidP="008838AB">
                  <w:pPr>
                    <w:jc w:val="right"/>
                    <w:rPr>
                      <w:rFonts w:ascii="Verdana" w:hAnsi="Verdana"/>
                      <w:sz w:val="18"/>
                      <w:szCs w:val="18"/>
                    </w:rPr>
                  </w:pPr>
                  <w:r w:rsidRPr="004A500F">
                    <w:rPr>
                      <w:rFonts w:ascii="Verdana" w:hAnsi="Verdana"/>
                      <w:sz w:val="18"/>
                      <w:szCs w:val="18"/>
                    </w:rPr>
                    <w:t> </w:t>
                  </w:r>
                </w:p>
              </w:tc>
              <w:tc>
                <w:tcPr>
                  <w:tcW w:w="98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B9C3925" w14:textId="77777777" w:rsidR="008838AB" w:rsidRPr="004A500F" w:rsidRDefault="008838AB" w:rsidP="008838AB">
                  <w:pPr>
                    <w:jc w:val="right"/>
                    <w:rPr>
                      <w:rFonts w:ascii="Verdana" w:hAnsi="Verdana"/>
                      <w:sz w:val="18"/>
                      <w:szCs w:val="18"/>
                    </w:rPr>
                  </w:pPr>
                  <w:r w:rsidRPr="004A500F">
                    <w:rPr>
                      <w:rFonts w:ascii="Verdana" w:hAnsi="Verdana"/>
                      <w:sz w:val="18"/>
                      <w:szCs w:val="18"/>
                    </w:rPr>
                    <w:t> </w:t>
                  </w:r>
                </w:p>
              </w:tc>
              <w:tc>
                <w:tcPr>
                  <w:tcW w:w="83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348EAEE" w14:textId="77777777" w:rsidR="008838AB" w:rsidRPr="004A500F" w:rsidRDefault="008838AB" w:rsidP="008838AB">
                  <w:pPr>
                    <w:jc w:val="right"/>
                    <w:rPr>
                      <w:rFonts w:ascii="Verdana" w:hAnsi="Verdana"/>
                      <w:sz w:val="18"/>
                      <w:szCs w:val="18"/>
                    </w:rPr>
                  </w:pPr>
                  <w:r w:rsidRPr="004A500F">
                    <w:rPr>
                      <w:rFonts w:ascii="Verdana" w:hAnsi="Verdana"/>
                      <w:sz w:val="18"/>
                      <w:szCs w:val="18"/>
                    </w:rPr>
                    <w:t> </w:t>
                  </w:r>
                </w:p>
              </w:tc>
              <w:tc>
                <w:tcPr>
                  <w:tcW w:w="83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F695F90" w14:textId="77777777" w:rsidR="008838AB" w:rsidRPr="004A500F" w:rsidRDefault="008838AB" w:rsidP="008838AB">
                  <w:pPr>
                    <w:jc w:val="right"/>
                    <w:rPr>
                      <w:rFonts w:ascii="Verdana" w:hAnsi="Verdana"/>
                      <w:sz w:val="18"/>
                      <w:szCs w:val="18"/>
                    </w:rPr>
                  </w:pPr>
                  <w:r w:rsidRPr="004A500F">
                    <w:rPr>
                      <w:rFonts w:ascii="Verdana" w:hAnsi="Verdana"/>
                      <w:sz w:val="18"/>
                      <w:szCs w:val="18"/>
                    </w:rPr>
                    <w:t> </w:t>
                  </w:r>
                </w:p>
              </w:tc>
              <w:tc>
                <w:tcPr>
                  <w:tcW w:w="83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883EC83" w14:textId="77777777" w:rsidR="008838AB" w:rsidRPr="004A500F" w:rsidRDefault="008838AB" w:rsidP="008838AB">
                  <w:pPr>
                    <w:jc w:val="right"/>
                    <w:rPr>
                      <w:rFonts w:ascii="Verdana" w:hAnsi="Verdana"/>
                      <w:sz w:val="18"/>
                      <w:szCs w:val="18"/>
                    </w:rPr>
                  </w:pPr>
                  <w:r w:rsidRPr="004A500F">
                    <w:rPr>
                      <w:rFonts w:ascii="Verdana" w:hAnsi="Verdana"/>
                      <w:sz w:val="18"/>
                      <w:szCs w:val="18"/>
                    </w:rPr>
                    <w:t> </w:t>
                  </w:r>
                </w:p>
              </w:tc>
              <w:tc>
                <w:tcPr>
                  <w:tcW w:w="83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1515DC" w14:textId="77777777" w:rsidR="008838AB" w:rsidRPr="004A500F" w:rsidRDefault="008838AB" w:rsidP="008838AB">
                  <w:pPr>
                    <w:jc w:val="right"/>
                    <w:rPr>
                      <w:rFonts w:ascii="Verdana" w:hAnsi="Verdana"/>
                      <w:sz w:val="18"/>
                      <w:szCs w:val="18"/>
                    </w:rPr>
                  </w:pPr>
                  <w:r w:rsidRPr="004A500F">
                    <w:rPr>
                      <w:rFonts w:ascii="Verdana" w:hAnsi="Verdana"/>
                      <w:sz w:val="18"/>
                      <w:szCs w:val="18"/>
                    </w:rPr>
                    <w:t> </w:t>
                  </w:r>
                </w:p>
              </w:tc>
              <w:tc>
                <w:tcPr>
                  <w:tcW w:w="65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BF48293" w14:textId="77777777" w:rsidR="008838AB" w:rsidRPr="004A500F" w:rsidRDefault="008838AB" w:rsidP="008838AB">
                  <w:pPr>
                    <w:jc w:val="right"/>
                    <w:rPr>
                      <w:rFonts w:ascii="Verdana" w:hAnsi="Verdana"/>
                      <w:sz w:val="18"/>
                      <w:szCs w:val="18"/>
                    </w:rPr>
                  </w:pPr>
                  <w:r w:rsidRPr="004A500F">
                    <w:rPr>
                      <w:rFonts w:ascii="Verdana" w:hAnsi="Verdana"/>
                      <w:sz w:val="18"/>
                      <w:szCs w:val="18"/>
                    </w:rPr>
                    <w:t>1 </w:t>
                  </w:r>
                </w:p>
              </w:tc>
            </w:tr>
            <w:tr w:rsidR="008838AB" w:rsidRPr="004A500F" w14:paraId="1585F8CA" w14:textId="77777777" w:rsidTr="687EFF7E">
              <w:trPr>
                <w:trHeight w:val="300"/>
                <w:jc w:val="center"/>
              </w:trPr>
              <w:tc>
                <w:tcPr>
                  <w:tcW w:w="190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402E5EA" w14:textId="77777777" w:rsidR="008838AB" w:rsidRPr="004A500F" w:rsidRDefault="008838AB" w:rsidP="008838AB">
                  <w:pPr>
                    <w:rPr>
                      <w:rFonts w:ascii="Verdana" w:hAnsi="Verdana"/>
                      <w:sz w:val="18"/>
                      <w:szCs w:val="18"/>
                    </w:rPr>
                  </w:pPr>
                  <w:r w:rsidRPr="004A500F">
                    <w:rPr>
                      <w:rFonts w:ascii="Verdana" w:hAnsi="Verdana"/>
                      <w:sz w:val="18"/>
                      <w:szCs w:val="18"/>
                    </w:rPr>
                    <w:t>Otros </w:t>
                  </w:r>
                </w:p>
              </w:tc>
              <w:tc>
                <w:tcPr>
                  <w:tcW w:w="764"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E3AEC30" w14:textId="77777777" w:rsidR="008838AB" w:rsidRPr="004A500F" w:rsidRDefault="008838AB" w:rsidP="008838AB">
                  <w:pPr>
                    <w:jc w:val="right"/>
                    <w:rPr>
                      <w:rFonts w:ascii="Verdana" w:hAnsi="Verdana"/>
                      <w:sz w:val="18"/>
                      <w:szCs w:val="18"/>
                    </w:rPr>
                  </w:pPr>
                  <w:r w:rsidRPr="004A500F">
                    <w:rPr>
                      <w:rFonts w:ascii="Verdana" w:hAnsi="Verdana"/>
                      <w:sz w:val="18"/>
                      <w:szCs w:val="18"/>
                    </w:rPr>
                    <w:t>2 </w:t>
                  </w:r>
                </w:p>
              </w:tc>
              <w:tc>
                <w:tcPr>
                  <w:tcW w:w="83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83F7C2" w14:textId="77777777" w:rsidR="008838AB" w:rsidRPr="004A500F" w:rsidRDefault="008838AB" w:rsidP="008838AB">
                  <w:pPr>
                    <w:jc w:val="right"/>
                    <w:rPr>
                      <w:rFonts w:ascii="Verdana" w:hAnsi="Verdana"/>
                      <w:sz w:val="18"/>
                      <w:szCs w:val="18"/>
                    </w:rPr>
                  </w:pPr>
                  <w:r w:rsidRPr="004A500F">
                    <w:rPr>
                      <w:rFonts w:ascii="Verdana" w:hAnsi="Verdana"/>
                      <w:sz w:val="18"/>
                      <w:szCs w:val="18"/>
                    </w:rPr>
                    <w:t>2 </w:t>
                  </w:r>
                </w:p>
              </w:tc>
              <w:tc>
                <w:tcPr>
                  <w:tcW w:w="98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2C48CF1" w14:textId="77777777" w:rsidR="008838AB" w:rsidRPr="004A500F" w:rsidRDefault="008838AB" w:rsidP="008838AB">
                  <w:pPr>
                    <w:jc w:val="right"/>
                    <w:rPr>
                      <w:rFonts w:ascii="Verdana" w:hAnsi="Verdana"/>
                      <w:sz w:val="18"/>
                      <w:szCs w:val="18"/>
                    </w:rPr>
                  </w:pPr>
                  <w:r w:rsidRPr="004A500F">
                    <w:rPr>
                      <w:rFonts w:ascii="Verdana" w:hAnsi="Verdana"/>
                      <w:sz w:val="18"/>
                      <w:szCs w:val="18"/>
                    </w:rPr>
                    <w:t> </w:t>
                  </w:r>
                </w:p>
              </w:tc>
              <w:tc>
                <w:tcPr>
                  <w:tcW w:w="83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95FCD9E" w14:textId="77777777" w:rsidR="008838AB" w:rsidRPr="004A500F" w:rsidRDefault="008838AB" w:rsidP="008838AB">
                  <w:pPr>
                    <w:jc w:val="right"/>
                    <w:rPr>
                      <w:rFonts w:ascii="Verdana" w:hAnsi="Verdana"/>
                      <w:sz w:val="18"/>
                      <w:szCs w:val="18"/>
                    </w:rPr>
                  </w:pPr>
                  <w:r w:rsidRPr="004A500F">
                    <w:rPr>
                      <w:rFonts w:ascii="Verdana" w:hAnsi="Verdana"/>
                      <w:sz w:val="18"/>
                      <w:szCs w:val="18"/>
                    </w:rPr>
                    <w:t>5 </w:t>
                  </w:r>
                </w:p>
              </w:tc>
              <w:tc>
                <w:tcPr>
                  <w:tcW w:w="83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B601EF6" w14:textId="77777777" w:rsidR="008838AB" w:rsidRPr="004A500F" w:rsidRDefault="008838AB" w:rsidP="008838AB">
                  <w:pPr>
                    <w:jc w:val="right"/>
                    <w:rPr>
                      <w:rFonts w:ascii="Verdana" w:hAnsi="Verdana"/>
                      <w:sz w:val="18"/>
                      <w:szCs w:val="18"/>
                    </w:rPr>
                  </w:pPr>
                  <w:r w:rsidRPr="004A500F">
                    <w:rPr>
                      <w:rFonts w:ascii="Verdana" w:hAnsi="Verdana"/>
                      <w:sz w:val="18"/>
                      <w:szCs w:val="18"/>
                    </w:rPr>
                    <w:t>3 </w:t>
                  </w:r>
                </w:p>
              </w:tc>
              <w:tc>
                <w:tcPr>
                  <w:tcW w:w="83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19080CF" w14:textId="77777777" w:rsidR="008838AB" w:rsidRPr="004A500F" w:rsidRDefault="008838AB" w:rsidP="008838AB">
                  <w:pPr>
                    <w:jc w:val="right"/>
                    <w:rPr>
                      <w:rFonts w:ascii="Verdana" w:hAnsi="Verdana"/>
                      <w:sz w:val="18"/>
                      <w:szCs w:val="18"/>
                    </w:rPr>
                  </w:pPr>
                  <w:r w:rsidRPr="004A500F">
                    <w:rPr>
                      <w:rFonts w:ascii="Verdana" w:hAnsi="Verdana"/>
                      <w:sz w:val="18"/>
                      <w:szCs w:val="18"/>
                    </w:rPr>
                    <w:t>2 </w:t>
                  </w:r>
                </w:p>
              </w:tc>
              <w:tc>
                <w:tcPr>
                  <w:tcW w:w="83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FAA5CF1" w14:textId="77777777" w:rsidR="008838AB" w:rsidRPr="004A500F" w:rsidRDefault="008838AB" w:rsidP="008838AB">
                  <w:pPr>
                    <w:jc w:val="right"/>
                    <w:rPr>
                      <w:rFonts w:ascii="Verdana" w:hAnsi="Verdana"/>
                      <w:sz w:val="18"/>
                      <w:szCs w:val="18"/>
                    </w:rPr>
                  </w:pPr>
                  <w:r w:rsidRPr="004A500F">
                    <w:rPr>
                      <w:rFonts w:ascii="Verdana" w:hAnsi="Verdana"/>
                      <w:sz w:val="18"/>
                      <w:szCs w:val="18"/>
                    </w:rPr>
                    <w:t> </w:t>
                  </w:r>
                </w:p>
              </w:tc>
              <w:tc>
                <w:tcPr>
                  <w:tcW w:w="65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BC57ED" w14:textId="77777777" w:rsidR="008838AB" w:rsidRPr="004A500F" w:rsidRDefault="008838AB" w:rsidP="008838AB">
                  <w:pPr>
                    <w:jc w:val="right"/>
                    <w:rPr>
                      <w:rFonts w:ascii="Verdana" w:hAnsi="Verdana"/>
                      <w:sz w:val="18"/>
                      <w:szCs w:val="18"/>
                    </w:rPr>
                  </w:pPr>
                  <w:r w:rsidRPr="004A500F">
                    <w:rPr>
                      <w:rFonts w:ascii="Verdana" w:hAnsi="Verdana"/>
                      <w:sz w:val="18"/>
                      <w:szCs w:val="18"/>
                    </w:rPr>
                    <w:t>3 </w:t>
                  </w:r>
                </w:p>
              </w:tc>
            </w:tr>
            <w:tr w:rsidR="008838AB" w:rsidRPr="004A500F" w14:paraId="6BFB8342" w14:textId="77777777" w:rsidTr="687EFF7E">
              <w:trPr>
                <w:trHeight w:val="300"/>
                <w:jc w:val="center"/>
              </w:trPr>
              <w:tc>
                <w:tcPr>
                  <w:tcW w:w="190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FA6211E" w14:textId="77777777" w:rsidR="008838AB" w:rsidRPr="004A500F" w:rsidRDefault="008838AB" w:rsidP="008838AB">
                  <w:pPr>
                    <w:rPr>
                      <w:rFonts w:ascii="Verdana" w:hAnsi="Verdana"/>
                      <w:sz w:val="18"/>
                      <w:szCs w:val="18"/>
                    </w:rPr>
                  </w:pPr>
                  <w:r w:rsidRPr="004A500F">
                    <w:rPr>
                      <w:rFonts w:ascii="Verdana" w:hAnsi="Verdana"/>
                      <w:sz w:val="18"/>
                      <w:szCs w:val="18"/>
                    </w:rPr>
                    <w:t>Calle </w:t>
                  </w:r>
                </w:p>
              </w:tc>
              <w:tc>
                <w:tcPr>
                  <w:tcW w:w="764"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3515D88" w14:textId="77777777" w:rsidR="008838AB" w:rsidRPr="004A500F" w:rsidRDefault="008838AB" w:rsidP="008838AB">
                  <w:pPr>
                    <w:jc w:val="right"/>
                    <w:rPr>
                      <w:rFonts w:ascii="Verdana" w:hAnsi="Verdana"/>
                      <w:sz w:val="18"/>
                      <w:szCs w:val="18"/>
                    </w:rPr>
                  </w:pPr>
                  <w:r w:rsidRPr="004A500F">
                    <w:rPr>
                      <w:rFonts w:ascii="Verdana" w:hAnsi="Verdana"/>
                      <w:sz w:val="18"/>
                      <w:szCs w:val="18"/>
                    </w:rPr>
                    <w:t>4 </w:t>
                  </w:r>
                </w:p>
              </w:tc>
              <w:tc>
                <w:tcPr>
                  <w:tcW w:w="83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37DF7E2" w14:textId="77777777" w:rsidR="008838AB" w:rsidRPr="004A500F" w:rsidRDefault="008838AB" w:rsidP="008838AB">
                  <w:pPr>
                    <w:jc w:val="right"/>
                    <w:rPr>
                      <w:rFonts w:ascii="Verdana" w:hAnsi="Verdana"/>
                      <w:sz w:val="18"/>
                      <w:szCs w:val="18"/>
                    </w:rPr>
                  </w:pPr>
                  <w:r w:rsidRPr="004A500F">
                    <w:rPr>
                      <w:rFonts w:ascii="Verdana" w:hAnsi="Verdana"/>
                      <w:sz w:val="18"/>
                      <w:szCs w:val="18"/>
                    </w:rPr>
                    <w:t>12 </w:t>
                  </w:r>
                </w:p>
              </w:tc>
              <w:tc>
                <w:tcPr>
                  <w:tcW w:w="98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29B6BE6" w14:textId="77777777" w:rsidR="008838AB" w:rsidRPr="004A500F" w:rsidRDefault="008838AB" w:rsidP="008838AB">
                  <w:pPr>
                    <w:jc w:val="right"/>
                    <w:rPr>
                      <w:rFonts w:ascii="Verdana" w:hAnsi="Verdana"/>
                      <w:sz w:val="18"/>
                      <w:szCs w:val="18"/>
                    </w:rPr>
                  </w:pPr>
                  <w:r w:rsidRPr="004A500F">
                    <w:rPr>
                      <w:rFonts w:ascii="Verdana" w:hAnsi="Verdana"/>
                      <w:sz w:val="18"/>
                      <w:szCs w:val="18"/>
                    </w:rPr>
                    <w:t>3 </w:t>
                  </w:r>
                </w:p>
              </w:tc>
              <w:tc>
                <w:tcPr>
                  <w:tcW w:w="83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F872561" w14:textId="77777777" w:rsidR="008838AB" w:rsidRPr="004A500F" w:rsidRDefault="008838AB" w:rsidP="008838AB">
                  <w:pPr>
                    <w:jc w:val="right"/>
                    <w:rPr>
                      <w:rFonts w:ascii="Verdana" w:hAnsi="Verdana"/>
                      <w:sz w:val="18"/>
                      <w:szCs w:val="18"/>
                    </w:rPr>
                  </w:pPr>
                  <w:r w:rsidRPr="004A500F">
                    <w:rPr>
                      <w:rFonts w:ascii="Verdana" w:hAnsi="Verdana"/>
                      <w:sz w:val="18"/>
                      <w:szCs w:val="18"/>
                    </w:rPr>
                    <w:t>7 </w:t>
                  </w:r>
                </w:p>
              </w:tc>
              <w:tc>
                <w:tcPr>
                  <w:tcW w:w="83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EB1D760" w14:textId="77777777" w:rsidR="008838AB" w:rsidRPr="004A500F" w:rsidRDefault="008838AB" w:rsidP="008838AB">
                  <w:pPr>
                    <w:jc w:val="right"/>
                    <w:rPr>
                      <w:rFonts w:ascii="Verdana" w:hAnsi="Verdana"/>
                      <w:sz w:val="18"/>
                      <w:szCs w:val="18"/>
                    </w:rPr>
                  </w:pPr>
                  <w:r w:rsidRPr="004A500F">
                    <w:rPr>
                      <w:rFonts w:ascii="Verdana" w:hAnsi="Verdana"/>
                      <w:sz w:val="18"/>
                      <w:szCs w:val="18"/>
                    </w:rPr>
                    <w:t> </w:t>
                  </w:r>
                </w:p>
              </w:tc>
              <w:tc>
                <w:tcPr>
                  <w:tcW w:w="83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A04F3F" w14:textId="77777777" w:rsidR="008838AB" w:rsidRPr="004A500F" w:rsidRDefault="008838AB" w:rsidP="008838AB">
                  <w:pPr>
                    <w:jc w:val="right"/>
                    <w:rPr>
                      <w:rFonts w:ascii="Verdana" w:hAnsi="Verdana"/>
                      <w:sz w:val="18"/>
                      <w:szCs w:val="18"/>
                    </w:rPr>
                  </w:pPr>
                  <w:r w:rsidRPr="004A500F">
                    <w:rPr>
                      <w:rFonts w:ascii="Verdana" w:hAnsi="Verdana"/>
                      <w:sz w:val="18"/>
                      <w:szCs w:val="18"/>
                    </w:rPr>
                    <w:t>3 </w:t>
                  </w:r>
                </w:p>
              </w:tc>
              <w:tc>
                <w:tcPr>
                  <w:tcW w:w="83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C0D07C4" w14:textId="77777777" w:rsidR="008838AB" w:rsidRPr="004A500F" w:rsidRDefault="008838AB" w:rsidP="008838AB">
                  <w:pPr>
                    <w:jc w:val="right"/>
                    <w:rPr>
                      <w:rFonts w:ascii="Verdana" w:hAnsi="Verdana"/>
                      <w:sz w:val="18"/>
                      <w:szCs w:val="18"/>
                    </w:rPr>
                  </w:pPr>
                  <w:r w:rsidRPr="004A500F">
                    <w:rPr>
                      <w:rFonts w:ascii="Verdana" w:hAnsi="Verdana"/>
                      <w:sz w:val="18"/>
                      <w:szCs w:val="18"/>
                    </w:rPr>
                    <w:t>3 </w:t>
                  </w:r>
                </w:p>
              </w:tc>
              <w:tc>
                <w:tcPr>
                  <w:tcW w:w="65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AEFC8EA" w14:textId="77777777" w:rsidR="008838AB" w:rsidRPr="004A500F" w:rsidRDefault="008838AB" w:rsidP="008838AB">
                  <w:pPr>
                    <w:jc w:val="right"/>
                    <w:rPr>
                      <w:rFonts w:ascii="Verdana" w:hAnsi="Verdana"/>
                      <w:sz w:val="18"/>
                      <w:szCs w:val="18"/>
                    </w:rPr>
                  </w:pPr>
                  <w:r w:rsidRPr="004A500F">
                    <w:rPr>
                      <w:rFonts w:ascii="Verdana" w:hAnsi="Verdana"/>
                      <w:sz w:val="18"/>
                      <w:szCs w:val="18"/>
                    </w:rPr>
                    <w:t>2 </w:t>
                  </w:r>
                </w:p>
              </w:tc>
            </w:tr>
            <w:tr w:rsidR="008838AB" w:rsidRPr="004A500F" w14:paraId="1A0FFB29" w14:textId="77777777" w:rsidTr="687EFF7E">
              <w:trPr>
                <w:trHeight w:val="300"/>
                <w:jc w:val="center"/>
              </w:trPr>
              <w:tc>
                <w:tcPr>
                  <w:tcW w:w="190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AE77B68" w14:textId="77777777" w:rsidR="008838AB" w:rsidRPr="004A500F" w:rsidRDefault="008838AB" w:rsidP="008838AB">
                  <w:pPr>
                    <w:rPr>
                      <w:rFonts w:ascii="Verdana" w:hAnsi="Verdana"/>
                      <w:sz w:val="18"/>
                      <w:szCs w:val="18"/>
                    </w:rPr>
                  </w:pPr>
                  <w:r w:rsidRPr="004A500F">
                    <w:rPr>
                      <w:rFonts w:ascii="Verdana" w:hAnsi="Verdana"/>
                      <w:sz w:val="18"/>
                      <w:szCs w:val="18"/>
                    </w:rPr>
                    <w:t>Invasión </w:t>
                  </w:r>
                </w:p>
              </w:tc>
              <w:tc>
                <w:tcPr>
                  <w:tcW w:w="764"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760526" w14:textId="77777777" w:rsidR="008838AB" w:rsidRPr="004A500F" w:rsidRDefault="008838AB" w:rsidP="008838AB">
                  <w:pPr>
                    <w:jc w:val="right"/>
                    <w:rPr>
                      <w:rFonts w:ascii="Verdana" w:hAnsi="Verdana"/>
                      <w:sz w:val="18"/>
                      <w:szCs w:val="18"/>
                    </w:rPr>
                  </w:pPr>
                  <w:r w:rsidRPr="004A500F">
                    <w:rPr>
                      <w:rFonts w:ascii="Verdana" w:hAnsi="Verdana"/>
                      <w:sz w:val="18"/>
                      <w:szCs w:val="18"/>
                    </w:rPr>
                    <w:t>13 </w:t>
                  </w:r>
                </w:p>
              </w:tc>
              <w:tc>
                <w:tcPr>
                  <w:tcW w:w="83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3B03769" w14:textId="77777777" w:rsidR="008838AB" w:rsidRPr="004A500F" w:rsidRDefault="008838AB" w:rsidP="008838AB">
                  <w:pPr>
                    <w:jc w:val="right"/>
                    <w:rPr>
                      <w:rFonts w:ascii="Verdana" w:hAnsi="Verdana"/>
                      <w:sz w:val="18"/>
                      <w:szCs w:val="18"/>
                    </w:rPr>
                  </w:pPr>
                  <w:r w:rsidRPr="004A500F">
                    <w:rPr>
                      <w:rFonts w:ascii="Verdana" w:hAnsi="Verdana"/>
                      <w:sz w:val="18"/>
                      <w:szCs w:val="18"/>
                    </w:rPr>
                    <w:t>8 </w:t>
                  </w:r>
                </w:p>
              </w:tc>
              <w:tc>
                <w:tcPr>
                  <w:tcW w:w="98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A4A57E4" w14:textId="77777777" w:rsidR="008838AB" w:rsidRPr="004A500F" w:rsidRDefault="008838AB" w:rsidP="008838AB">
                  <w:pPr>
                    <w:jc w:val="right"/>
                    <w:rPr>
                      <w:rFonts w:ascii="Verdana" w:hAnsi="Verdana"/>
                      <w:sz w:val="18"/>
                      <w:szCs w:val="18"/>
                    </w:rPr>
                  </w:pPr>
                  <w:r w:rsidRPr="004A500F">
                    <w:rPr>
                      <w:rFonts w:ascii="Verdana" w:hAnsi="Verdana"/>
                      <w:sz w:val="18"/>
                      <w:szCs w:val="18"/>
                    </w:rPr>
                    <w:t>6 </w:t>
                  </w:r>
                </w:p>
              </w:tc>
              <w:tc>
                <w:tcPr>
                  <w:tcW w:w="83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1A87C4" w14:textId="77777777" w:rsidR="008838AB" w:rsidRPr="004A500F" w:rsidRDefault="008838AB" w:rsidP="008838AB">
                  <w:pPr>
                    <w:jc w:val="right"/>
                    <w:rPr>
                      <w:rFonts w:ascii="Verdana" w:hAnsi="Verdana"/>
                      <w:sz w:val="18"/>
                      <w:szCs w:val="18"/>
                    </w:rPr>
                  </w:pPr>
                  <w:r w:rsidRPr="004A500F">
                    <w:rPr>
                      <w:rFonts w:ascii="Verdana" w:hAnsi="Verdana"/>
                      <w:sz w:val="18"/>
                      <w:szCs w:val="18"/>
                    </w:rPr>
                    <w:t>8 </w:t>
                  </w:r>
                </w:p>
              </w:tc>
              <w:tc>
                <w:tcPr>
                  <w:tcW w:w="83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1D73E0C" w14:textId="77777777" w:rsidR="008838AB" w:rsidRPr="004A500F" w:rsidRDefault="008838AB" w:rsidP="008838AB">
                  <w:pPr>
                    <w:jc w:val="right"/>
                    <w:rPr>
                      <w:rFonts w:ascii="Verdana" w:hAnsi="Verdana"/>
                      <w:sz w:val="18"/>
                      <w:szCs w:val="18"/>
                    </w:rPr>
                  </w:pPr>
                  <w:r w:rsidRPr="004A500F">
                    <w:rPr>
                      <w:rFonts w:ascii="Verdana" w:hAnsi="Verdana"/>
                      <w:sz w:val="18"/>
                      <w:szCs w:val="18"/>
                    </w:rPr>
                    <w:t>9 </w:t>
                  </w:r>
                </w:p>
              </w:tc>
              <w:tc>
                <w:tcPr>
                  <w:tcW w:w="83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9743604" w14:textId="77777777" w:rsidR="008838AB" w:rsidRPr="004A500F" w:rsidRDefault="008838AB" w:rsidP="008838AB">
                  <w:pPr>
                    <w:jc w:val="right"/>
                    <w:rPr>
                      <w:rFonts w:ascii="Verdana" w:hAnsi="Verdana"/>
                      <w:sz w:val="18"/>
                      <w:szCs w:val="18"/>
                    </w:rPr>
                  </w:pPr>
                  <w:r w:rsidRPr="004A500F">
                    <w:rPr>
                      <w:rFonts w:ascii="Verdana" w:hAnsi="Verdana"/>
                      <w:sz w:val="18"/>
                      <w:szCs w:val="18"/>
                    </w:rPr>
                    <w:t>9 </w:t>
                  </w:r>
                </w:p>
              </w:tc>
              <w:tc>
                <w:tcPr>
                  <w:tcW w:w="83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A490143" w14:textId="77777777" w:rsidR="008838AB" w:rsidRPr="004A500F" w:rsidRDefault="008838AB" w:rsidP="008838AB">
                  <w:pPr>
                    <w:jc w:val="right"/>
                    <w:rPr>
                      <w:rFonts w:ascii="Verdana" w:hAnsi="Verdana"/>
                      <w:sz w:val="18"/>
                      <w:szCs w:val="18"/>
                    </w:rPr>
                  </w:pPr>
                  <w:r w:rsidRPr="004A500F">
                    <w:rPr>
                      <w:rFonts w:ascii="Verdana" w:hAnsi="Verdana"/>
                      <w:sz w:val="18"/>
                      <w:szCs w:val="18"/>
                    </w:rPr>
                    <w:t>6 </w:t>
                  </w:r>
                </w:p>
              </w:tc>
              <w:tc>
                <w:tcPr>
                  <w:tcW w:w="65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C21797" w14:textId="77777777" w:rsidR="008838AB" w:rsidRPr="004A500F" w:rsidRDefault="008838AB" w:rsidP="008838AB">
                  <w:pPr>
                    <w:jc w:val="right"/>
                    <w:rPr>
                      <w:rFonts w:ascii="Verdana" w:hAnsi="Verdana"/>
                      <w:sz w:val="18"/>
                      <w:szCs w:val="18"/>
                    </w:rPr>
                  </w:pPr>
                  <w:r w:rsidRPr="004A500F">
                    <w:rPr>
                      <w:rFonts w:ascii="Verdana" w:hAnsi="Verdana"/>
                      <w:sz w:val="18"/>
                      <w:szCs w:val="18"/>
                    </w:rPr>
                    <w:t>2 </w:t>
                  </w:r>
                </w:p>
              </w:tc>
            </w:tr>
            <w:tr w:rsidR="008838AB" w:rsidRPr="004A500F" w14:paraId="058FBB9C" w14:textId="77777777" w:rsidTr="687EFF7E">
              <w:trPr>
                <w:trHeight w:val="300"/>
                <w:jc w:val="center"/>
              </w:trPr>
              <w:tc>
                <w:tcPr>
                  <w:tcW w:w="190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2231EBF" w14:textId="77777777" w:rsidR="008838AB" w:rsidRPr="004A500F" w:rsidRDefault="008838AB" w:rsidP="008838AB">
                  <w:pPr>
                    <w:rPr>
                      <w:rFonts w:ascii="Verdana" w:hAnsi="Verdana"/>
                      <w:sz w:val="18"/>
                      <w:szCs w:val="18"/>
                    </w:rPr>
                  </w:pPr>
                  <w:r w:rsidRPr="004A500F">
                    <w:rPr>
                      <w:rFonts w:ascii="Verdana" w:hAnsi="Verdana"/>
                      <w:sz w:val="18"/>
                      <w:szCs w:val="18"/>
                    </w:rPr>
                    <w:t>Hogar De Paso </w:t>
                  </w:r>
                </w:p>
              </w:tc>
              <w:tc>
                <w:tcPr>
                  <w:tcW w:w="764"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85F70D5" w14:textId="77777777" w:rsidR="008838AB" w:rsidRPr="004A500F" w:rsidRDefault="008838AB" w:rsidP="008838AB">
                  <w:pPr>
                    <w:jc w:val="right"/>
                    <w:rPr>
                      <w:rFonts w:ascii="Verdana" w:hAnsi="Verdana"/>
                      <w:sz w:val="18"/>
                      <w:szCs w:val="18"/>
                    </w:rPr>
                  </w:pPr>
                  <w:r w:rsidRPr="004A500F">
                    <w:rPr>
                      <w:rFonts w:ascii="Verdana" w:hAnsi="Verdana"/>
                      <w:sz w:val="18"/>
                      <w:szCs w:val="18"/>
                    </w:rPr>
                    <w:t>1 </w:t>
                  </w:r>
                </w:p>
              </w:tc>
              <w:tc>
                <w:tcPr>
                  <w:tcW w:w="83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0788781" w14:textId="77777777" w:rsidR="008838AB" w:rsidRPr="004A500F" w:rsidRDefault="008838AB" w:rsidP="008838AB">
                  <w:pPr>
                    <w:jc w:val="right"/>
                    <w:rPr>
                      <w:rFonts w:ascii="Verdana" w:hAnsi="Verdana"/>
                      <w:sz w:val="18"/>
                      <w:szCs w:val="18"/>
                    </w:rPr>
                  </w:pPr>
                  <w:r w:rsidRPr="004A500F">
                    <w:rPr>
                      <w:rFonts w:ascii="Verdana" w:hAnsi="Verdana"/>
                      <w:sz w:val="18"/>
                      <w:szCs w:val="18"/>
                    </w:rPr>
                    <w:t> </w:t>
                  </w:r>
                </w:p>
              </w:tc>
              <w:tc>
                <w:tcPr>
                  <w:tcW w:w="98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AF31775" w14:textId="77777777" w:rsidR="008838AB" w:rsidRPr="004A500F" w:rsidRDefault="008838AB" w:rsidP="008838AB">
                  <w:pPr>
                    <w:jc w:val="right"/>
                    <w:rPr>
                      <w:rFonts w:ascii="Verdana" w:hAnsi="Verdana"/>
                      <w:sz w:val="18"/>
                      <w:szCs w:val="18"/>
                    </w:rPr>
                  </w:pPr>
                  <w:r w:rsidRPr="004A500F">
                    <w:rPr>
                      <w:rFonts w:ascii="Verdana" w:hAnsi="Verdana"/>
                      <w:sz w:val="18"/>
                      <w:szCs w:val="18"/>
                    </w:rPr>
                    <w:t> </w:t>
                  </w:r>
                </w:p>
              </w:tc>
              <w:tc>
                <w:tcPr>
                  <w:tcW w:w="83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AD7DB2A" w14:textId="77777777" w:rsidR="008838AB" w:rsidRPr="004A500F" w:rsidRDefault="008838AB" w:rsidP="008838AB">
                  <w:pPr>
                    <w:jc w:val="right"/>
                    <w:rPr>
                      <w:rFonts w:ascii="Verdana" w:hAnsi="Verdana"/>
                      <w:sz w:val="18"/>
                      <w:szCs w:val="18"/>
                    </w:rPr>
                  </w:pPr>
                  <w:r w:rsidRPr="004A500F">
                    <w:rPr>
                      <w:rFonts w:ascii="Verdana" w:hAnsi="Verdana"/>
                      <w:sz w:val="18"/>
                      <w:szCs w:val="18"/>
                    </w:rPr>
                    <w:t> </w:t>
                  </w:r>
                </w:p>
              </w:tc>
              <w:tc>
                <w:tcPr>
                  <w:tcW w:w="83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5FFB73F" w14:textId="77777777" w:rsidR="008838AB" w:rsidRPr="004A500F" w:rsidRDefault="008838AB" w:rsidP="008838AB">
                  <w:pPr>
                    <w:jc w:val="right"/>
                    <w:rPr>
                      <w:rFonts w:ascii="Verdana" w:hAnsi="Verdana"/>
                      <w:sz w:val="18"/>
                      <w:szCs w:val="18"/>
                    </w:rPr>
                  </w:pPr>
                  <w:r w:rsidRPr="004A500F">
                    <w:rPr>
                      <w:rFonts w:ascii="Verdana" w:hAnsi="Verdana"/>
                      <w:sz w:val="18"/>
                      <w:szCs w:val="18"/>
                    </w:rPr>
                    <w:t>1 </w:t>
                  </w:r>
                </w:p>
              </w:tc>
              <w:tc>
                <w:tcPr>
                  <w:tcW w:w="83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E25AF52" w14:textId="77777777" w:rsidR="008838AB" w:rsidRPr="004A500F" w:rsidRDefault="008838AB" w:rsidP="008838AB">
                  <w:pPr>
                    <w:jc w:val="right"/>
                    <w:rPr>
                      <w:rFonts w:ascii="Verdana" w:hAnsi="Verdana"/>
                      <w:sz w:val="18"/>
                      <w:szCs w:val="18"/>
                    </w:rPr>
                  </w:pPr>
                  <w:r w:rsidRPr="004A500F">
                    <w:rPr>
                      <w:rFonts w:ascii="Verdana" w:hAnsi="Verdana"/>
                      <w:sz w:val="18"/>
                      <w:szCs w:val="18"/>
                    </w:rPr>
                    <w:t>2 </w:t>
                  </w:r>
                </w:p>
              </w:tc>
              <w:tc>
                <w:tcPr>
                  <w:tcW w:w="83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6C3C8E9" w14:textId="77777777" w:rsidR="008838AB" w:rsidRPr="004A500F" w:rsidRDefault="008838AB" w:rsidP="008838AB">
                  <w:pPr>
                    <w:jc w:val="right"/>
                    <w:rPr>
                      <w:rFonts w:ascii="Verdana" w:hAnsi="Verdana"/>
                      <w:sz w:val="18"/>
                      <w:szCs w:val="18"/>
                    </w:rPr>
                  </w:pPr>
                  <w:r w:rsidRPr="004A500F">
                    <w:rPr>
                      <w:rFonts w:ascii="Verdana" w:hAnsi="Verdana"/>
                      <w:sz w:val="18"/>
                      <w:szCs w:val="18"/>
                    </w:rPr>
                    <w:t>2 </w:t>
                  </w:r>
                </w:p>
              </w:tc>
              <w:tc>
                <w:tcPr>
                  <w:tcW w:w="65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FFF709A" w14:textId="77777777" w:rsidR="008838AB" w:rsidRPr="004A500F" w:rsidRDefault="008838AB" w:rsidP="008838AB">
                  <w:pPr>
                    <w:jc w:val="right"/>
                    <w:rPr>
                      <w:rFonts w:ascii="Verdana" w:hAnsi="Verdana"/>
                      <w:sz w:val="18"/>
                      <w:szCs w:val="18"/>
                    </w:rPr>
                  </w:pPr>
                  <w:r w:rsidRPr="004A500F">
                    <w:rPr>
                      <w:rFonts w:ascii="Verdana" w:hAnsi="Verdana"/>
                      <w:sz w:val="18"/>
                      <w:szCs w:val="18"/>
                    </w:rPr>
                    <w:t> </w:t>
                  </w:r>
                </w:p>
              </w:tc>
            </w:tr>
            <w:tr w:rsidR="008838AB" w:rsidRPr="004A500F" w14:paraId="6B58FA45" w14:textId="77777777" w:rsidTr="687EFF7E">
              <w:trPr>
                <w:trHeight w:val="300"/>
                <w:jc w:val="center"/>
              </w:trPr>
              <w:tc>
                <w:tcPr>
                  <w:tcW w:w="190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61D064B" w14:textId="77777777" w:rsidR="008838AB" w:rsidRPr="004A500F" w:rsidRDefault="008838AB" w:rsidP="008838AB">
                  <w:pPr>
                    <w:rPr>
                      <w:rFonts w:ascii="Verdana" w:hAnsi="Verdana"/>
                      <w:sz w:val="18"/>
                      <w:szCs w:val="18"/>
                    </w:rPr>
                  </w:pPr>
                  <w:r w:rsidRPr="004A500F">
                    <w:rPr>
                      <w:rFonts w:ascii="Verdana" w:hAnsi="Verdana"/>
                      <w:sz w:val="18"/>
                      <w:szCs w:val="18"/>
                    </w:rPr>
                    <w:t>Resto (cambuche, familiar, paga diario) </w:t>
                  </w:r>
                </w:p>
              </w:tc>
              <w:tc>
                <w:tcPr>
                  <w:tcW w:w="764"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287550B" w14:textId="77777777" w:rsidR="008838AB" w:rsidRPr="004A500F" w:rsidRDefault="008838AB" w:rsidP="008838AB">
                  <w:pPr>
                    <w:jc w:val="right"/>
                    <w:rPr>
                      <w:rFonts w:ascii="Verdana" w:hAnsi="Verdana"/>
                      <w:sz w:val="18"/>
                      <w:szCs w:val="18"/>
                    </w:rPr>
                  </w:pPr>
                  <w:r w:rsidRPr="004A500F">
                    <w:rPr>
                      <w:rFonts w:ascii="Verdana" w:hAnsi="Verdana"/>
                      <w:sz w:val="18"/>
                      <w:szCs w:val="18"/>
                    </w:rPr>
                    <w:t>45 </w:t>
                  </w:r>
                </w:p>
              </w:tc>
              <w:tc>
                <w:tcPr>
                  <w:tcW w:w="83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CD6731E" w14:textId="77777777" w:rsidR="008838AB" w:rsidRPr="004A500F" w:rsidRDefault="008838AB" w:rsidP="008838AB">
                  <w:pPr>
                    <w:jc w:val="right"/>
                    <w:rPr>
                      <w:rFonts w:ascii="Verdana" w:hAnsi="Verdana"/>
                      <w:sz w:val="18"/>
                      <w:szCs w:val="18"/>
                    </w:rPr>
                  </w:pPr>
                  <w:r w:rsidRPr="004A500F">
                    <w:rPr>
                      <w:rFonts w:ascii="Verdana" w:hAnsi="Verdana"/>
                      <w:sz w:val="18"/>
                      <w:szCs w:val="18"/>
                    </w:rPr>
                    <w:t>88 </w:t>
                  </w:r>
                </w:p>
              </w:tc>
              <w:tc>
                <w:tcPr>
                  <w:tcW w:w="98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0B23DC" w14:textId="77777777" w:rsidR="008838AB" w:rsidRPr="004A500F" w:rsidRDefault="008838AB" w:rsidP="008838AB">
                  <w:pPr>
                    <w:jc w:val="right"/>
                    <w:rPr>
                      <w:rFonts w:ascii="Verdana" w:hAnsi="Verdana"/>
                      <w:sz w:val="18"/>
                      <w:szCs w:val="18"/>
                    </w:rPr>
                  </w:pPr>
                  <w:r w:rsidRPr="004A500F">
                    <w:rPr>
                      <w:rFonts w:ascii="Verdana" w:hAnsi="Verdana"/>
                      <w:sz w:val="18"/>
                      <w:szCs w:val="18"/>
                    </w:rPr>
                    <w:t>57 </w:t>
                  </w:r>
                </w:p>
              </w:tc>
              <w:tc>
                <w:tcPr>
                  <w:tcW w:w="83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86B8038" w14:textId="77777777" w:rsidR="008838AB" w:rsidRPr="004A500F" w:rsidRDefault="008838AB" w:rsidP="008838AB">
                  <w:pPr>
                    <w:jc w:val="right"/>
                    <w:rPr>
                      <w:rFonts w:ascii="Verdana" w:hAnsi="Verdana"/>
                      <w:sz w:val="18"/>
                      <w:szCs w:val="18"/>
                    </w:rPr>
                  </w:pPr>
                  <w:r w:rsidRPr="004A500F">
                    <w:rPr>
                      <w:rFonts w:ascii="Verdana" w:hAnsi="Verdana"/>
                      <w:sz w:val="18"/>
                      <w:szCs w:val="18"/>
                    </w:rPr>
                    <w:t>95 </w:t>
                  </w:r>
                </w:p>
              </w:tc>
              <w:tc>
                <w:tcPr>
                  <w:tcW w:w="83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F22C142" w14:textId="77777777" w:rsidR="008838AB" w:rsidRPr="004A500F" w:rsidRDefault="008838AB" w:rsidP="008838AB">
                  <w:pPr>
                    <w:jc w:val="right"/>
                    <w:rPr>
                      <w:rFonts w:ascii="Verdana" w:hAnsi="Verdana"/>
                      <w:sz w:val="18"/>
                      <w:szCs w:val="18"/>
                    </w:rPr>
                  </w:pPr>
                  <w:r w:rsidRPr="004A500F">
                    <w:rPr>
                      <w:rFonts w:ascii="Verdana" w:hAnsi="Verdana"/>
                      <w:sz w:val="18"/>
                      <w:szCs w:val="18"/>
                    </w:rPr>
                    <w:t>58 </w:t>
                  </w:r>
                </w:p>
              </w:tc>
              <w:tc>
                <w:tcPr>
                  <w:tcW w:w="83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35CBD71" w14:textId="77777777" w:rsidR="008838AB" w:rsidRPr="004A500F" w:rsidRDefault="008838AB" w:rsidP="008838AB">
                  <w:pPr>
                    <w:jc w:val="right"/>
                    <w:rPr>
                      <w:rFonts w:ascii="Verdana" w:hAnsi="Verdana"/>
                      <w:sz w:val="18"/>
                      <w:szCs w:val="18"/>
                    </w:rPr>
                  </w:pPr>
                  <w:r w:rsidRPr="004A500F">
                    <w:rPr>
                      <w:rFonts w:ascii="Verdana" w:hAnsi="Verdana"/>
                      <w:sz w:val="18"/>
                      <w:szCs w:val="18"/>
                    </w:rPr>
                    <w:t>60 </w:t>
                  </w:r>
                </w:p>
              </w:tc>
              <w:tc>
                <w:tcPr>
                  <w:tcW w:w="83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7DC884A" w14:textId="77777777" w:rsidR="008838AB" w:rsidRPr="004A500F" w:rsidRDefault="008838AB" w:rsidP="008838AB">
                  <w:pPr>
                    <w:jc w:val="right"/>
                    <w:rPr>
                      <w:rFonts w:ascii="Verdana" w:hAnsi="Verdana"/>
                      <w:sz w:val="18"/>
                      <w:szCs w:val="18"/>
                    </w:rPr>
                  </w:pPr>
                  <w:r w:rsidRPr="004A500F">
                    <w:rPr>
                      <w:rFonts w:ascii="Verdana" w:hAnsi="Verdana"/>
                      <w:sz w:val="18"/>
                      <w:szCs w:val="18"/>
                    </w:rPr>
                    <w:t>41 </w:t>
                  </w:r>
                </w:p>
              </w:tc>
              <w:tc>
                <w:tcPr>
                  <w:tcW w:w="65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26582D4" w14:textId="77777777" w:rsidR="008838AB" w:rsidRPr="004A500F" w:rsidRDefault="008838AB" w:rsidP="008838AB">
                  <w:pPr>
                    <w:jc w:val="right"/>
                    <w:rPr>
                      <w:rFonts w:ascii="Verdana" w:hAnsi="Verdana"/>
                      <w:sz w:val="18"/>
                      <w:szCs w:val="18"/>
                    </w:rPr>
                  </w:pPr>
                  <w:r w:rsidRPr="004A500F">
                    <w:rPr>
                      <w:rFonts w:ascii="Verdana" w:hAnsi="Verdana"/>
                      <w:sz w:val="18"/>
                      <w:szCs w:val="18"/>
                    </w:rPr>
                    <w:t>85 </w:t>
                  </w:r>
                </w:p>
              </w:tc>
            </w:tr>
            <w:tr w:rsidR="008838AB" w:rsidRPr="004A500F" w14:paraId="30F6022F" w14:textId="77777777" w:rsidTr="687EFF7E">
              <w:trPr>
                <w:trHeight w:val="300"/>
                <w:jc w:val="center"/>
              </w:trPr>
              <w:tc>
                <w:tcPr>
                  <w:tcW w:w="190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F86218D" w14:textId="77777777" w:rsidR="008838AB" w:rsidRPr="004A500F" w:rsidRDefault="008838AB" w:rsidP="008838AB">
                  <w:pPr>
                    <w:rPr>
                      <w:rFonts w:ascii="Verdana" w:hAnsi="Verdana"/>
                      <w:sz w:val="18"/>
                      <w:szCs w:val="18"/>
                    </w:rPr>
                  </w:pPr>
                  <w:r w:rsidRPr="004A500F">
                    <w:rPr>
                      <w:rFonts w:ascii="Verdana" w:hAnsi="Verdana"/>
                      <w:sz w:val="18"/>
                      <w:szCs w:val="18"/>
                    </w:rPr>
                    <w:t>Sin información </w:t>
                  </w:r>
                </w:p>
              </w:tc>
              <w:tc>
                <w:tcPr>
                  <w:tcW w:w="764"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7C1FB0F" w14:textId="77777777" w:rsidR="008838AB" w:rsidRPr="004A500F" w:rsidRDefault="008838AB" w:rsidP="008838AB">
                  <w:pPr>
                    <w:jc w:val="right"/>
                    <w:rPr>
                      <w:rFonts w:ascii="Verdana" w:hAnsi="Verdana"/>
                      <w:sz w:val="18"/>
                      <w:szCs w:val="18"/>
                    </w:rPr>
                  </w:pPr>
                  <w:r w:rsidRPr="004A500F">
                    <w:rPr>
                      <w:rFonts w:ascii="Verdana" w:hAnsi="Verdana"/>
                      <w:sz w:val="18"/>
                      <w:szCs w:val="18"/>
                    </w:rPr>
                    <w:t>287 </w:t>
                  </w:r>
                </w:p>
              </w:tc>
              <w:tc>
                <w:tcPr>
                  <w:tcW w:w="83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7C94A50" w14:textId="77777777" w:rsidR="008838AB" w:rsidRPr="004A500F" w:rsidRDefault="008838AB" w:rsidP="008838AB">
                  <w:pPr>
                    <w:jc w:val="right"/>
                    <w:rPr>
                      <w:rFonts w:ascii="Verdana" w:hAnsi="Verdana"/>
                      <w:sz w:val="18"/>
                      <w:szCs w:val="18"/>
                    </w:rPr>
                  </w:pPr>
                  <w:r w:rsidRPr="004A500F">
                    <w:rPr>
                      <w:rFonts w:ascii="Verdana" w:hAnsi="Verdana"/>
                      <w:sz w:val="18"/>
                      <w:szCs w:val="18"/>
                    </w:rPr>
                    <w:t>476 </w:t>
                  </w:r>
                </w:p>
              </w:tc>
              <w:tc>
                <w:tcPr>
                  <w:tcW w:w="98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034AD11" w14:textId="77777777" w:rsidR="008838AB" w:rsidRPr="004A500F" w:rsidRDefault="008838AB" w:rsidP="008838AB">
                  <w:pPr>
                    <w:jc w:val="right"/>
                    <w:rPr>
                      <w:rFonts w:ascii="Verdana" w:hAnsi="Verdana"/>
                      <w:sz w:val="18"/>
                      <w:szCs w:val="18"/>
                    </w:rPr>
                  </w:pPr>
                  <w:r w:rsidRPr="004A500F">
                    <w:rPr>
                      <w:rFonts w:ascii="Verdana" w:hAnsi="Verdana"/>
                      <w:sz w:val="18"/>
                      <w:szCs w:val="18"/>
                    </w:rPr>
                    <w:t>244 </w:t>
                  </w:r>
                </w:p>
              </w:tc>
              <w:tc>
                <w:tcPr>
                  <w:tcW w:w="83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FE01C07" w14:textId="77777777" w:rsidR="008838AB" w:rsidRPr="004A500F" w:rsidRDefault="008838AB" w:rsidP="008838AB">
                  <w:pPr>
                    <w:jc w:val="right"/>
                    <w:rPr>
                      <w:rFonts w:ascii="Verdana" w:hAnsi="Verdana"/>
                      <w:sz w:val="18"/>
                      <w:szCs w:val="18"/>
                    </w:rPr>
                  </w:pPr>
                  <w:r w:rsidRPr="004A500F">
                    <w:rPr>
                      <w:rFonts w:ascii="Verdana" w:hAnsi="Verdana"/>
                      <w:sz w:val="18"/>
                      <w:szCs w:val="18"/>
                    </w:rPr>
                    <w:t>6 </w:t>
                  </w:r>
                </w:p>
              </w:tc>
              <w:tc>
                <w:tcPr>
                  <w:tcW w:w="83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39FEA84" w14:textId="77777777" w:rsidR="008838AB" w:rsidRPr="004A500F" w:rsidRDefault="008838AB" w:rsidP="008838AB">
                  <w:pPr>
                    <w:jc w:val="right"/>
                    <w:rPr>
                      <w:rFonts w:ascii="Verdana" w:hAnsi="Verdana"/>
                      <w:sz w:val="18"/>
                      <w:szCs w:val="18"/>
                    </w:rPr>
                  </w:pPr>
                  <w:r w:rsidRPr="004A500F">
                    <w:rPr>
                      <w:rFonts w:ascii="Verdana" w:hAnsi="Verdana"/>
                      <w:sz w:val="18"/>
                      <w:szCs w:val="18"/>
                    </w:rPr>
                    <w:t>100 </w:t>
                  </w:r>
                </w:p>
              </w:tc>
              <w:tc>
                <w:tcPr>
                  <w:tcW w:w="83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8F4D013" w14:textId="77777777" w:rsidR="008838AB" w:rsidRPr="004A500F" w:rsidRDefault="008838AB" w:rsidP="008838AB">
                  <w:pPr>
                    <w:jc w:val="right"/>
                    <w:rPr>
                      <w:rFonts w:ascii="Verdana" w:hAnsi="Verdana"/>
                      <w:sz w:val="18"/>
                      <w:szCs w:val="18"/>
                    </w:rPr>
                  </w:pPr>
                  <w:r w:rsidRPr="004A500F">
                    <w:rPr>
                      <w:rFonts w:ascii="Verdana" w:hAnsi="Verdana"/>
                      <w:sz w:val="18"/>
                      <w:szCs w:val="18"/>
                    </w:rPr>
                    <w:t>56 </w:t>
                  </w:r>
                </w:p>
              </w:tc>
              <w:tc>
                <w:tcPr>
                  <w:tcW w:w="83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2DF4823" w14:textId="77777777" w:rsidR="008838AB" w:rsidRPr="004A500F" w:rsidRDefault="008838AB" w:rsidP="008838AB">
                  <w:pPr>
                    <w:jc w:val="right"/>
                    <w:rPr>
                      <w:rFonts w:ascii="Verdana" w:hAnsi="Verdana"/>
                      <w:sz w:val="18"/>
                      <w:szCs w:val="18"/>
                    </w:rPr>
                  </w:pPr>
                  <w:r w:rsidRPr="004A500F">
                    <w:rPr>
                      <w:rFonts w:ascii="Verdana" w:hAnsi="Verdana"/>
                      <w:sz w:val="18"/>
                      <w:szCs w:val="18"/>
                    </w:rPr>
                    <w:t>10 </w:t>
                  </w:r>
                </w:p>
              </w:tc>
              <w:tc>
                <w:tcPr>
                  <w:tcW w:w="65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ADF3B63" w14:textId="77777777" w:rsidR="008838AB" w:rsidRPr="004A500F" w:rsidRDefault="008838AB" w:rsidP="008838AB">
                  <w:pPr>
                    <w:jc w:val="right"/>
                    <w:rPr>
                      <w:rFonts w:ascii="Verdana" w:hAnsi="Verdana"/>
                      <w:sz w:val="18"/>
                      <w:szCs w:val="18"/>
                    </w:rPr>
                  </w:pPr>
                  <w:r w:rsidRPr="004A500F">
                    <w:rPr>
                      <w:rFonts w:ascii="Verdana" w:hAnsi="Verdana"/>
                      <w:sz w:val="18"/>
                      <w:szCs w:val="18"/>
                    </w:rPr>
                    <w:t>2 </w:t>
                  </w:r>
                </w:p>
              </w:tc>
            </w:tr>
            <w:tr w:rsidR="008838AB" w:rsidRPr="004A500F" w14:paraId="14AE274B" w14:textId="77777777" w:rsidTr="687EFF7E">
              <w:trPr>
                <w:trHeight w:val="300"/>
                <w:jc w:val="center"/>
              </w:trPr>
              <w:tc>
                <w:tcPr>
                  <w:tcW w:w="190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BE87E8" w14:textId="77777777" w:rsidR="008838AB" w:rsidRPr="004A500F" w:rsidRDefault="008838AB" w:rsidP="008838AB">
                  <w:pPr>
                    <w:rPr>
                      <w:rFonts w:ascii="Verdana" w:hAnsi="Verdana"/>
                      <w:sz w:val="18"/>
                      <w:szCs w:val="18"/>
                    </w:rPr>
                  </w:pPr>
                  <w:proofErr w:type="gramStart"/>
                  <w:r w:rsidRPr="004A500F">
                    <w:rPr>
                      <w:rFonts w:ascii="Verdana" w:hAnsi="Verdana"/>
                      <w:sz w:val="18"/>
                      <w:szCs w:val="18"/>
                    </w:rPr>
                    <w:t>Total</w:t>
                  </w:r>
                  <w:proofErr w:type="gramEnd"/>
                  <w:r w:rsidRPr="004A500F">
                    <w:rPr>
                      <w:rFonts w:ascii="Verdana" w:hAnsi="Verdana"/>
                      <w:sz w:val="18"/>
                      <w:szCs w:val="18"/>
                    </w:rPr>
                    <w:t xml:space="preserve"> general </w:t>
                  </w:r>
                </w:p>
              </w:tc>
              <w:tc>
                <w:tcPr>
                  <w:tcW w:w="764"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070D061" w14:textId="77777777" w:rsidR="008838AB" w:rsidRPr="004A500F" w:rsidRDefault="008838AB" w:rsidP="008838AB">
                  <w:pPr>
                    <w:jc w:val="right"/>
                    <w:rPr>
                      <w:rFonts w:ascii="Verdana" w:hAnsi="Verdana"/>
                      <w:sz w:val="18"/>
                      <w:szCs w:val="18"/>
                    </w:rPr>
                  </w:pPr>
                  <w:r w:rsidRPr="004A500F">
                    <w:rPr>
                      <w:rFonts w:ascii="Verdana" w:hAnsi="Verdana"/>
                      <w:sz w:val="18"/>
                      <w:szCs w:val="18"/>
                    </w:rPr>
                    <w:t>968 </w:t>
                  </w:r>
                </w:p>
              </w:tc>
              <w:tc>
                <w:tcPr>
                  <w:tcW w:w="83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2F7182B" w14:textId="77777777" w:rsidR="008838AB" w:rsidRPr="004A500F" w:rsidRDefault="008838AB" w:rsidP="008838AB">
                  <w:pPr>
                    <w:jc w:val="right"/>
                    <w:rPr>
                      <w:rFonts w:ascii="Verdana" w:hAnsi="Verdana"/>
                      <w:sz w:val="18"/>
                      <w:szCs w:val="18"/>
                    </w:rPr>
                  </w:pPr>
                  <w:r w:rsidRPr="004A500F">
                    <w:rPr>
                      <w:rFonts w:ascii="Verdana" w:hAnsi="Verdana"/>
                      <w:sz w:val="18"/>
                      <w:szCs w:val="18"/>
                    </w:rPr>
                    <w:t>1877 </w:t>
                  </w:r>
                </w:p>
              </w:tc>
              <w:tc>
                <w:tcPr>
                  <w:tcW w:w="98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C66F812" w14:textId="77777777" w:rsidR="008838AB" w:rsidRPr="004A500F" w:rsidRDefault="008838AB" w:rsidP="008838AB">
                  <w:pPr>
                    <w:jc w:val="right"/>
                    <w:rPr>
                      <w:rFonts w:ascii="Verdana" w:hAnsi="Verdana"/>
                      <w:sz w:val="18"/>
                      <w:szCs w:val="18"/>
                    </w:rPr>
                  </w:pPr>
                  <w:r w:rsidRPr="004A500F">
                    <w:rPr>
                      <w:rFonts w:ascii="Verdana" w:hAnsi="Verdana"/>
                      <w:sz w:val="18"/>
                      <w:szCs w:val="18"/>
                    </w:rPr>
                    <w:t>1018 </w:t>
                  </w:r>
                </w:p>
              </w:tc>
              <w:tc>
                <w:tcPr>
                  <w:tcW w:w="83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547AB33" w14:textId="77777777" w:rsidR="008838AB" w:rsidRPr="004A500F" w:rsidRDefault="008838AB" w:rsidP="008838AB">
                  <w:pPr>
                    <w:jc w:val="right"/>
                    <w:rPr>
                      <w:rFonts w:ascii="Verdana" w:hAnsi="Verdana"/>
                      <w:sz w:val="18"/>
                      <w:szCs w:val="18"/>
                    </w:rPr>
                  </w:pPr>
                  <w:r w:rsidRPr="004A500F">
                    <w:rPr>
                      <w:rFonts w:ascii="Verdana" w:hAnsi="Verdana"/>
                      <w:sz w:val="18"/>
                      <w:szCs w:val="18"/>
                    </w:rPr>
                    <w:t>1288 </w:t>
                  </w:r>
                </w:p>
              </w:tc>
              <w:tc>
                <w:tcPr>
                  <w:tcW w:w="83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97F8324" w14:textId="77777777" w:rsidR="008838AB" w:rsidRPr="004A500F" w:rsidRDefault="008838AB" w:rsidP="008838AB">
                  <w:pPr>
                    <w:jc w:val="right"/>
                    <w:rPr>
                      <w:rFonts w:ascii="Verdana" w:hAnsi="Verdana"/>
                      <w:sz w:val="18"/>
                      <w:szCs w:val="18"/>
                    </w:rPr>
                  </w:pPr>
                  <w:r w:rsidRPr="004A500F">
                    <w:rPr>
                      <w:rFonts w:ascii="Verdana" w:hAnsi="Verdana"/>
                      <w:sz w:val="18"/>
                      <w:szCs w:val="18"/>
                    </w:rPr>
                    <w:t>515 </w:t>
                  </w:r>
                </w:p>
              </w:tc>
              <w:tc>
                <w:tcPr>
                  <w:tcW w:w="83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BD6DE16" w14:textId="77777777" w:rsidR="008838AB" w:rsidRPr="004A500F" w:rsidRDefault="008838AB" w:rsidP="008838AB">
                  <w:pPr>
                    <w:jc w:val="right"/>
                    <w:rPr>
                      <w:rFonts w:ascii="Verdana" w:hAnsi="Verdana"/>
                      <w:sz w:val="18"/>
                      <w:szCs w:val="18"/>
                    </w:rPr>
                  </w:pPr>
                  <w:r w:rsidRPr="004A500F">
                    <w:rPr>
                      <w:rFonts w:ascii="Verdana" w:hAnsi="Verdana"/>
                      <w:sz w:val="18"/>
                      <w:szCs w:val="18"/>
                    </w:rPr>
                    <w:t>689 </w:t>
                  </w:r>
                </w:p>
              </w:tc>
              <w:tc>
                <w:tcPr>
                  <w:tcW w:w="83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D12BBF2" w14:textId="77777777" w:rsidR="008838AB" w:rsidRPr="004A500F" w:rsidRDefault="008838AB" w:rsidP="008838AB">
                  <w:pPr>
                    <w:jc w:val="right"/>
                    <w:rPr>
                      <w:rFonts w:ascii="Verdana" w:hAnsi="Verdana"/>
                      <w:sz w:val="18"/>
                      <w:szCs w:val="18"/>
                    </w:rPr>
                  </w:pPr>
                  <w:r w:rsidRPr="004A500F">
                    <w:rPr>
                      <w:rFonts w:ascii="Verdana" w:hAnsi="Verdana"/>
                      <w:sz w:val="18"/>
                      <w:szCs w:val="18"/>
                    </w:rPr>
                    <w:t>397 </w:t>
                  </w:r>
                </w:p>
              </w:tc>
              <w:tc>
                <w:tcPr>
                  <w:tcW w:w="65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2C11779" w14:textId="77777777" w:rsidR="008838AB" w:rsidRPr="004A500F" w:rsidRDefault="008838AB" w:rsidP="008838AB">
                  <w:pPr>
                    <w:jc w:val="right"/>
                    <w:rPr>
                      <w:rFonts w:ascii="Verdana" w:hAnsi="Verdana"/>
                      <w:sz w:val="18"/>
                      <w:szCs w:val="18"/>
                    </w:rPr>
                  </w:pPr>
                  <w:r w:rsidRPr="004A500F">
                    <w:rPr>
                      <w:rFonts w:ascii="Verdana" w:hAnsi="Verdana"/>
                      <w:sz w:val="18"/>
                      <w:szCs w:val="18"/>
                    </w:rPr>
                    <w:t>715 </w:t>
                  </w:r>
                </w:p>
              </w:tc>
            </w:tr>
          </w:tbl>
          <w:p w14:paraId="725611AF" w14:textId="7D30AEF2" w:rsidR="008838AB" w:rsidRPr="004A500F" w:rsidRDefault="008838AB" w:rsidP="163BC4B9">
            <w:pPr>
              <w:rPr>
                <w:rFonts w:ascii="Verdana" w:hAnsi="Verdana"/>
                <w:i/>
                <w:iCs/>
                <w:sz w:val="16"/>
                <w:szCs w:val="16"/>
              </w:rPr>
            </w:pPr>
            <w:r w:rsidRPr="163BC4B9">
              <w:rPr>
                <w:rFonts w:ascii="Verdana" w:hAnsi="Verdana"/>
                <w:i/>
                <w:iCs/>
                <w:sz w:val="16"/>
                <w:szCs w:val="16"/>
                <w:lang w:val="es-MX"/>
              </w:rPr>
              <w:t xml:space="preserve">Fuente: </w:t>
            </w:r>
            <w:r w:rsidR="6F6CB3C4" w:rsidRPr="163BC4B9">
              <w:rPr>
                <w:rFonts w:ascii="Verdana" w:hAnsi="Verdana"/>
                <w:i/>
                <w:iCs/>
                <w:sz w:val="16"/>
                <w:szCs w:val="16"/>
                <w:lang w:val="es-MX"/>
              </w:rPr>
              <w:t xml:space="preserve">Caracterización </w:t>
            </w:r>
            <w:r w:rsidR="0CA9646D" w:rsidRPr="163BC4B9">
              <w:rPr>
                <w:rFonts w:ascii="Verdana" w:hAnsi="Verdana"/>
                <w:i/>
                <w:iCs/>
                <w:sz w:val="16"/>
                <w:szCs w:val="16"/>
                <w:lang w:val="es-MX"/>
              </w:rPr>
              <w:t>s</w:t>
            </w:r>
            <w:r w:rsidR="6F6CB3C4" w:rsidRPr="163BC4B9">
              <w:rPr>
                <w:rFonts w:ascii="Verdana" w:hAnsi="Verdana"/>
                <w:i/>
                <w:iCs/>
                <w:sz w:val="16"/>
                <w:szCs w:val="16"/>
                <w:lang w:val="es-MX"/>
              </w:rPr>
              <w:t xml:space="preserve">ocial realizada a través del Registro Único de Recicladores de Oficio (RURO) de la </w:t>
            </w:r>
            <w:r w:rsidRPr="163BC4B9">
              <w:rPr>
                <w:rFonts w:ascii="Verdana" w:hAnsi="Verdana"/>
                <w:i/>
                <w:iCs/>
                <w:sz w:val="16"/>
                <w:szCs w:val="16"/>
                <w:lang w:val="es-MX"/>
              </w:rPr>
              <w:t>Unidad Administrativa Especial de Servicios Públicos (UAESP)</w:t>
            </w:r>
            <w:r w:rsidRPr="163BC4B9">
              <w:rPr>
                <w:rFonts w:ascii="Verdana" w:hAnsi="Verdana"/>
                <w:sz w:val="16"/>
                <w:szCs w:val="16"/>
              </w:rPr>
              <w:t> </w:t>
            </w:r>
            <w:r w:rsidR="67ABB859" w:rsidRPr="163BC4B9">
              <w:rPr>
                <w:rFonts w:ascii="Verdana" w:hAnsi="Verdana"/>
                <w:i/>
                <w:iCs/>
                <w:sz w:val="16"/>
                <w:szCs w:val="16"/>
              </w:rPr>
              <w:t>Disponible en: https://www.uaesp.gov.co/content/caracterizacion-organizaciones-recicladores</w:t>
            </w:r>
          </w:p>
          <w:p w14:paraId="782633C5" w14:textId="5AD572C5" w:rsidR="008838AB" w:rsidRPr="004A500F" w:rsidRDefault="008838AB" w:rsidP="388D4128">
            <w:pPr>
              <w:ind w:left="708"/>
              <w:rPr>
                <w:rFonts w:ascii="Verdana" w:hAnsi="Verdana"/>
                <w:sz w:val="16"/>
                <w:szCs w:val="16"/>
              </w:rPr>
            </w:pPr>
          </w:p>
          <w:p w14:paraId="6089AD1B" w14:textId="44C93FEB" w:rsidR="008838AB" w:rsidRDefault="030567AE" w:rsidP="008838AB">
            <w:pPr>
              <w:jc w:val="both"/>
              <w:rPr>
                <w:rFonts w:ascii="Verdana" w:hAnsi="Verdana"/>
                <w:lang w:val="es-MX"/>
              </w:rPr>
            </w:pPr>
            <w:r w:rsidRPr="388D4128">
              <w:rPr>
                <w:rFonts w:ascii="Verdana" w:hAnsi="Verdana"/>
                <w:lang w:val="es-MX"/>
              </w:rPr>
              <w:t>Por otro lado, la UAESP</w:t>
            </w:r>
            <w:r w:rsidR="008838AB" w:rsidRPr="388D4128">
              <w:rPr>
                <w:rFonts w:ascii="Verdana" w:hAnsi="Verdana"/>
                <w:lang w:val="es-MX"/>
              </w:rPr>
              <w:footnoteReference w:id="13"/>
            </w:r>
            <w:r w:rsidRPr="388D4128">
              <w:rPr>
                <w:rFonts w:ascii="Verdana" w:hAnsi="Verdana"/>
                <w:lang w:val="es-MX"/>
              </w:rPr>
              <w:t xml:space="preserve"> también refiere que, se encuentra una realidad que es difícil de cuantificar, pero necesaria de mencionar y refiere que para algunos recicladores y sus familias es común tener que vivir en el mismo vehículo con el cual realizan la recolección del material reciclable, debido a sus condiciones socioeconómicas.</w:t>
            </w:r>
          </w:p>
          <w:p w14:paraId="1CC2BF40" w14:textId="77777777" w:rsidR="008838AB" w:rsidRPr="004A500F" w:rsidRDefault="008838AB" w:rsidP="008838AB">
            <w:pPr>
              <w:jc w:val="both"/>
              <w:rPr>
                <w:rFonts w:ascii="Verdana" w:hAnsi="Verdana"/>
              </w:rPr>
            </w:pPr>
          </w:p>
          <w:p w14:paraId="2C659F84" w14:textId="44D87444" w:rsidR="00C87348" w:rsidRDefault="2D730DD9" w:rsidP="00720245">
            <w:pPr>
              <w:spacing w:after="160" w:line="257" w:lineRule="auto"/>
              <w:jc w:val="both"/>
              <w:rPr>
                <w:rFonts w:ascii="Verdana" w:eastAsia="Verdana" w:hAnsi="Verdana" w:cs="Verdana"/>
                <w:lang w:val="es"/>
              </w:rPr>
            </w:pPr>
            <w:r w:rsidRPr="09400DC1">
              <w:rPr>
                <w:rFonts w:ascii="Verdana" w:hAnsi="Verdana"/>
                <w:lang w:val="es-MX"/>
              </w:rPr>
              <w:t xml:space="preserve">A partir de la información reportada previamente, se puede concluir </w:t>
            </w:r>
            <w:r w:rsidR="030567AE" w:rsidRPr="09400DC1">
              <w:rPr>
                <w:rFonts w:ascii="Verdana" w:hAnsi="Verdana"/>
                <w:lang w:val="es-MX"/>
              </w:rPr>
              <w:t xml:space="preserve">que las condiciones socio económicas </w:t>
            </w:r>
            <w:r w:rsidR="5ACD6424" w:rsidRPr="09400DC1">
              <w:rPr>
                <w:rFonts w:ascii="Verdana" w:hAnsi="Verdana"/>
                <w:lang w:val="es-MX"/>
              </w:rPr>
              <w:t xml:space="preserve">evidencian </w:t>
            </w:r>
            <w:r w:rsidR="030567AE" w:rsidRPr="09400DC1">
              <w:rPr>
                <w:rFonts w:ascii="Verdana" w:hAnsi="Verdana"/>
                <w:lang w:val="es-MX"/>
              </w:rPr>
              <w:t xml:space="preserve">que </w:t>
            </w:r>
            <w:r w:rsidR="030567AE" w:rsidRPr="09400DC1">
              <w:rPr>
                <w:rFonts w:ascii="Verdana" w:hAnsi="Verdana"/>
              </w:rPr>
              <w:t xml:space="preserve">los recicladores </w:t>
            </w:r>
            <w:r w:rsidR="7C2C2C91" w:rsidRPr="09400DC1">
              <w:rPr>
                <w:rFonts w:ascii="Verdana" w:hAnsi="Verdana"/>
              </w:rPr>
              <w:t>de oficio</w:t>
            </w:r>
            <w:r w:rsidR="030567AE" w:rsidRPr="09400DC1">
              <w:rPr>
                <w:rFonts w:ascii="Verdana" w:hAnsi="Verdana"/>
              </w:rPr>
              <w:t xml:space="preserve"> son personas en situación de vulnerabilidad, de pobreza y con bajo nivel educativo, que </w:t>
            </w:r>
            <w:r w:rsidR="6AAABEC4" w:rsidRPr="09400DC1">
              <w:rPr>
                <w:rFonts w:ascii="Verdana" w:hAnsi="Verdana"/>
              </w:rPr>
              <w:t>re</w:t>
            </w:r>
            <w:r w:rsidR="431E3FAA" w:rsidRPr="09400DC1">
              <w:rPr>
                <w:rFonts w:ascii="Verdana" w:hAnsi="Verdana"/>
              </w:rPr>
              <w:t xml:space="preserve">sultan ser </w:t>
            </w:r>
            <w:proofErr w:type="gramStart"/>
            <w:r w:rsidR="431E3FAA" w:rsidRPr="09400DC1">
              <w:rPr>
                <w:rFonts w:ascii="Verdana" w:hAnsi="Verdana"/>
              </w:rPr>
              <w:t xml:space="preserve">candidatos </w:t>
            </w:r>
            <w:r w:rsidR="293FC2EF" w:rsidRPr="09400DC1">
              <w:rPr>
                <w:rFonts w:ascii="Verdana" w:hAnsi="Verdana"/>
              </w:rPr>
              <w:t>idóneos</w:t>
            </w:r>
            <w:r w:rsidR="431E3FAA" w:rsidRPr="09400DC1">
              <w:rPr>
                <w:rFonts w:ascii="Verdana" w:hAnsi="Verdana"/>
              </w:rPr>
              <w:t xml:space="preserve"> a priorizar</w:t>
            </w:r>
            <w:proofErr w:type="gramEnd"/>
            <w:r w:rsidR="431E3FAA" w:rsidRPr="09400DC1">
              <w:rPr>
                <w:rFonts w:ascii="Verdana" w:hAnsi="Verdana"/>
              </w:rPr>
              <w:t xml:space="preserve"> en el marco de los programas para </w:t>
            </w:r>
            <w:r w:rsidR="431E3FAA" w:rsidRPr="09400DC1">
              <w:rPr>
                <w:rFonts w:ascii="Verdana" w:hAnsi="Verdana"/>
              </w:rPr>
              <w:lastRenderedPageBreak/>
              <w:t xml:space="preserve">la </w:t>
            </w:r>
            <w:r w:rsidR="321EA69B" w:rsidRPr="09400DC1">
              <w:rPr>
                <w:rFonts w:ascii="Verdana" w:hAnsi="Verdana"/>
              </w:rPr>
              <w:t>garantía</w:t>
            </w:r>
            <w:r w:rsidR="431E3FAA" w:rsidRPr="09400DC1">
              <w:rPr>
                <w:rFonts w:ascii="Verdana" w:hAnsi="Verdana"/>
              </w:rPr>
              <w:t xml:space="preserve"> y acceso progresivo al derecho a la vivienda</w:t>
            </w:r>
            <w:r w:rsidR="7C29D435" w:rsidRPr="09400DC1">
              <w:rPr>
                <w:rFonts w:ascii="Verdana" w:hAnsi="Verdana"/>
              </w:rPr>
              <w:t xml:space="preserve"> liderados por el Ministerio de Vivienda, Ciudad y Territorio</w:t>
            </w:r>
            <w:r w:rsidR="030567AE" w:rsidRPr="09400DC1">
              <w:rPr>
                <w:rFonts w:ascii="Verdana" w:hAnsi="Verdana"/>
              </w:rPr>
              <w:t>.</w:t>
            </w:r>
          </w:p>
          <w:p w14:paraId="46B45ECB" w14:textId="64D970D9" w:rsidR="71A7E374" w:rsidRDefault="71A7E374" w:rsidP="71A7E374">
            <w:pPr>
              <w:jc w:val="both"/>
              <w:rPr>
                <w:rFonts w:ascii="Verdana" w:hAnsi="Verdana"/>
              </w:rPr>
            </w:pPr>
          </w:p>
          <w:p w14:paraId="0E815878" w14:textId="741307AD" w:rsidR="56237601" w:rsidRPr="0015647C" w:rsidRDefault="56237601" w:rsidP="001A1F1A">
            <w:pPr>
              <w:spacing w:line="259" w:lineRule="auto"/>
              <w:jc w:val="both"/>
              <w:rPr>
                <w:rFonts w:ascii="Verdana" w:hAnsi="Verdana"/>
              </w:rPr>
            </w:pPr>
            <w:r w:rsidRPr="0015647C">
              <w:rPr>
                <w:rFonts w:ascii="Verdana" w:hAnsi="Verdana"/>
              </w:rPr>
              <w:t xml:space="preserve">e. Zonas donde la oferta de vivienda de interés nueva no sea suficiente para </w:t>
            </w:r>
            <w:r w:rsidR="783BAE1D" w:rsidRPr="0015647C">
              <w:rPr>
                <w:rFonts w:ascii="Verdana" w:hAnsi="Verdana"/>
              </w:rPr>
              <w:t>m</w:t>
            </w:r>
            <w:r w:rsidR="610587F6" w:rsidRPr="0015647C">
              <w:rPr>
                <w:rFonts w:ascii="Verdana" w:hAnsi="Verdana"/>
              </w:rPr>
              <w:t>i</w:t>
            </w:r>
            <w:r w:rsidR="783BAE1D" w:rsidRPr="0015647C">
              <w:rPr>
                <w:rFonts w:ascii="Verdana" w:hAnsi="Verdana"/>
              </w:rPr>
              <w:t>tigar el déficit cuantitativo de vivienda</w:t>
            </w:r>
          </w:p>
          <w:p w14:paraId="377B46D8" w14:textId="09B2075F" w:rsidR="71A7E374" w:rsidRDefault="71A7E374" w:rsidP="71A7E374">
            <w:pPr>
              <w:spacing w:line="259" w:lineRule="auto"/>
              <w:jc w:val="both"/>
              <w:rPr>
                <w:rFonts w:ascii="Verdana" w:hAnsi="Verdana"/>
              </w:rPr>
            </w:pPr>
          </w:p>
          <w:p w14:paraId="39636370" w14:textId="22599EBD" w:rsidR="00951ACA" w:rsidRDefault="009C1E95" w:rsidP="71A7E374">
            <w:pPr>
              <w:spacing w:line="259" w:lineRule="auto"/>
              <w:jc w:val="both"/>
              <w:rPr>
                <w:rFonts w:ascii="Verdana" w:hAnsi="Verdana"/>
              </w:rPr>
            </w:pPr>
            <w:r>
              <w:rPr>
                <w:rFonts w:ascii="Verdana" w:hAnsi="Verdana"/>
              </w:rPr>
              <w:t xml:space="preserve">Según el </w:t>
            </w:r>
            <w:r w:rsidR="003B5F2E">
              <w:rPr>
                <w:rFonts w:ascii="Verdana" w:hAnsi="Verdana"/>
              </w:rPr>
              <w:t xml:space="preserve">Censo Nacional de Población y Vivienda de 2018, </w:t>
            </w:r>
            <w:r w:rsidR="00391AB4">
              <w:rPr>
                <w:rFonts w:ascii="Verdana" w:hAnsi="Verdana"/>
              </w:rPr>
              <w:t xml:space="preserve">en Colombia hay </w:t>
            </w:r>
            <w:r w:rsidR="00A47ED6">
              <w:rPr>
                <w:rFonts w:ascii="Verdana" w:hAnsi="Verdana"/>
              </w:rPr>
              <w:t xml:space="preserve">más de </w:t>
            </w:r>
            <w:r w:rsidR="00D40215">
              <w:rPr>
                <w:rFonts w:ascii="Verdana" w:hAnsi="Verdana"/>
              </w:rPr>
              <w:t>un millón doscientos mil hogares en déficit cuantitativo de vivienda,</w:t>
            </w:r>
            <w:r w:rsidR="00C114A7">
              <w:rPr>
                <w:rFonts w:ascii="Verdana" w:hAnsi="Verdana"/>
              </w:rPr>
              <w:t xml:space="preserve"> </w:t>
            </w:r>
            <w:r w:rsidR="00A05E1D">
              <w:rPr>
                <w:rFonts w:ascii="Verdana" w:hAnsi="Verdana"/>
              </w:rPr>
              <w:t xml:space="preserve">por tal motivo, </w:t>
            </w:r>
            <w:r w:rsidR="00543BB6">
              <w:rPr>
                <w:rFonts w:ascii="Verdana" w:hAnsi="Verdana"/>
              </w:rPr>
              <w:t>es</w:t>
            </w:r>
            <w:r w:rsidR="00D5055D">
              <w:rPr>
                <w:rFonts w:ascii="Verdana" w:hAnsi="Verdana"/>
              </w:rPr>
              <w:t xml:space="preserve"> indispensable garantizar </w:t>
            </w:r>
            <w:r w:rsidR="00B86602">
              <w:rPr>
                <w:rFonts w:ascii="Verdana" w:hAnsi="Verdana"/>
              </w:rPr>
              <w:t>soluciones de vivienda</w:t>
            </w:r>
            <w:r w:rsidR="00882AC2">
              <w:rPr>
                <w:rFonts w:ascii="Verdana" w:hAnsi="Verdana"/>
              </w:rPr>
              <w:t xml:space="preserve"> </w:t>
            </w:r>
            <w:r w:rsidR="00543BB6">
              <w:rPr>
                <w:rFonts w:ascii="Verdana" w:hAnsi="Verdana"/>
              </w:rPr>
              <w:t>que contribuyan a</w:t>
            </w:r>
            <w:r w:rsidR="00213ADA">
              <w:rPr>
                <w:rFonts w:ascii="Verdana" w:hAnsi="Verdana"/>
              </w:rPr>
              <w:t xml:space="preserve"> </w:t>
            </w:r>
            <w:r w:rsidR="00A203E4">
              <w:rPr>
                <w:rFonts w:ascii="Verdana" w:hAnsi="Verdana"/>
              </w:rPr>
              <w:t xml:space="preserve">reducir </w:t>
            </w:r>
            <w:r w:rsidR="008C1A7D">
              <w:rPr>
                <w:rFonts w:ascii="Verdana" w:hAnsi="Verdana"/>
              </w:rPr>
              <w:t xml:space="preserve">las deficiencias </w:t>
            </w:r>
            <w:r w:rsidR="008B66FD">
              <w:rPr>
                <w:rFonts w:ascii="Verdana" w:hAnsi="Verdana"/>
              </w:rPr>
              <w:t xml:space="preserve">estructurales y de espacio </w:t>
            </w:r>
            <w:r w:rsidR="001F4F75">
              <w:rPr>
                <w:rFonts w:ascii="Verdana" w:hAnsi="Verdana"/>
              </w:rPr>
              <w:t xml:space="preserve">en las que </w:t>
            </w:r>
            <w:r w:rsidR="00FD21E7">
              <w:rPr>
                <w:rFonts w:ascii="Verdana" w:hAnsi="Verdana"/>
              </w:rPr>
              <w:t>habitan</w:t>
            </w:r>
            <w:r w:rsidR="001F4F75">
              <w:rPr>
                <w:rFonts w:ascii="Verdana" w:hAnsi="Verdana"/>
              </w:rPr>
              <w:t xml:space="preserve"> </w:t>
            </w:r>
            <w:r w:rsidR="00345B35">
              <w:rPr>
                <w:rFonts w:ascii="Verdana" w:hAnsi="Verdana"/>
              </w:rPr>
              <w:t xml:space="preserve">los hogares </w:t>
            </w:r>
            <w:r w:rsidR="00FD21E7">
              <w:rPr>
                <w:rFonts w:ascii="Verdana" w:hAnsi="Verdana"/>
              </w:rPr>
              <w:t>en cada lugar del territorio nacional.</w:t>
            </w:r>
            <w:r w:rsidR="00833BF9">
              <w:rPr>
                <w:rFonts w:ascii="Verdana" w:hAnsi="Verdana"/>
              </w:rPr>
              <w:t xml:space="preserve"> Según información de </w:t>
            </w:r>
            <w:r w:rsidR="00851298">
              <w:rPr>
                <w:rFonts w:ascii="Verdana" w:hAnsi="Verdana"/>
              </w:rPr>
              <w:t>encuesta de Galería Inmobiliaria sobre la oferta de vivienda VIS por municipio, de los 10</w:t>
            </w:r>
            <w:r w:rsidR="00B123DE">
              <w:rPr>
                <w:rFonts w:ascii="Verdana" w:hAnsi="Verdana"/>
              </w:rPr>
              <w:t>4 municipios que cobija la encuesta, en sólo el 20% la oferta de vivienda de interés social</w:t>
            </w:r>
            <w:r w:rsidR="004E4437">
              <w:rPr>
                <w:rFonts w:ascii="Verdana" w:hAnsi="Verdana"/>
              </w:rPr>
              <w:t xml:space="preserve"> nueva</w:t>
            </w:r>
            <w:r w:rsidR="00B123DE">
              <w:rPr>
                <w:rFonts w:ascii="Verdana" w:hAnsi="Verdana"/>
              </w:rPr>
              <w:t xml:space="preserve"> </w:t>
            </w:r>
            <w:r w:rsidR="004E4437">
              <w:rPr>
                <w:rFonts w:ascii="Verdana" w:hAnsi="Verdana"/>
              </w:rPr>
              <w:t>sería suficiente para cubrir las deficiencias habitacionales</w:t>
            </w:r>
            <w:r w:rsidR="006A4A49">
              <w:rPr>
                <w:rFonts w:ascii="Verdana" w:hAnsi="Verdana"/>
              </w:rPr>
              <w:t xml:space="preserve">. En otras palabras, la oferta de vivienda nueva </w:t>
            </w:r>
            <w:r w:rsidR="00063578">
              <w:rPr>
                <w:rFonts w:ascii="Verdana" w:hAnsi="Verdana"/>
              </w:rPr>
              <w:t xml:space="preserve">es insuficiente para </w:t>
            </w:r>
            <w:r w:rsidR="00567C21">
              <w:rPr>
                <w:rFonts w:ascii="Verdana" w:hAnsi="Verdana"/>
              </w:rPr>
              <w:t xml:space="preserve">que los hogares de poblaciones vulnerables </w:t>
            </w:r>
            <w:r w:rsidR="00C30B23">
              <w:rPr>
                <w:rFonts w:ascii="Verdana" w:hAnsi="Verdana"/>
              </w:rPr>
              <w:t xml:space="preserve">logren acceder a </w:t>
            </w:r>
            <w:r w:rsidR="00002A53">
              <w:rPr>
                <w:rFonts w:ascii="Verdana" w:hAnsi="Verdana"/>
              </w:rPr>
              <w:t>espacios habitacionales ad</w:t>
            </w:r>
            <w:r w:rsidR="00DC23B5">
              <w:rPr>
                <w:rFonts w:ascii="Verdana" w:hAnsi="Verdana"/>
              </w:rPr>
              <w:t>ecuados</w:t>
            </w:r>
            <w:r w:rsidR="004E4437">
              <w:rPr>
                <w:rFonts w:ascii="Verdana" w:hAnsi="Verdana"/>
              </w:rPr>
              <w:t xml:space="preserve">. </w:t>
            </w:r>
          </w:p>
          <w:p w14:paraId="1EBE8502" w14:textId="77777777" w:rsidR="00951ACA" w:rsidRDefault="00951ACA" w:rsidP="00951ACA">
            <w:pPr>
              <w:jc w:val="both"/>
            </w:pPr>
          </w:p>
          <w:p w14:paraId="6DF4DDD3" w14:textId="1A3560E8" w:rsidR="006F5D47" w:rsidRPr="00466D0D" w:rsidRDefault="00C07724" w:rsidP="00FB314A">
            <w:pPr>
              <w:jc w:val="both"/>
              <w:rPr>
                <w:rFonts w:ascii="Verdana" w:eastAsia="Calibri" w:hAnsi="Verdana"/>
                <w:lang w:eastAsia="en-US"/>
              </w:rPr>
            </w:pPr>
            <w:r w:rsidRPr="163BC4B9">
              <w:rPr>
                <w:rFonts w:ascii="Verdana" w:hAnsi="Verdana"/>
                <w:lang w:val="es-CO"/>
              </w:rPr>
              <w:t>Por otro lado</w:t>
            </w:r>
            <w:r w:rsidR="006F5D47" w:rsidRPr="163BC4B9">
              <w:rPr>
                <w:rFonts w:ascii="Verdana" w:hAnsi="Verdana"/>
                <w:lang w:val="es-CO"/>
              </w:rPr>
              <w:t xml:space="preserve">, es necesario precisar que </w:t>
            </w:r>
            <w:r w:rsidR="42378C2A" w:rsidRPr="163BC4B9">
              <w:rPr>
                <w:rFonts w:ascii="Verdana" w:hAnsi="Verdana"/>
                <w:lang w:val="es-CO"/>
              </w:rPr>
              <w:t xml:space="preserve">en cumplimiento del artículo 41 de la Ley 21 de 1982, adicionado por el artículo 16 de la Ley 789 de 2002, </w:t>
            </w:r>
            <w:r w:rsidR="006F5D47" w:rsidRPr="163BC4B9">
              <w:rPr>
                <w:rFonts w:ascii="Verdana" w:eastAsia="Calibri" w:hAnsi="Verdana"/>
                <w:lang w:eastAsia="en-US"/>
              </w:rPr>
              <w:t xml:space="preserve">las Cajas de Compensación Familiar </w:t>
            </w:r>
            <w:r w:rsidR="6B41BD7B" w:rsidRPr="163BC4B9">
              <w:rPr>
                <w:rFonts w:ascii="Verdana" w:eastAsia="Calibri" w:hAnsi="Verdana"/>
                <w:lang w:eastAsia="en-US"/>
              </w:rPr>
              <w:t xml:space="preserve">administran, entre otros, programas de vivienda de interés social, constituyéndose </w:t>
            </w:r>
            <w:r w:rsidR="51C15CA8" w:rsidRPr="163BC4B9">
              <w:rPr>
                <w:rFonts w:ascii="Verdana" w:eastAsia="Calibri" w:hAnsi="Verdana"/>
                <w:lang w:eastAsia="en-US"/>
              </w:rPr>
              <w:t>en</w:t>
            </w:r>
            <w:r w:rsidR="006F5D47" w:rsidRPr="163BC4B9">
              <w:rPr>
                <w:rFonts w:ascii="Verdana" w:eastAsia="Calibri" w:hAnsi="Verdana"/>
                <w:lang w:eastAsia="en-US"/>
              </w:rPr>
              <w:t xml:space="preserve"> parte fundamental de las políticas estatales para garantizar el acceso a una vivienda y hábitat de calidad en condiciones dignas, de equidad, transparencia y enfoque diferencial para los trabajadores afiliados y sus familias, teniendo en cuenta sus particularidades y los territorios en los que habitan</w:t>
            </w:r>
            <w:r w:rsidRPr="163BC4B9">
              <w:rPr>
                <w:rFonts w:ascii="Verdana" w:eastAsia="Calibri" w:hAnsi="Verdana"/>
                <w:lang w:eastAsia="en-US"/>
              </w:rPr>
              <w:t>.</w:t>
            </w:r>
          </w:p>
          <w:p w14:paraId="65EED7E5" w14:textId="77777777" w:rsidR="00C07724" w:rsidRPr="00466D0D" w:rsidRDefault="00C07724" w:rsidP="00FB314A">
            <w:pPr>
              <w:jc w:val="both"/>
              <w:rPr>
                <w:rFonts w:ascii="Verdana" w:eastAsia="Calibri" w:hAnsi="Verdana"/>
                <w:lang w:eastAsia="en-US"/>
              </w:rPr>
            </w:pPr>
          </w:p>
          <w:p w14:paraId="16DD49EE" w14:textId="77777777" w:rsidR="00C07724" w:rsidRPr="00466D0D" w:rsidRDefault="17AA327A" w:rsidP="163BC4B9">
            <w:pPr>
              <w:jc w:val="both"/>
              <w:rPr>
                <w:rFonts w:ascii="Verdana" w:hAnsi="Verdana"/>
              </w:rPr>
            </w:pPr>
            <w:r w:rsidRPr="1CEBD9B9">
              <w:rPr>
                <w:rFonts w:ascii="Verdana" w:eastAsia="Calibri" w:hAnsi="Verdana"/>
                <w:lang w:eastAsia="en-US"/>
              </w:rPr>
              <w:t xml:space="preserve">El artículo </w:t>
            </w:r>
            <w:r w:rsidR="14621095" w:rsidRPr="1CEBD9B9">
              <w:rPr>
                <w:rFonts w:ascii="Verdana" w:hAnsi="Verdana"/>
                <w:lang w:val="es-CO"/>
              </w:rPr>
              <w:t xml:space="preserve">2.1.1.1.1.1.7 </w:t>
            </w:r>
            <w:r w:rsidRPr="1CEBD9B9">
              <w:rPr>
                <w:rFonts w:ascii="Verdana" w:eastAsia="Calibri" w:hAnsi="Verdana"/>
                <w:lang w:eastAsia="en-US"/>
              </w:rPr>
              <w:t>del Decreto 1077 de 2015, establece que</w:t>
            </w:r>
            <w:r w:rsidR="14621095" w:rsidRPr="1CEBD9B9">
              <w:rPr>
                <w:rFonts w:ascii="Verdana" w:eastAsia="Calibri" w:hAnsi="Verdana"/>
                <w:lang w:eastAsia="en-US"/>
              </w:rPr>
              <w:t>:</w:t>
            </w:r>
            <w:r w:rsidRPr="1CEBD9B9">
              <w:rPr>
                <w:rFonts w:ascii="Verdana" w:eastAsia="Calibri" w:hAnsi="Verdana"/>
                <w:lang w:eastAsia="en-US"/>
              </w:rPr>
              <w:t xml:space="preserve"> </w:t>
            </w:r>
            <w:r w:rsidR="14621095" w:rsidRPr="1CEBD9B9">
              <w:rPr>
                <w:rFonts w:ascii="Verdana" w:eastAsia="Calibri" w:hAnsi="Verdana"/>
                <w:i/>
                <w:iCs/>
                <w:lang w:eastAsia="en-US"/>
              </w:rPr>
              <w:t xml:space="preserve">“(…) </w:t>
            </w:r>
            <w:r w:rsidRPr="1CEBD9B9">
              <w:rPr>
                <w:rFonts w:ascii="Verdana" w:hAnsi="Verdana"/>
                <w:i/>
                <w:iCs/>
                <w:lang w:val="es-CO"/>
              </w:rPr>
              <w:t>El subsidio familiar de vivienda otorgado por las Cajas de Compensación Familiar con cargo a los recursos por estas administrados aplicará para la adquisición de una vivienda nueva, la construcción en sitio propio y el mejoramiento de viviendas de Interés Social y de Interés Prioritario o el arrendamiento y arrendamiento con opción de compra de todo tipo de viviendas, siempre y cuando el canon pactado no supere el 1% del valor de la vivienda de interés social, y excepcionalmente para adquisición de vivienda usada de acuerdo con lo estipulado en los artículos 2.1.1.1.2.1.9, 2.1.1.1.4.3; 2.1.1.1.5.4; 2.1.1.1.7.3 y 2.1.1.1.8.2.2 del presente decreto</w:t>
            </w:r>
            <w:r w:rsidR="14621095" w:rsidRPr="1CEBD9B9">
              <w:rPr>
                <w:rFonts w:ascii="Verdana" w:hAnsi="Verdana"/>
                <w:i/>
                <w:iCs/>
                <w:lang w:val="es-CO"/>
              </w:rPr>
              <w:t>”</w:t>
            </w:r>
            <w:r w:rsidR="14621095" w:rsidRPr="1CEBD9B9">
              <w:rPr>
                <w:rFonts w:ascii="Verdana" w:hAnsi="Verdana"/>
                <w:lang w:val="es-CO"/>
              </w:rPr>
              <w:t xml:space="preserve">, es decir, que de manera excepcional, las Cajas de Compensación Familiar pueden otorgar subsidios familiares de vivienda para la adquisición de vivienda usada a población en situación de desplazamiento, madres comunitarias, recicladores, concejales </w:t>
            </w:r>
            <w:r w:rsidR="6AA6F8D0" w:rsidRPr="1CEBD9B9">
              <w:rPr>
                <w:rFonts w:ascii="Verdana" w:hAnsi="Verdana"/>
                <w:lang w:val="es-CO"/>
              </w:rPr>
              <w:t xml:space="preserve">y, a </w:t>
            </w:r>
            <w:r w:rsidR="14621095" w:rsidRPr="1CEBD9B9">
              <w:rPr>
                <w:rFonts w:ascii="Verdana" w:hAnsi="Verdana"/>
              </w:rPr>
              <w:t>hogares que han perdido la totalidad de su solución de vivienda o que esta haya sido afectada como consecuencia de una situación de desastre, calamidad pública o emergencias que se presenten o puedan acaecer por eventos de origen natural y para aquellos que por causa de estas situaciones queden en condiciones de alto riesgo no mitigable</w:t>
            </w:r>
            <w:r w:rsidR="6AA6F8D0" w:rsidRPr="1CEBD9B9">
              <w:rPr>
                <w:rFonts w:ascii="Verdana" w:hAnsi="Verdana"/>
              </w:rPr>
              <w:t xml:space="preserve">. </w:t>
            </w:r>
          </w:p>
          <w:p w14:paraId="4269EBDA" w14:textId="77777777" w:rsidR="00947560" w:rsidRPr="00466D0D" w:rsidRDefault="00947560" w:rsidP="00C07724">
            <w:pPr>
              <w:jc w:val="both"/>
              <w:rPr>
                <w:rFonts w:ascii="Verdana" w:hAnsi="Verdana"/>
                <w:bCs/>
              </w:rPr>
            </w:pPr>
          </w:p>
          <w:p w14:paraId="7489F377" w14:textId="2C65CECD" w:rsidR="00C07724" w:rsidRDefault="4AD9CBA8" w:rsidP="3238B6A9">
            <w:pPr>
              <w:jc w:val="both"/>
              <w:rPr>
                <w:rFonts w:ascii="Verdana" w:hAnsi="Verdana"/>
              </w:rPr>
            </w:pPr>
            <w:r w:rsidRPr="1CEBD9B9">
              <w:rPr>
                <w:rFonts w:ascii="Verdana" w:hAnsi="Verdana"/>
              </w:rPr>
              <w:t>Por lo tanto</w:t>
            </w:r>
            <w:r w:rsidR="71A651D2" w:rsidRPr="1CEBD9B9">
              <w:rPr>
                <w:rFonts w:ascii="Verdana" w:hAnsi="Verdana"/>
              </w:rPr>
              <w:t xml:space="preserve"> </w:t>
            </w:r>
            <w:r w:rsidR="75824CEB" w:rsidRPr="1CEBD9B9">
              <w:rPr>
                <w:rFonts w:ascii="Verdana" w:hAnsi="Verdana"/>
              </w:rPr>
              <w:t>y en línea de lo manifestado con anterioridad</w:t>
            </w:r>
            <w:r w:rsidR="71A651D2" w:rsidRPr="1CEBD9B9">
              <w:rPr>
                <w:rFonts w:ascii="Verdana" w:hAnsi="Verdana"/>
              </w:rPr>
              <w:t>,</w:t>
            </w:r>
            <w:r w:rsidR="75824CEB" w:rsidRPr="1CEBD9B9">
              <w:rPr>
                <w:rFonts w:ascii="Verdana" w:hAnsi="Verdana"/>
              </w:rPr>
              <w:t xml:space="preserve"> se </w:t>
            </w:r>
            <w:r w:rsidR="71A651D2" w:rsidRPr="1CEBD9B9">
              <w:rPr>
                <w:rFonts w:ascii="Verdana" w:hAnsi="Verdana"/>
              </w:rPr>
              <w:t>da</w:t>
            </w:r>
            <w:r w:rsidR="75824CEB" w:rsidRPr="1CEBD9B9">
              <w:rPr>
                <w:rFonts w:ascii="Verdana" w:hAnsi="Verdana"/>
              </w:rPr>
              <w:t xml:space="preserve"> la posibilidad de expandir</w:t>
            </w:r>
            <w:r w:rsidR="71A651D2" w:rsidRPr="1CEBD9B9">
              <w:rPr>
                <w:rFonts w:ascii="Verdana" w:hAnsi="Verdana"/>
              </w:rPr>
              <w:t xml:space="preserve"> para las Cajas de Compensación Familiar, el otorgamiento de subsidios familiares de vivienda para la adquisición de vivienda usada a población en proceso de reincorporación que se encuentre activo en el proceso de reincorporación a cargo de la Agencia para la Reincorporación y la Normalización - ARN o quien haga sus veces y, para </w:t>
            </w:r>
            <w:r w:rsidR="327148AB" w:rsidRPr="1CEBD9B9">
              <w:rPr>
                <w:rFonts w:ascii="Verdana" w:hAnsi="Verdana"/>
              </w:rPr>
              <w:t xml:space="preserve">la adquisición de </w:t>
            </w:r>
            <w:r w:rsidR="71A651D2" w:rsidRPr="1CEBD9B9">
              <w:rPr>
                <w:rFonts w:ascii="Verdana" w:hAnsi="Verdana"/>
              </w:rPr>
              <w:t xml:space="preserve">viviendas ubicadas en aquellas zonas donde </w:t>
            </w:r>
            <w:r w:rsidR="652145D4" w:rsidRPr="1CEBD9B9">
              <w:rPr>
                <w:rFonts w:ascii="Verdana" w:hAnsi="Verdana"/>
              </w:rPr>
              <w:t xml:space="preserve">la oferta de vivienda de interés nueva no sea suficiente para </w:t>
            </w:r>
            <w:r w:rsidR="14C58821" w:rsidRPr="1CEBD9B9">
              <w:rPr>
                <w:rFonts w:ascii="Verdana" w:hAnsi="Verdana"/>
              </w:rPr>
              <w:t xml:space="preserve">mitigar </w:t>
            </w:r>
            <w:r w:rsidR="276DCAF2" w:rsidRPr="1CEBD9B9">
              <w:rPr>
                <w:rFonts w:ascii="Verdana" w:hAnsi="Verdana"/>
              </w:rPr>
              <w:t xml:space="preserve">el déficit cuantitativo de vivienda. </w:t>
            </w:r>
            <w:r w:rsidR="509A7D4A" w:rsidRPr="1CEBD9B9">
              <w:rPr>
                <w:rFonts w:ascii="Verdana" w:hAnsi="Verdana"/>
              </w:rPr>
              <w:t xml:space="preserve">Esta </w:t>
            </w:r>
            <w:r w:rsidR="5B9DA7CA" w:rsidRPr="1CEBD9B9">
              <w:rPr>
                <w:rFonts w:ascii="Verdana" w:hAnsi="Verdana"/>
              </w:rPr>
              <w:t xml:space="preserve">medida se encuentra en línea con </w:t>
            </w:r>
            <w:r w:rsidR="270F7F98" w:rsidRPr="1CEBD9B9">
              <w:rPr>
                <w:rFonts w:ascii="Verdana" w:hAnsi="Verdana"/>
              </w:rPr>
              <w:t xml:space="preserve">lo </w:t>
            </w:r>
            <w:r w:rsidR="6C379264" w:rsidRPr="1CEBD9B9">
              <w:rPr>
                <w:rFonts w:ascii="Verdana" w:hAnsi="Verdana"/>
              </w:rPr>
              <w:t xml:space="preserve">establecido </w:t>
            </w:r>
            <w:r w:rsidR="62F2A904" w:rsidRPr="1CEBD9B9">
              <w:rPr>
                <w:rFonts w:ascii="Verdana" w:hAnsi="Verdana"/>
              </w:rPr>
              <w:t xml:space="preserve">para el programa de </w:t>
            </w:r>
            <w:r w:rsidR="2AFDE3F5" w:rsidRPr="1CEBD9B9">
              <w:rPr>
                <w:rFonts w:ascii="Verdana" w:hAnsi="Verdana"/>
              </w:rPr>
              <w:t xml:space="preserve">promoción </w:t>
            </w:r>
            <w:r w:rsidR="73FAB24D" w:rsidRPr="1CEBD9B9">
              <w:rPr>
                <w:rFonts w:ascii="Verdana" w:hAnsi="Verdana"/>
              </w:rPr>
              <w:t xml:space="preserve">de acceso a la </w:t>
            </w:r>
            <w:r w:rsidR="2AFDE3F5" w:rsidRPr="1CEBD9B9">
              <w:rPr>
                <w:rFonts w:ascii="Verdana" w:hAnsi="Verdana"/>
              </w:rPr>
              <w:t>vivienda</w:t>
            </w:r>
            <w:r w:rsidR="0640582C" w:rsidRPr="1CEBD9B9">
              <w:rPr>
                <w:rFonts w:ascii="Verdana" w:hAnsi="Verdana"/>
              </w:rPr>
              <w:t xml:space="preserve"> de interés social</w:t>
            </w:r>
            <w:r w:rsidR="71A651D2" w:rsidRPr="1CEBD9B9">
              <w:rPr>
                <w:rFonts w:ascii="Verdana" w:hAnsi="Verdana"/>
              </w:rPr>
              <w:t>.</w:t>
            </w:r>
          </w:p>
          <w:p w14:paraId="6D01A607" w14:textId="225FDE1F" w:rsidR="00304286" w:rsidRPr="007C5A0B" w:rsidRDefault="00304286" w:rsidP="1CEBD9B9">
            <w:pPr>
              <w:jc w:val="both"/>
              <w:rPr>
                <w:rFonts w:ascii="Verdana" w:hAnsi="Verdana"/>
              </w:rPr>
            </w:pPr>
          </w:p>
          <w:p w14:paraId="1634B8AB" w14:textId="5A73227F" w:rsidR="00304286" w:rsidRPr="007C5A0B" w:rsidRDefault="7CC3D4D7" w:rsidP="1CEBD9B9">
            <w:pPr>
              <w:jc w:val="both"/>
              <w:rPr>
                <w:rFonts w:ascii="Verdana" w:eastAsia="Verdana" w:hAnsi="Verdana" w:cs="Verdana"/>
                <w:lang w:val="es-CO"/>
              </w:rPr>
            </w:pPr>
            <w:r w:rsidRPr="1CEBD9B9">
              <w:rPr>
                <w:rFonts w:ascii="Verdana" w:eastAsia="Verdana" w:hAnsi="Verdana" w:cs="Verdana"/>
                <w:lang w:val="es-CO"/>
              </w:rPr>
              <w:t>Respecto a la definición de vivienda usada, es importante que el subsidio recaiga sobre viviendas que han dado cumplimiento a las normas nacionales y locales para su construcción. En esta medida, el proyecto contempla 2 variables en relación con que la edificación cumpla con las normas urbanísticas:</w:t>
            </w:r>
          </w:p>
          <w:p w14:paraId="3BEE5740" w14:textId="7E2163AC" w:rsidR="00304286" w:rsidRPr="007C5A0B" w:rsidRDefault="7CC3D4D7" w:rsidP="1CEBD9B9">
            <w:pPr>
              <w:jc w:val="both"/>
              <w:rPr>
                <w:rFonts w:ascii="Verdana" w:eastAsia="Verdana" w:hAnsi="Verdana" w:cs="Verdana"/>
                <w:lang w:val="es-CO"/>
              </w:rPr>
            </w:pPr>
            <w:r w:rsidRPr="1CEBD9B9">
              <w:rPr>
                <w:rFonts w:ascii="Verdana" w:eastAsia="Verdana" w:hAnsi="Verdana" w:cs="Verdana"/>
                <w:lang w:val="es-CO"/>
              </w:rPr>
              <w:t xml:space="preserve"> </w:t>
            </w:r>
          </w:p>
          <w:p w14:paraId="3A084D4A" w14:textId="16EEFF30" w:rsidR="00304286" w:rsidRPr="007C5A0B" w:rsidRDefault="7CC3D4D7" w:rsidP="00720245">
            <w:pPr>
              <w:pStyle w:val="Prrafodelista"/>
              <w:numPr>
                <w:ilvl w:val="0"/>
                <w:numId w:val="1"/>
              </w:numPr>
              <w:jc w:val="both"/>
              <w:rPr>
                <w:rFonts w:ascii="Verdana" w:eastAsia="Verdana" w:hAnsi="Verdana" w:cs="Verdana"/>
                <w:lang w:val="es-CO"/>
              </w:rPr>
            </w:pPr>
            <w:r w:rsidRPr="1CEBD9B9">
              <w:rPr>
                <w:rFonts w:ascii="Verdana" w:eastAsia="Verdana" w:hAnsi="Verdana" w:cs="Verdana"/>
                <w:lang w:val="es-CO"/>
              </w:rPr>
              <w:t>Que haya contado con Licencia urbanística de construcción.</w:t>
            </w:r>
            <w:r w:rsidR="6991C721" w:rsidRPr="1CEBD9B9">
              <w:rPr>
                <w:rFonts w:ascii="Verdana" w:eastAsia="Verdana" w:hAnsi="Verdana" w:cs="Verdana"/>
                <w:lang w:val="es-CO"/>
              </w:rPr>
              <w:t xml:space="preserve"> </w:t>
            </w:r>
          </w:p>
          <w:p w14:paraId="0D0B958A" w14:textId="77777777" w:rsidR="0013287D" w:rsidRDefault="7CC3D4D7" w:rsidP="1CEBD9B9">
            <w:pPr>
              <w:jc w:val="both"/>
              <w:rPr>
                <w:rFonts w:ascii="Verdana" w:eastAsia="Verdana" w:hAnsi="Verdana" w:cs="Verdana"/>
                <w:lang w:val="es-CO"/>
              </w:rPr>
            </w:pPr>
            <w:r w:rsidRPr="1CEBD9B9">
              <w:rPr>
                <w:rFonts w:ascii="Verdana" w:eastAsia="Verdana" w:hAnsi="Verdana" w:cs="Verdana"/>
                <w:lang w:val="es-CO"/>
              </w:rPr>
              <w:lastRenderedPageBreak/>
              <w:t>Conforme al artículo 99 de la Ley 388 de 1997 toda obra de construcción necesita de una autorización previa mediante una licencia urbanística.</w:t>
            </w:r>
            <w:r w:rsidR="441F6E9B" w:rsidRPr="1CEBD9B9">
              <w:rPr>
                <w:rFonts w:ascii="Verdana" w:eastAsia="Verdana" w:hAnsi="Verdana" w:cs="Verdana"/>
                <w:lang w:val="es-CO"/>
              </w:rPr>
              <w:t xml:space="preserve"> En virtud </w:t>
            </w:r>
            <w:proofErr w:type="gramStart"/>
            <w:r w:rsidR="441F6E9B" w:rsidRPr="1CEBD9B9">
              <w:rPr>
                <w:rFonts w:ascii="Verdana" w:eastAsia="Verdana" w:hAnsi="Verdana" w:cs="Verdana"/>
                <w:lang w:val="es-CO"/>
              </w:rPr>
              <w:t>del mismo</w:t>
            </w:r>
            <w:proofErr w:type="gramEnd"/>
            <w:r w:rsidR="441F6E9B" w:rsidRPr="1CEBD9B9">
              <w:rPr>
                <w:rFonts w:ascii="Verdana" w:eastAsia="Verdana" w:hAnsi="Verdana" w:cs="Verdana"/>
                <w:lang w:val="es-CO"/>
              </w:rPr>
              <w:t xml:space="preserve"> numeral, la licencia urbanística es la que otorga derechos, autoriza específicamente usos del suelo y certifica el cumplimiento de normas urbanísticas y de sismo resistencia.</w:t>
            </w:r>
          </w:p>
          <w:p w14:paraId="2FDE2A29" w14:textId="7E5B3BA1" w:rsidR="00304286" w:rsidRPr="007C5A0B" w:rsidRDefault="7CC3D4D7" w:rsidP="1CEBD9B9">
            <w:pPr>
              <w:jc w:val="both"/>
              <w:rPr>
                <w:rFonts w:ascii="Verdana" w:eastAsia="Verdana" w:hAnsi="Verdana" w:cs="Verdana"/>
                <w:lang w:val="es-CO"/>
              </w:rPr>
            </w:pPr>
            <w:r>
              <w:br/>
            </w:r>
          </w:p>
          <w:p w14:paraId="0A94358E" w14:textId="5DF64145" w:rsidR="00304286" w:rsidRPr="007C5A0B" w:rsidRDefault="7CC3D4D7" w:rsidP="00720245">
            <w:pPr>
              <w:pStyle w:val="Prrafodelista"/>
              <w:numPr>
                <w:ilvl w:val="0"/>
                <w:numId w:val="1"/>
              </w:numPr>
              <w:jc w:val="both"/>
              <w:rPr>
                <w:rFonts w:ascii="Verdana" w:eastAsia="Verdana" w:hAnsi="Verdana" w:cs="Verdana"/>
                <w:lang w:val="es-CO"/>
              </w:rPr>
            </w:pPr>
            <w:r w:rsidRPr="1CEBD9B9">
              <w:rPr>
                <w:rFonts w:ascii="Verdana" w:eastAsia="Verdana" w:hAnsi="Verdana" w:cs="Verdana"/>
                <w:lang w:val="es-CO"/>
              </w:rPr>
              <w:t xml:space="preserve">Que cuente con acto de reconocimiento. </w:t>
            </w:r>
          </w:p>
          <w:p w14:paraId="797AD15F" w14:textId="1138D02B" w:rsidR="00304286" w:rsidRPr="007C5A0B" w:rsidRDefault="7CC3D4D7" w:rsidP="1CEBD9B9">
            <w:pPr>
              <w:jc w:val="both"/>
              <w:rPr>
                <w:rFonts w:ascii="Verdana" w:eastAsia="Verdana" w:hAnsi="Verdana" w:cs="Verdana"/>
                <w:lang w:val="es-CO"/>
              </w:rPr>
            </w:pPr>
            <w:r w:rsidRPr="1CEBD9B9">
              <w:rPr>
                <w:rFonts w:ascii="Verdana" w:eastAsia="Verdana" w:hAnsi="Verdana" w:cs="Verdana"/>
                <w:lang w:val="es-CO"/>
              </w:rPr>
              <w:t>Cuando una edificación o parte de esta se construyó sin licencia 5 años antes de la expedición de la Ley 1848 de 2017, y cumple con el régimen de usos del suelo establecidos en el Plan de Ordenamiento Territorial, dicha Ley, reglamentada por los artículos 2.2.6.4.1.1 y siguientes del Decreto 1077 de 2015, permite que se reconozca la edificación. Es decir que</w:t>
            </w:r>
            <w:r w:rsidR="70707091" w:rsidRPr="1CEBD9B9">
              <w:rPr>
                <w:rFonts w:ascii="Verdana" w:eastAsia="Verdana" w:hAnsi="Verdana" w:cs="Verdana"/>
                <w:lang w:val="es-CO"/>
              </w:rPr>
              <w:t>,</w:t>
            </w:r>
            <w:r w:rsidRPr="1CEBD9B9">
              <w:rPr>
                <w:rFonts w:ascii="Verdana" w:eastAsia="Verdana" w:hAnsi="Verdana" w:cs="Verdana"/>
                <w:lang w:val="es-CO"/>
              </w:rPr>
              <w:t xml:space="preserve"> mediante un acto administrativo, la autoridad competente establece que la edificación cumple con norma sismo resistente y que además el uso está permitido en el POT.</w:t>
            </w:r>
            <w:r w:rsidR="66580B53" w:rsidRPr="1CEBD9B9">
              <w:rPr>
                <w:rFonts w:ascii="Verdana" w:eastAsia="Verdana" w:hAnsi="Verdana" w:cs="Verdana"/>
                <w:lang w:val="es-CO"/>
              </w:rPr>
              <w:t xml:space="preserve"> </w:t>
            </w:r>
            <w:r w:rsidRPr="1CEBD9B9">
              <w:rPr>
                <w:rFonts w:ascii="Verdana" w:eastAsia="Verdana" w:hAnsi="Verdana" w:cs="Verdana"/>
                <w:lang w:val="es-CO"/>
              </w:rPr>
              <w:t>Es decir que una edificación que no contó con licencia y por ende no tenía autorizado el uso ni certificado el cumplimiento de normas urbanísticas y de sismo resistencia, ahora cuenta con un acto administrativo que la justifica.</w:t>
            </w:r>
          </w:p>
          <w:p w14:paraId="0561CA2B" w14:textId="71A90195" w:rsidR="00304286" w:rsidRPr="007C5A0B" w:rsidRDefault="7CC3D4D7" w:rsidP="1CEBD9B9">
            <w:pPr>
              <w:ind w:left="720"/>
              <w:jc w:val="both"/>
              <w:rPr>
                <w:rFonts w:ascii="Verdana" w:eastAsia="Verdana" w:hAnsi="Verdana" w:cs="Verdana"/>
                <w:lang w:val="es-CO"/>
              </w:rPr>
            </w:pPr>
            <w:r w:rsidRPr="1CEBD9B9">
              <w:rPr>
                <w:rFonts w:ascii="Verdana" w:eastAsia="Verdana" w:hAnsi="Verdana" w:cs="Verdana"/>
                <w:lang w:val="es-CO"/>
              </w:rPr>
              <w:t xml:space="preserve"> </w:t>
            </w:r>
          </w:p>
          <w:p w14:paraId="189E86B2" w14:textId="051D91EC" w:rsidR="00304286" w:rsidRPr="007C5A0B" w:rsidRDefault="7CC3D4D7" w:rsidP="1CEBD9B9">
            <w:pPr>
              <w:jc w:val="both"/>
              <w:rPr>
                <w:rFonts w:ascii="Verdana" w:eastAsia="Verdana" w:hAnsi="Verdana" w:cs="Verdana"/>
                <w:lang w:val="es-CO"/>
              </w:rPr>
            </w:pPr>
            <w:r w:rsidRPr="1CEBD9B9">
              <w:rPr>
                <w:rFonts w:ascii="Verdana" w:eastAsia="Verdana" w:hAnsi="Verdana" w:cs="Verdana"/>
                <w:lang w:val="es-CO"/>
              </w:rPr>
              <w:t>De esta manera, las viviendas que sean objeto de subsidio deben estar autorizadas por un acto administrativo que certifique que la edificación cumple con norma sismo resistente y que además el uso está permitido en el POT.</w:t>
            </w:r>
          </w:p>
          <w:p w14:paraId="6D9C63FB" w14:textId="7CDDBABD" w:rsidR="00304286" w:rsidRPr="007C5A0B" w:rsidRDefault="7CC3D4D7" w:rsidP="1CEBD9B9">
            <w:pPr>
              <w:jc w:val="both"/>
              <w:rPr>
                <w:rFonts w:ascii="Verdana" w:eastAsia="Verdana" w:hAnsi="Verdana" w:cs="Verdana"/>
                <w:lang w:val="es-CO"/>
              </w:rPr>
            </w:pPr>
            <w:r w:rsidRPr="1CEBD9B9">
              <w:rPr>
                <w:rFonts w:ascii="Verdana" w:eastAsia="Verdana" w:hAnsi="Verdana" w:cs="Verdana"/>
                <w:lang w:val="es-CO"/>
              </w:rPr>
              <w:t xml:space="preserve"> </w:t>
            </w:r>
          </w:p>
          <w:p w14:paraId="73E86A59" w14:textId="0D3B5403" w:rsidR="00304286" w:rsidRPr="006A4A46" w:rsidRDefault="6066A02E" w:rsidP="006A4A46">
            <w:pPr>
              <w:jc w:val="both"/>
              <w:rPr>
                <w:rFonts w:ascii="Verdana" w:eastAsia="Verdana" w:hAnsi="Verdana" w:cs="Verdana"/>
                <w:lang w:val="es"/>
              </w:rPr>
            </w:pPr>
            <w:r w:rsidRPr="1CEBD9B9">
              <w:rPr>
                <w:rFonts w:ascii="Verdana" w:eastAsia="Verdana" w:hAnsi="Verdana" w:cs="Verdana"/>
                <w:lang w:val="es-CO"/>
              </w:rPr>
              <w:t>Q</w:t>
            </w:r>
            <w:r w:rsidR="7CC3D4D7" w:rsidRPr="1CEBD9B9">
              <w:rPr>
                <w:rFonts w:ascii="Verdana" w:eastAsia="Verdana" w:hAnsi="Verdana" w:cs="Verdana"/>
                <w:lang w:val="es-CO"/>
              </w:rPr>
              <w:t>uien cuenta con la información de cada territorio es la respectiva autoridad territorial, que además debe tener un expediente municipal donde repose esta información. Dentro de la misma debe poder identificarse la existencia o no de suelo oferta de vivienda de interés social nueva</w:t>
            </w:r>
            <w:r w:rsidR="32781CCD" w:rsidRPr="1CEBD9B9">
              <w:rPr>
                <w:rFonts w:ascii="Verdana" w:eastAsia="Verdana" w:hAnsi="Verdana" w:cs="Verdana"/>
                <w:lang w:val="es-CO"/>
              </w:rPr>
              <w:t xml:space="preserve"> </w:t>
            </w:r>
            <w:r w:rsidR="32781CCD" w:rsidRPr="1CEBD9B9">
              <w:rPr>
                <w:rFonts w:ascii="Verdana" w:eastAsia="Verdana" w:hAnsi="Verdana" w:cs="Verdana"/>
                <w:lang w:val="es"/>
              </w:rPr>
              <w:t>y/o la insuficiencia de esta para cubrir la demanda cuantitativa.</w:t>
            </w:r>
          </w:p>
          <w:p w14:paraId="3F056928" w14:textId="0335C4B3" w:rsidR="00304286" w:rsidRPr="007C5A0B" w:rsidRDefault="7CC3D4D7" w:rsidP="1CEBD9B9">
            <w:pPr>
              <w:ind w:left="-69"/>
              <w:jc w:val="both"/>
              <w:rPr>
                <w:rFonts w:ascii="Verdana" w:eastAsia="Verdana" w:hAnsi="Verdana" w:cs="Verdana"/>
                <w:lang w:val="es-CO"/>
              </w:rPr>
            </w:pPr>
            <w:r w:rsidRPr="1CEBD9B9">
              <w:rPr>
                <w:rFonts w:ascii="Verdana" w:eastAsia="Verdana" w:hAnsi="Verdana" w:cs="Verdana"/>
                <w:lang w:val="es-CO"/>
              </w:rPr>
              <w:t xml:space="preserve"> </w:t>
            </w:r>
          </w:p>
          <w:p w14:paraId="20C600BA" w14:textId="60EE8643" w:rsidR="00304286" w:rsidRPr="00DB5DE6" w:rsidRDefault="7CC3D4D7" w:rsidP="001A1F1A">
            <w:pPr>
              <w:ind w:left="-69"/>
              <w:jc w:val="both"/>
              <w:rPr>
                <w:rFonts w:ascii="Verdana" w:eastAsia="Verdana" w:hAnsi="Verdana" w:cs="Verdana"/>
                <w:lang w:val="es-CO"/>
              </w:rPr>
            </w:pPr>
            <w:r w:rsidRPr="1CEBD9B9">
              <w:rPr>
                <w:rFonts w:ascii="Verdana" w:eastAsia="Verdana" w:hAnsi="Verdana" w:cs="Verdana"/>
                <w:lang w:val="es-CO"/>
              </w:rPr>
              <w:t>Atendiendo el derecho al acceso a la información, las cajas de compensación</w:t>
            </w:r>
            <w:r w:rsidR="0E8CCD19" w:rsidRPr="1CEBD9B9">
              <w:rPr>
                <w:rFonts w:ascii="Verdana" w:eastAsia="Verdana" w:hAnsi="Verdana" w:cs="Verdana"/>
                <w:lang w:val="es-CO"/>
              </w:rPr>
              <w:t xml:space="preserve"> familiar</w:t>
            </w:r>
            <w:r w:rsidRPr="1CEBD9B9">
              <w:rPr>
                <w:rFonts w:ascii="Verdana" w:eastAsia="Verdana" w:hAnsi="Verdana" w:cs="Verdana"/>
                <w:lang w:val="es-CO"/>
              </w:rPr>
              <w:t xml:space="preserve"> pueden solicitar esta información o una certificación, y el municipio debe </w:t>
            </w:r>
            <w:r w:rsidR="7546A343" w:rsidRPr="1CEBD9B9">
              <w:rPr>
                <w:rFonts w:ascii="Verdana" w:eastAsia="Verdana" w:hAnsi="Verdana" w:cs="Verdana"/>
                <w:lang w:val="es-CO"/>
              </w:rPr>
              <w:t>brindarla</w:t>
            </w:r>
            <w:r w:rsidRPr="1CEBD9B9">
              <w:rPr>
                <w:rFonts w:ascii="Verdana" w:eastAsia="Verdana" w:hAnsi="Verdana" w:cs="Verdana"/>
                <w:lang w:val="es-CO"/>
              </w:rPr>
              <w:t>.</w:t>
            </w:r>
          </w:p>
          <w:p w14:paraId="18CE67B7" w14:textId="25F3377A" w:rsidR="00304286" w:rsidRPr="00DB5DE6" w:rsidRDefault="00304286" w:rsidP="1CEBD9B9">
            <w:pPr>
              <w:jc w:val="both"/>
              <w:rPr>
                <w:rFonts w:ascii="Verdana" w:hAnsi="Verdana"/>
                <w:lang w:val="es-CO"/>
              </w:rPr>
            </w:pPr>
          </w:p>
          <w:p w14:paraId="6B4E244C" w14:textId="502E52F4" w:rsidR="00304286" w:rsidRPr="00DB5DE6" w:rsidRDefault="54BDCAE5" w:rsidP="1CEBD9B9">
            <w:pPr>
              <w:jc w:val="both"/>
              <w:rPr>
                <w:rFonts w:ascii="Verdana" w:hAnsi="Verdana"/>
                <w:highlight w:val="yellow"/>
              </w:rPr>
            </w:pPr>
            <w:r w:rsidRPr="006A4A46">
              <w:rPr>
                <w:rFonts w:ascii="Verdana" w:hAnsi="Verdana"/>
              </w:rPr>
              <w:t xml:space="preserve">Finalmente, se estima </w:t>
            </w:r>
            <w:r w:rsidR="32511E1E" w:rsidRPr="006A4A46">
              <w:rPr>
                <w:rFonts w:ascii="Verdana" w:hAnsi="Verdana"/>
              </w:rPr>
              <w:t xml:space="preserve">necesario </w:t>
            </w:r>
            <w:r w:rsidR="0A114DEF" w:rsidRPr="006A4A46">
              <w:rPr>
                <w:rFonts w:ascii="Verdana" w:eastAsia="Verdana" w:hAnsi="Verdana" w:cs="Verdana"/>
              </w:rPr>
              <w:t>modificar</w:t>
            </w:r>
            <w:r w:rsidR="0A114DEF" w:rsidRPr="00720245">
              <w:rPr>
                <w:rFonts w:ascii="Verdana" w:eastAsia="Verdana" w:hAnsi="Verdana" w:cs="Verdana"/>
              </w:rPr>
              <w:t xml:space="preserve"> la denominación del Programa de promoción de acceso a la vivienda de interés social "Mi Casa Ya", con el propósito de enmarcarlo en una estrategia más general de largo plazo que responda al objetivo de atender el déficit habitacional a través de la adquisición de vivienda de interés socia</w:t>
            </w:r>
            <w:r w:rsidR="0A114DEF" w:rsidRPr="006A4A46">
              <w:rPr>
                <w:rFonts w:ascii="Verdana" w:eastAsia="Verdana" w:hAnsi="Verdana" w:cs="Verdana"/>
              </w:rPr>
              <w:t>l</w:t>
            </w:r>
            <w:r w:rsidR="69C0E6EB" w:rsidRPr="006A4A46">
              <w:rPr>
                <w:rFonts w:ascii="Verdana" w:hAnsi="Verdana"/>
              </w:rPr>
              <w:t>.</w:t>
            </w:r>
          </w:p>
        </w:tc>
      </w:tr>
      <w:tr w:rsidR="00DF60FD" w:rsidRPr="00DB5DE6" w14:paraId="72B746ED" w14:textId="77777777" w:rsidTr="187EA5DE">
        <w:trPr>
          <w:trHeight w:val="300"/>
        </w:trPr>
        <w:tc>
          <w:tcPr>
            <w:tcW w:w="10770" w:type="dxa"/>
            <w:gridSpan w:val="3"/>
            <w:shd w:val="clear" w:color="auto" w:fill="FFFFFF" w:themeFill="background1"/>
            <w:vAlign w:val="center"/>
          </w:tcPr>
          <w:p w14:paraId="5DD9419F" w14:textId="77777777" w:rsidR="00251FCE" w:rsidRPr="00DB5DE6" w:rsidRDefault="00251FCE" w:rsidP="0075705D">
            <w:pPr>
              <w:jc w:val="both"/>
              <w:rPr>
                <w:rFonts w:ascii="Verdana" w:hAnsi="Verdana"/>
                <w:lang w:val="es-CO" w:eastAsia="es-CO"/>
              </w:rPr>
            </w:pPr>
          </w:p>
        </w:tc>
      </w:tr>
      <w:tr w:rsidR="00DF60FD" w:rsidRPr="00DB5DE6" w14:paraId="7898D67A" w14:textId="77777777" w:rsidTr="187EA5DE">
        <w:trPr>
          <w:trHeight w:val="300"/>
        </w:trPr>
        <w:tc>
          <w:tcPr>
            <w:tcW w:w="10770" w:type="dxa"/>
            <w:gridSpan w:val="3"/>
            <w:tcBorders>
              <w:top w:val="single" w:sz="4" w:space="0" w:color="auto"/>
              <w:bottom w:val="single" w:sz="4" w:space="0" w:color="auto"/>
            </w:tcBorders>
            <w:shd w:val="clear" w:color="auto" w:fill="FFFFFF" w:themeFill="background1"/>
            <w:vAlign w:val="center"/>
          </w:tcPr>
          <w:p w14:paraId="7C28EDF3" w14:textId="77777777" w:rsidR="00795C6B" w:rsidRPr="004A3A1F" w:rsidRDefault="00DF60FD" w:rsidP="00342E90">
            <w:pPr>
              <w:numPr>
                <w:ilvl w:val="0"/>
                <w:numId w:val="3"/>
              </w:numPr>
              <w:ind w:left="494"/>
              <w:rPr>
                <w:rFonts w:ascii="Verdana" w:hAnsi="Verdana" w:cs="Arial"/>
                <w:b/>
                <w:color w:val="000000"/>
                <w:lang w:val="es-CO"/>
              </w:rPr>
            </w:pPr>
            <w:r w:rsidRPr="00DB5DE6">
              <w:rPr>
                <w:rFonts w:ascii="Verdana" w:hAnsi="Verdana" w:cs="Arial"/>
                <w:b/>
                <w:color w:val="000000"/>
                <w:lang w:val="es-CO"/>
              </w:rPr>
              <w:t>AMBITO DE APLICACIÓN Y SUJETO</w:t>
            </w:r>
            <w:r w:rsidR="00795C6B" w:rsidRPr="00DB5DE6">
              <w:rPr>
                <w:rFonts w:ascii="Verdana" w:hAnsi="Verdana" w:cs="Arial"/>
                <w:b/>
                <w:color w:val="000000"/>
                <w:lang w:val="es-CO"/>
              </w:rPr>
              <w:t>S</w:t>
            </w:r>
            <w:r w:rsidRPr="00DB5DE6">
              <w:rPr>
                <w:rFonts w:ascii="Verdana" w:hAnsi="Verdana" w:cs="Arial"/>
                <w:b/>
                <w:color w:val="000000"/>
                <w:lang w:val="es-CO"/>
              </w:rPr>
              <w:t xml:space="preserve"> A QUIEN</w:t>
            </w:r>
            <w:r w:rsidR="00795C6B" w:rsidRPr="00DB5DE6">
              <w:rPr>
                <w:rFonts w:ascii="Verdana" w:hAnsi="Verdana" w:cs="Arial"/>
                <w:b/>
                <w:color w:val="000000"/>
                <w:lang w:val="es-CO"/>
              </w:rPr>
              <w:t>ES</w:t>
            </w:r>
            <w:r w:rsidRPr="00DB5DE6">
              <w:rPr>
                <w:rFonts w:ascii="Verdana" w:hAnsi="Verdana" w:cs="Arial"/>
                <w:b/>
                <w:color w:val="000000"/>
                <w:lang w:val="es-CO"/>
              </w:rPr>
              <w:t xml:space="preserve"> VA DIRIGIDO</w:t>
            </w:r>
          </w:p>
          <w:p w14:paraId="493D8D38" w14:textId="77777777" w:rsidR="004A3A1F" w:rsidRDefault="004A3A1F" w:rsidP="00132770">
            <w:pPr>
              <w:jc w:val="both"/>
              <w:rPr>
                <w:rFonts w:ascii="Verdana" w:hAnsi="Verdana" w:cs="Arial"/>
                <w:bCs/>
                <w:color w:val="000000"/>
                <w:lang w:val="es-CO"/>
              </w:rPr>
            </w:pPr>
          </w:p>
          <w:p w14:paraId="595F869E" w14:textId="114F7B43" w:rsidR="00132770" w:rsidRPr="00DB5DE6" w:rsidRDefault="00132770" w:rsidP="1CEBD9B9">
            <w:pPr>
              <w:jc w:val="both"/>
              <w:rPr>
                <w:rFonts w:ascii="Verdana" w:hAnsi="Verdana" w:cs="Arial"/>
                <w:color w:val="000000"/>
                <w:lang w:val="es-CO"/>
              </w:rPr>
            </w:pPr>
            <w:r w:rsidRPr="1CEBD9B9">
              <w:rPr>
                <w:rFonts w:ascii="Verdana" w:hAnsi="Verdana" w:cs="Arial"/>
                <w:color w:val="000000" w:themeColor="text1"/>
                <w:lang w:val="es-CO"/>
              </w:rPr>
              <w:t xml:space="preserve">El presente proyecto normativo se aplicará en </w:t>
            </w:r>
            <w:r w:rsidRPr="006A4A46">
              <w:rPr>
                <w:rFonts w:ascii="Verdana" w:hAnsi="Verdana" w:cs="Arial"/>
                <w:color w:val="000000" w:themeColor="text1"/>
                <w:lang w:val="es-CO"/>
              </w:rPr>
              <w:t>todo el territorio nacional y va dirigido a</w:t>
            </w:r>
            <w:r w:rsidR="00AB0DF8" w:rsidRPr="006A4A46">
              <w:rPr>
                <w:rFonts w:ascii="Verdana" w:hAnsi="Verdana" w:cs="Arial"/>
                <w:color w:val="000000" w:themeColor="text1"/>
                <w:lang w:val="es-CO"/>
              </w:rPr>
              <w:t xml:space="preserve"> los potenciales hogares beneficiarios en el marco del Programa de promoción de acceso a la vivienda de interés social</w:t>
            </w:r>
            <w:r w:rsidR="2013A797" w:rsidRPr="006A4A46">
              <w:rPr>
                <w:rFonts w:ascii="Verdana" w:hAnsi="Verdana" w:cs="Arial"/>
                <w:color w:val="000000" w:themeColor="text1"/>
                <w:lang w:val="es-CO"/>
              </w:rPr>
              <w:t xml:space="preserve"> y </w:t>
            </w:r>
            <w:r w:rsidR="661B0D0F" w:rsidRPr="006A4A46">
              <w:rPr>
                <w:rFonts w:ascii="Verdana" w:hAnsi="Verdana" w:cs="Arial"/>
                <w:color w:val="000000" w:themeColor="text1"/>
                <w:lang w:val="es-CO"/>
              </w:rPr>
              <w:t xml:space="preserve">de manera excepcional </w:t>
            </w:r>
            <w:r w:rsidR="2013A797" w:rsidRPr="006A4A46">
              <w:rPr>
                <w:rFonts w:ascii="Verdana" w:hAnsi="Verdana" w:cs="Arial"/>
                <w:color w:val="000000" w:themeColor="text1"/>
                <w:lang w:val="es-CO"/>
              </w:rPr>
              <w:t>en el marco de</w:t>
            </w:r>
            <w:r w:rsidR="0C0E3FB9" w:rsidRPr="006A4A46">
              <w:rPr>
                <w:rFonts w:ascii="Verdana" w:hAnsi="Verdana" w:cs="Arial"/>
                <w:color w:val="000000" w:themeColor="text1"/>
                <w:lang w:val="es-CO"/>
              </w:rPr>
              <w:t xml:space="preserve"> los Subsidios Familiares de Vivienda otorgados por las Cajas de Compensación Familiar</w:t>
            </w:r>
            <w:r w:rsidR="00AB0DF8" w:rsidRPr="006A4A46">
              <w:rPr>
                <w:rFonts w:ascii="Verdana" w:hAnsi="Verdana" w:cs="Arial"/>
                <w:color w:val="000000" w:themeColor="text1"/>
                <w:lang w:val="es-CO"/>
              </w:rPr>
              <w:t xml:space="preserve">, </w:t>
            </w:r>
            <w:r w:rsidR="000E3122" w:rsidRPr="006A4A46">
              <w:rPr>
                <w:rFonts w:ascii="Verdana" w:hAnsi="Verdana" w:cs="Arial"/>
                <w:color w:val="000000" w:themeColor="text1"/>
                <w:lang w:val="es-CO"/>
              </w:rPr>
              <w:t>donde</w:t>
            </w:r>
            <w:r w:rsidR="00AB0DF8" w:rsidRPr="006A4A46">
              <w:rPr>
                <w:rFonts w:ascii="Verdana" w:hAnsi="Verdana" w:cs="Arial"/>
                <w:color w:val="000000" w:themeColor="text1"/>
                <w:lang w:val="es-CO"/>
              </w:rPr>
              <w:t xml:space="preserve"> al menos un miembro del hogar cumpla con alguna de las siguientes condiciones</w:t>
            </w:r>
            <w:r w:rsidRPr="006A4A46">
              <w:rPr>
                <w:rFonts w:ascii="Verdana" w:hAnsi="Verdana" w:cs="Arial"/>
                <w:color w:val="000000" w:themeColor="text1"/>
                <w:lang w:val="es-CO"/>
              </w:rPr>
              <w:t>:</w:t>
            </w:r>
          </w:p>
          <w:p w14:paraId="40BC3D1B" w14:textId="77777777" w:rsidR="00132770" w:rsidRPr="00DB5DE6" w:rsidRDefault="00132770" w:rsidP="00132770">
            <w:pPr>
              <w:jc w:val="both"/>
              <w:rPr>
                <w:rFonts w:ascii="Verdana" w:hAnsi="Verdana" w:cs="Arial"/>
                <w:bCs/>
                <w:color w:val="000000"/>
                <w:lang w:val="es-CO"/>
              </w:rPr>
            </w:pPr>
          </w:p>
          <w:p w14:paraId="10810942" w14:textId="77777777" w:rsidR="00132770" w:rsidRPr="00DB5DE6" w:rsidRDefault="00D3731C" w:rsidP="00342E90">
            <w:pPr>
              <w:numPr>
                <w:ilvl w:val="0"/>
                <w:numId w:val="4"/>
              </w:numPr>
              <w:jc w:val="both"/>
              <w:rPr>
                <w:rFonts w:ascii="Verdana" w:hAnsi="Verdana" w:cs="Arial"/>
                <w:bCs/>
                <w:color w:val="000000"/>
                <w:lang w:val="es-CO"/>
              </w:rPr>
            </w:pPr>
            <w:r>
              <w:rPr>
                <w:rFonts w:ascii="Verdana" w:hAnsi="Verdana" w:cs="Arial"/>
                <w:bCs/>
                <w:color w:val="000000"/>
                <w:lang w:val="es-CO"/>
              </w:rPr>
              <w:t>V</w:t>
            </w:r>
            <w:r w:rsidR="00132770" w:rsidRPr="00DB5DE6">
              <w:rPr>
                <w:rFonts w:ascii="Verdana" w:hAnsi="Verdana" w:cs="Arial"/>
                <w:bCs/>
                <w:color w:val="000000"/>
                <w:lang w:val="es-CO"/>
              </w:rPr>
              <w:t>íctima del conflicto armado con estado INCLUIDO en el Registro Único de Víctimas de la Unidad para la Atención y Reparación Integral a las Víctimas – UARIV, o quien haga sus veces.</w:t>
            </w:r>
          </w:p>
          <w:p w14:paraId="414CD14A" w14:textId="77777777" w:rsidR="00132770" w:rsidRPr="00DB5DE6" w:rsidRDefault="00132770" w:rsidP="00132770">
            <w:pPr>
              <w:ind w:left="720"/>
              <w:jc w:val="both"/>
              <w:rPr>
                <w:rFonts w:ascii="Verdana" w:hAnsi="Verdana" w:cs="Arial"/>
                <w:bCs/>
                <w:color w:val="000000"/>
                <w:lang w:val="es-CO"/>
              </w:rPr>
            </w:pPr>
          </w:p>
          <w:p w14:paraId="3B05D315" w14:textId="23769278" w:rsidR="00132770" w:rsidRPr="00453DEB" w:rsidRDefault="00D3731C" w:rsidP="388D4128">
            <w:pPr>
              <w:numPr>
                <w:ilvl w:val="0"/>
                <w:numId w:val="4"/>
              </w:numPr>
              <w:jc w:val="both"/>
              <w:rPr>
                <w:rFonts w:ascii="Verdana" w:hAnsi="Verdana" w:cs="Arial"/>
                <w:b/>
                <w:bCs/>
                <w:color w:val="000000"/>
                <w:lang w:val="es-CO"/>
              </w:rPr>
            </w:pPr>
            <w:r w:rsidRPr="388D4128">
              <w:rPr>
                <w:rFonts w:ascii="Verdana" w:hAnsi="Verdana" w:cs="Arial"/>
                <w:color w:val="000000" w:themeColor="text1"/>
                <w:lang w:val="es-CO"/>
              </w:rPr>
              <w:t>E</w:t>
            </w:r>
            <w:r w:rsidR="00132770" w:rsidRPr="388D4128">
              <w:rPr>
                <w:rFonts w:ascii="Verdana" w:hAnsi="Verdana" w:cs="Arial"/>
                <w:color w:val="000000" w:themeColor="text1"/>
                <w:lang w:val="es-CO"/>
              </w:rPr>
              <w:t xml:space="preserve">n proceso de reincorporación que se encuentre activo </w:t>
            </w:r>
            <w:r w:rsidR="0A1B7F94" w:rsidRPr="388D4128">
              <w:rPr>
                <w:rFonts w:ascii="Verdana" w:hAnsi="Verdana" w:cs="Arial"/>
                <w:color w:val="000000" w:themeColor="text1"/>
                <w:lang w:val="es-CO"/>
              </w:rPr>
              <w:t>en las bases de datos</w:t>
            </w:r>
            <w:r w:rsidR="00132770" w:rsidRPr="388D4128">
              <w:rPr>
                <w:rFonts w:ascii="Verdana" w:hAnsi="Verdana" w:cs="Arial"/>
                <w:color w:val="000000" w:themeColor="text1"/>
                <w:lang w:val="es-CO"/>
              </w:rPr>
              <w:t xml:space="preserve"> a cargo de la Agencia para la Reincorporación y la Normalización </w:t>
            </w:r>
            <w:r w:rsidR="0014797B">
              <w:rPr>
                <w:rFonts w:ascii="Verdana" w:hAnsi="Verdana" w:cs="Arial"/>
                <w:color w:val="000000" w:themeColor="text1"/>
                <w:lang w:val="es-CO"/>
              </w:rPr>
              <w:t>–</w:t>
            </w:r>
            <w:r w:rsidR="00132770" w:rsidRPr="388D4128">
              <w:rPr>
                <w:rFonts w:ascii="Verdana" w:hAnsi="Verdana" w:cs="Arial"/>
                <w:color w:val="000000" w:themeColor="text1"/>
                <w:lang w:val="es-CO"/>
              </w:rPr>
              <w:t xml:space="preserve"> ARN</w:t>
            </w:r>
            <w:r w:rsidR="0014797B">
              <w:rPr>
                <w:rFonts w:ascii="Verdana" w:hAnsi="Verdana" w:cs="Arial"/>
                <w:color w:val="000000" w:themeColor="text1"/>
                <w:lang w:val="es-CO"/>
              </w:rPr>
              <w:t>,</w:t>
            </w:r>
            <w:r w:rsidR="00132770" w:rsidRPr="388D4128">
              <w:rPr>
                <w:rFonts w:ascii="Verdana" w:hAnsi="Verdana" w:cs="Arial"/>
                <w:color w:val="000000" w:themeColor="text1"/>
                <w:lang w:val="es-CO"/>
              </w:rPr>
              <w:t xml:space="preserve"> o quien haga sus veces.</w:t>
            </w:r>
          </w:p>
          <w:p w14:paraId="697FA63E" w14:textId="77777777" w:rsidR="00453DEB" w:rsidRDefault="00453DEB" w:rsidP="00453DEB">
            <w:pPr>
              <w:pStyle w:val="Prrafodelista"/>
              <w:rPr>
                <w:rFonts w:ascii="Verdana" w:hAnsi="Verdana" w:cs="Arial"/>
                <w:b/>
                <w:color w:val="000000"/>
                <w:lang w:val="es-CO"/>
              </w:rPr>
            </w:pPr>
          </w:p>
          <w:p w14:paraId="61197BA7" w14:textId="77777777" w:rsidR="00453DEB" w:rsidRDefault="00453DEB" w:rsidP="00342E90">
            <w:pPr>
              <w:numPr>
                <w:ilvl w:val="0"/>
                <w:numId w:val="4"/>
              </w:numPr>
              <w:jc w:val="both"/>
              <w:rPr>
                <w:rFonts w:ascii="Verdana" w:hAnsi="Verdana" w:cs="Arial"/>
                <w:color w:val="000000"/>
                <w:lang w:val="es-CO"/>
              </w:rPr>
            </w:pPr>
            <w:r w:rsidRPr="00453DEB">
              <w:rPr>
                <w:rFonts w:ascii="Verdana" w:hAnsi="Verdana" w:cs="Arial"/>
                <w:color w:val="000000"/>
                <w:lang w:val="es-CO"/>
              </w:rPr>
              <w:t xml:space="preserve">Madre comunitaria vinculada a los programas de hogares comunitarios de Bienestar, </w:t>
            </w:r>
            <w:proofErr w:type="spellStart"/>
            <w:r w:rsidRPr="00453DEB">
              <w:rPr>
                <w:rFonts w:ascii="Verdana" w:hAnsi="Verdana" w:cs="Arial"/>
                <w:color w:val="000000"/>
                <w:lang w:val="es-CO"/>
              </w:rPr>
              <w:t>Famis</w:t>
            </w:r>
            <w:proofErr w:type="spellEnd"/>
            <w:r w:rsidRPr="00453DEB">
              <w:rPr>
                <w:rFonts w:ascii="Verdana" w:hAnsi="Verdana" w:cs="Arial"/>
                <w:color w:val="000000"/>
                <w:lang w:val="es-CO"/>
              </w:rPr>
              <w:t xml:space="preserve"> y Madres Sustitutas, certificada por el Instituto Colombiano de Bienestar Familiar.</w:t>
            </w:r>
          </w:p>
          <w:p w14:paraId="29A99B6C" w14:textId="77777777" w:rsidR="00453DEB" w:rsidRPr="00453DEB" w:rsidRDefault="00453DEB" w:rsidP="00453DEB">
            <w:pPr>
              <w:jc w:val="both"/>
              <w:rPr>
                <w:rFonts w:ascii="Verdana" w:hAnsi="Verdana" w:cs="Arial"/>
                <w:color w:val="000000"/>
                <w:lang w:val="es-CO"/>
              </w:rPr>
            </w:pPr>
          </w:p>
          <w:p w14:paraId="6ABC4B55" w14:textId="77777777" w:rsidR="00D3731C" w:rsidRPr="007E26FB" w:rsidRDefault="00453DEB" w:rsidP="00342E90">
            <w:pPr>
              <w:numPr>
                <w:ilvl w:val="0"/>
                <w:numId w:val="4"/>
              </w:numPr>
              <w:jc w:val="both"/>
              <w:rPr>
                <w:rFonts w:ascii="Verdana" w:hAnsi="Verdana" w:cs="Arial"/>
                <w:color w:val="000000"/>
                <w:lang w:val="es-CO"/>
              </w:rPr>
            </w:pPr>
            <w:r w:rsidRPr="00453DEB">
              <w:rPr>
                <w:rFonts w:ascii="Verdana" w:hAnsi="Verdana" w:cs="Arial"/>
                <w:color w:val="000000"/>
                <w:lang w:val="es-CO"/>
              </w:rPr>
              <w:lastRenderedPageBreak/>
              <w:t xml:space="preserve">Reciclador </w:t>
            </w:r>
            <w:r w:rsidR="007E26FB" w:rsidRPr="007E26FB">
              <w:rPr>
                <w:rFonts w:ascii="Verdana" w:hAnsi="Verdana" w:cs="Arial"/>
              </w:rPr>
              <w:t>de oficio que se encuentre registrado ante la Superintendencia de Servicios Públicos Domiciliarios como miembro de una organización de recicladores de oficio o en el sistema de información que determine el Ministerio de Vivienda, Ciudad y Territorio para tal fin</w:t>
            </w:r>
            <w:r w:rsidR="0012181C">
              <w:rPr>
                <w:rFonts w:ascii="Verdana" w:hAnsi="Verdana" w:cs="Arial"/>
              </w:rPr>
              <w:t>.</w:t>
            </w:r>
          </w:p>
          <w:p w14:paraId="54A2F88F" w14:textId="77777777" w:rsidR="00D3731C" w:rsidRDefault="00D3731C" w:rsidP="00D3731C">
            <w:pPr>
              <w:pStyle w:val="Prrafodelista"/>
              <w:rPr>
                <w:rFonts w:ascii="Verdana" w:hAnsi="Verdana" w:cs="Arial"/>
                <w:color w:val="000000"/>
                <w:lang w:val="es-CO"/>
              </w:rPr>
            </w:pPr>
          </w:p>
          <w:p w14:paraId="0B266962" w14:textId="47C6FDF7" w:rsidR="00453DEB" w:rsidRPr="00453DEB" w:rsidRDefault="26AAD75B" w:rsidP="71A7E374">
            <w:pPr>
              <w:jc w:val="both"/>
              <w:rPr>
                <w:rFonts w:ascii="Verdana" w:hAnsi="Verdana" w:cs="Arial"/>
                <w:color w:val="000000"/>
                <w:lang w:val="es-CO"/>
              </w:rPr>
            </w:pPr>
            <w:r w:rsidRPr="71A7E374">
              <w:rPr>
                <w:rFonts w:ascii="Verdana" w:hAnsi="Verdana" w:cs="Arial"/>
                <w:color w:val="000000" w:themeColor="text1"/>
                <w:lang w:val="es-CO"/>
              </w:rPr>
              <w:t xml:space="preserve">Además, aplicará la </w:t>
            </w:r>
            <w:r w:rsidR="67C29704" w:rsidRPr="71A7E374">
              <w:rPr>
                <w:rFonts w:ascii="Verdana" w:hAnsi="Verdana" w:cs="Arial"/>
                <w:color w:val="000000" w:themeColor="text1"/>
                <w:lang w:val="es-CO"/>
              </w:rPr>
              <w:t xml:space="preserve">posibilidad de </w:t>
            </w:r>
            <w:r w:rsidRPr="71A7E374">
              <w:rPr>
                <w:rFonts w:ascii="Verdana" w:hAnsi="Verdana" w:cs="Arial"/>
                <w:color w:val="000000" w:themeColor="text1"/>
                <w:lang w:val="es-CO"/>
              </w:rPr>
              <w:t xml:space="preserve">adquisición de vivienda usada para aquellas </w:t>
            </w:r>
            <w:r w:rsidRPr="71A7E374">
              <w:rPr>
                <w:rFonts w:ascii="Verdana" w:hAnsi="Verdana"/>
              </w:rPr>
              <w:t xml:space="preserve">viviendas ubicadas en zonas donde </w:t>
            </w:r>
            <w:r w:rsidR="788BF76D" w:rsidRPr="71A7E374">
              <w:rPr>
                <w:rFonts w:ascii="Verdana" w:hAnsi="Verdana"/>
              </w:rPr>
              <w:t>la oferta de vivienda de interés nueva no sea suficiente para cubrir la demanda cuantitativa</w:t>
            </w:r>
            <w:r w:rsidR="67C29704" w:rsidRPr="71A7E374">
              <w:rPr>
                <w:rFonts w:ascii="Verdana" w:hAnsi="Verdana"/>
              </w:rPr>
              <w:t>.</w:t>
            </w:r>
          </w:p>
          <w:p w14:paraId="5BA58980" w14:textId="77777777" w:rsidR="00795C6B" w:rsidRPr="00DB5DE6" w:rsidRDefault="00795C6B" w:rsidP="0075705D">
            <w:pPr>
              <w:rPr>
                <w:rFonts w:ascii="Verdana" w:hAnsi="Verdana" w:cs="Arial"/>
                <w:iCs/>
                <w:color w:val="000000"/>
                <w:lang w:val="es-CO"/>
              </w:rPr>
            </w:pPr>
          </w:p>
        </w:tc>
      </w:tr>
      <w:tr w:rsidR="00DF60FD" w:rsidRPr="00DB5DE6" w14:paraId="3EB4A129" w14:textId="77777777" w:rsidTr="187EA5DE">
        <w:trPr>
          <w:trHeight w:val="300"/>
        </w:trPr>
        <w:tc>
          <w:tcPr>
            <w:tcW w:w="10770" w:type="dxa"/>
            <w:gridSpan w:val="3"/>
            <w:tcBorders>
              <w:bottom w:val="single" w:sz="4" w:space="0" w:color="auto"/>
            </w:tcBorders>
            <w:shd w:val="clear" w:color="auto" w:fill="FFFFFF" w:themeFill="background1"/>
            <w:vAlign w:val="center"/>
          </w:tcPr>
          <w:p w14:paraId="1A690481" w14:textId="77777777" w:rsidR="00DF60FD" w:rsidRPr="00DB5DE6" w:rsidRDefault="00DF60FD" w:rsidP="00342E90">
            <w:pPr>
              <w:numPr>
                <w:ilvl w:val="0"/>
                <w:numId w:val="3"/>
              </w:numPr>
              <w:ind w:left="494"/>
              <w:rPr>
                <w:rFonts w:ascii="Verdana" w:hAnsi="Verdana" w:cs="Arial"/>
                <w:b/>
                <w:color w:val="000000"/>
                <w:lang w:val="es-CO"/>
              </w:rPr>
            </w:pPr>
            <w:r w:rsidRPr="00DB5DE6">
              <w:rPr>
                <w:rFonts w:ascii="Verdana" w:hAnsi="Verdana" w:cs="Arial"/>
                <w:b/>
                <w:color w:val="000000"/>
                <w:lang w:val="es-CO"/>
              </w:rPr>
              <w:lastRenderedPageBreak/>
              <w:t>VIABILIDAD JURÍDICA</w:t>
            </w:r>
          </w:p>
          <w:p w14:paraId="49DE77D8" w14:textId="77777777" w:rsidR="00D05B67" w:rsidRPr="00DB5DE6" w:rsidRDefault="00D05B67" w:rsidP="0075705D">
            <w:pPr>
              <w:ind w:left="494" w:hanging="283"/>
              <w:rPr>
                <w:rFonts w:ascii="Verdana" w:hAnsi="Verdana" w:cs="Arial"/>
                <w:i/>
                <w:color w:val="808080"/>
                <w:lang w:val="es-CO"/>
              </w:rPr>
            </w:pPr>
          </w:p>
          <w:p w14:paraId="76A86F09" w14:textId="77777777" w:rsidR="00795C6B" w:rsidRPr="00DB5DE6" w:rsidRDefault="00795C6B" w:rsidP="0075705D">
            <w:pPr>
              <w:ind w:left="494" w:hanging="283"/>
              <w:jc w:val="both"/>
              <w:rPr>
                <w:rFonts w:ascii="Verdana" w:hAnsi="Verdana" w:cs="Arial"/>
                <w:b/>
                <w:bCs/>
                <w:lang w:val="es-CO" w:eastAsia="es-CO"/>
              </w:rPr>
            </w:pPr>
            <w:r w:rsidRPr="00DB5DE6">
              <w:rPr>
                <w:rFonts w:ascii="Verdana" w:hAnsi="Verdana" w:cs="Arial"/>
                <w:b/>
                <w:bCs/>
                <w:lang w:val="es-CO" w:eastAsia="es-CO"/>
              </w:rPr>
              <w:t>3.1 Análisis de las normas que otorgan la competencia para la expedición del proyecto normativo</w:t>
            </w:r>
            <w:r w:rsidR="00FC4DD5" w:rsidRPr="00DB5DE6">
              <w:rPr>
                <w:rFonts w:ascii="Verdana" w:hAnsi="Verdana" w:cs="Arial"/>
                <w:b/>
                <w:bCs/>
                <w:lang w:val="es-CO" w:eastAsia="es-CO"/>
              </w:rPr>
              <w:t>.</w:t>
            </w:r>
          </w:p>
          <w:p w14:paraId="36B896BE" w14:textId="77777777" w:rsidR="00FC4DD5" w:rsidRPr="00DB5DE6" w:rsidRDefault="00FC4DD5" w:rsidP="0075705D">
            <w:pPr>
              <w:ind w:left="494" w:hanging="283"/>
              <w:jc w:val="both"/>
              <w:rPr>
                <w:rFonts w:ascii="Verdana" w:hAnsi="Verdana" w:cs="Arial"/>
                <w:lang w:val="es-CO" w:eastAsia="es-CO"/>
              </w:rPr>
            </w:pPr>
          </w:p>
          <w:p w14:paraId="627BD535" w14:textId="77777777" w:rsidR="00FC4DD5" w:rsidRPr="00DB5DE6" w:rsidRDefault="00FC4DD5" w:rsidP="00FC4DD5">
            <w:pPr>
              <w:jc w:val="both"/>
              <w:rPr>
                <w:rFonts w:ascii="Verdana" w:hAnsi="Verdana"/>
                <w:b/>
                <w:lang w:val="es-CO"/>
              </w:rPr>
            </w:pPr>
            <w:r w:rsidRPr="00DB5DE6">
              <w:rPr>
                <w:rFonts w:ascii="Verdana" w:hAnsi="Verdana"/>
                <w:b/>
                <w:lang w:val="es-CO"/>
              </w:rPr>
              <w:t xml:space="preserve">Fundamento Constitucional </w:t>
            </w:r>
          </w:p>
          <w:p w14:paraId="43AF3875" w14:textId="77777777" w:rsidR="00FC4DD5" w:rsidRPr="00DB5DE6" w:rsidRDefault="00FC4DD5" w:rsidP="00FC4DD5">
            <w:pPr>
              <w:jc w:val="both"/>
              <w:rPr>
                <w:rFonts w:ascii="Verdana" w:hAnsi="Verdana"/>
                <w:bCs/>
                <w:lang w:val="es-CO"/>
              </w:rPr>
            </w:pPr>
          </w:p>
          <w:p w14:paraId="3415B10E" w14:textId="77777777" w:rsidR="00760D15" w:rsidRPr="00DB5DE6" w:rsidRDefault="00FC4DD5" w:rsidP="00FC4DD5">
            <w:pPr>
              <w:jc w:val="both"/>
              <w:rPr>
                <w:rFonts w:ascii="Verdana" w:hAnsi="Verdana"/>
                <w:bCs/>
                <w:lang w:val="es-CO"/>
              </w:rPr>
            </w:pPr>
            <w:r w:rsidRPr="00DB5DE6">
              <w:rPr>
                <w:rFonts w:ascii="Verdana" w:hAnsi="Verdana"/>
                <w:bCs/>
                <w:lang w:val="es-CO"/>
              </w:rPr>
              <w:t>El artículo 51 de la Constitución Política de Colombia, en relación con el deber del Estado de promover el acceso a una vivienda establece que todos los colombianos tienen derecho a vivienda digna. También establece que el Estado fijará las condiciones necesarias para hacer efectivo este derecho y promoverá planes de vivienda de interés social, sistemas adecuados de financiación a largo plazo y formas asociativas de ejecución de estos programas de vivienda.</w:t>
            </w:r>
          </w:p>
          <w:p w14:paraId="3F3623AD" w14:textId="77777777" w:rsidR="00FC4DD5" w:rsidRPr="00DB5DE6" w:rsidRDefault="00FC4DD5" w:rsidP="00FC4DD5">
            <w:pPr>
              <w:jc w:val="both"/>
              <w:rPr>
                <w:rFonts w:ascii="Verdana" w:hAnsi="Verdana"/>
                <w:bCs/>
                <w:lang w:val="es-CO"/>
              </w:rPr>
            </w:pPr>
          </w:p>
          <w:p w14:paraId="1B038987" w14:textId="77777777" w:rsidR="00FC4DD5" w:rsidRPr="00DB5DE6" w:rsidRDefault="00FC4DD5" w:rsidP="1CEBD9B9">
            <w:pPr>
              <w:jc w:val="both"/>
              <w:rPr>
                <w:rFonts w:ascii="Verdana" w:hAnsi="Verdana"/>
                <w:lang w:val="es-CO"/>
              </w:rPr>
            </w:pPr>
            <w:r w:rsidRPr="1CEBD9B9">
              <w:rPr>
                <w:rFonts w:ascii="Verdana" w:hAnsi="Verdana"/>
                <w:lang w:val="es-CO"/>
              </w:rPr>
              <w:t xml:space="preserve">Por su parte, el numeral 11 del artículo 189 de la Constitución Política dispone que corresponde al </w:t>
            </w:r>
            <w:proofErr w:type="gramStart"/>
            <w:r w:rsidRPr="1CEBD9B9">
              <w:rPr>
                <w:rFonts w:ascii="Verdana" w:hAnsi="Verdana"/>
                <w:lang w:val="es-CO"/>
              </w:rPr>
              <w:t>Presidente</w:t>
            </w:r>
            <w:proofErr w:type="gramEnd"/>
            <w:r w:rsidRPr="1CEBD9B9">
              <w:rPr>
                <w:rFonts w:ascii="Verdana" w:hAnsi="Verdana"/>
                <w:lang w:val="es-CO"/>
              </w:rPr>
              <w:t xml:space="preserve"> de la República como Jefe de Estado, Jefe de Gobierno y Suprema Autoridad Administrativa, ejercer la potestad reglamentaria, mediante la expedición de los decretos, resoluciones, y órdenes necesarios para la cumplida ejecución de las leyes.</w:t>
            </w:r>
          </w:p>
          <w:p w14:paraId="38DEAF3E" w14:textId="397024E4" w:rsidR="1CEBD9B9" w:rsidRDefault="1CEBD9B9" w:rsidP="1CEBD9B9">
            <w:pPr>
              <w:jc w:val="both"/>
              <w:rPr>
                <w:rFonts w:ascii="Verdana" w:hAnsi="Verdana"/>
                <w:lang w:val="es-CO"/>
              </w:rPr>
            </w:pPr>
          </w:p>
          <w:p w14:paraId="75AFE13F" w14:textId="0BB89251" w:rsidR="18C2ED38" w:rsidRDefault="18C2ED38" w:rsidP="00720245">
            <w:pPr>
              <w:jc w:val="both"/>
              <w:rPr>
                <w:rFonts w:ascii="Verdana" w:eastAsia="Verdana" w:hAnsi="Verdana" w:cs="Verdana"/>
                <w:lang w:val="es-CO"/>
              </w:rPr>
            </w:pPr>
            <w:r w:rsidRPr="1CEBD9B9">
              <w:rPr>
                <w:rFonts w:ascii="Verdana" w:eastAsia="Verdana" w:hAnsi="Verdana" w:cs="Verdana"/>
                <w:color w:val="000000" w:themeColor="text1"/>
                <w:lang w:val="es-CO"/>
              </w:rPr>
              <w:t>El numeral 7 del artículo 313 de la misma Carta Fundamental establece que es competencia de los municipios la reglamentación de los usos del suelo.</w:t>
            </w:r>
          </w:p>
          <w:p w14:paraId="71BFC62C" w14:textId="77777777" w:rsidR="00FC4DD5" w:rsidRPr="00DB5DE6" w:rsidRDefault="00FC4DD5" w:rsidP="00FC4DD5">
            <w:pPr>
              <w:jc w:val="both"/>
              <w:rPr>
                <w:rFonts w:ascii="Verdana" w:hAnsi="Verdana"/>
                <w:bCs/>
                <w:lang w:val="es-CO"/>
              </w:rPr>
            </w:pPr>
          </w:p>
          <w:p w14:paraId="652286C9" w14:textId="77777777" w:rsidR="00FC4DD5" w:rsidRPr="00DB5DE6" w:rsidRDefault="00FC4DD5" w:rsidP="00FC4DD5">
            <w:pPr>
              <w:jc w:val="both"/>
              <w:rPr>
                <w:rFonts w:ascii="Verdana" w:hAnsi="Verdana"/>
                <w:bCs/>
                <w:lang w:val="es-CO"/>
              </w:rPr>
            </w:pPr>
            <w:r w:rsidRPr="00DB5DE6">
              <w:rPr>
                <w:rFonts w:ascii="Verdana" w:hAnsi="Verdana"/>
                <w:bCs/>
                <w:lang w:val="es-CO"/>
              </w:rPr>
              <w:t xml:space="preserve">Al respecto, la potestad reglamentaria es una facultad constitucional propia del </w:t>
            </w:r>
            <w:proofErr w:type="gramStart"/>
            <w:r w:rsidRPr="00DB5DE6">
              <w:rPr>
                <w:rFonts w:ascii="Verdana" w:hAnsi="Verdana"/>
                <w:bCs/>
                <w:lang w:val="es-CO"/>
              </w:rPr>
              <w:t>Presidente</w:t>
            </w:r>
            <w:proofErr w:type="gramEnd"/>
            <w:r w:rsidRPr="00DB5DE6">
              <w:rPr>
                <w:rFonts w:ascii="Verdana" w:hAnsi="Verdana"/>
                <w:bCs/>
                <w:lang w:val="es-CO"/>
              </w:rPr>
              <w:t xml:space="preserve"> de la República que lo autoriza para expedir normas de carácter general destinadas a la ejecución y cumplimiento de la ley. Esta facultad se caracteriza por ser una atribución constitucional inalienable, intransferible, inagotable, pues no tiene plazo y puede ejercerse en cualquier tiempo, e irrenunciable, porque es un atributo indispensable para que la administración cumpla con su función de ejecutar la ley.</w:t>
            </w:r>
          </w:p>
          <w:p w14:paraId="7899B026" w14:textId="77777777" w:rsidR="00CF14E7" w:rsidRPr="00DB5DE6" w:rsidRDefault="00CF14E7" w:rsidP="00FC4DD5">
            <w:pPr>
              <w:jc w:val="both"/>
              <w:rPr>
                <w:rFonts w:ascii="Verdana" w:hAnsi="Verdana"/>
                <w:bCs/>
                <w:lang w:val="es-CO"/>
              </w:rPr>
            </w:pPr>
          </w:p>
          <w:p w14:paraId="3B07878F" w14:textId="77777777" w:rsidR="00CF14E7" w:rsidRPr="00DB5DE6" w:rsidRDefault="00CF14E7" w:rsidP="00CF14E7">
            <w:pPr>
              <w:jc w:val="both"/>
              <w:rPr>
                <w:rFonts w:ascii="Verdana" w:hAnsi="Verdana"/>
                <w:b/>
                <w:lang w:val="es-CO"/>
              </w:rPr>
            </w:pPr>
            <w:r w:rsidRPr="00DB5DE6">
              <w:rPr>
                <w:rFonts w:ascii="Verdana" w:hAnsi="Verdana"/>
                <w:b/>
                <w:lang w:val="es-CO"/>
              </w:rPr>
              <w:t>Fundamento legal y reglamentario:</w:t>
            </w:r>
          </w:p>
          <w:p w14:paraId="2AE84634" w14:textId="77777777" w:rsidR="00CF14E7" w:rsidRPr="00DB5DE6" w:rsidRDefault="00CF14E7" w:rsidP="00CF14E7">
            <w:pPr>
              <w:jc w:val="both"/>
              <w:rPr>
                <w:rFonts w:ascii="Verdana" w:hAnsi="Verdana"/>
                <w:bCs/>
                <w:lang w:val="es-CO"/>
              </w:rPr>
            </w:pPr>
          </w:p>
          <w:p w14:paraId="2BD9F6C8" w14:textId="77777777" w:rsidR="00537520" w:rsidRPr="00DB5DE6" w:rsidRDefault="00537520" w:rsidP="00537520">
            <w:pPr>
              <w:jc w:val="both"/>
              <w:textAlignment w:val="baseline"/>
              <w:rPr>
                <w:rFonts w:ascii="Verdana" w:hAnsi="Verdana" w:cs="Arial"/>
                <w:color w:val="000000"/>
                <w:lang w:val="es-CO" w:eastAsia="es-CO"/>
              </w:rPr>
            </w:pPr>
            <w:r w:rsidRPr="00DB5DE6">
              <w:rPr>
                <w:rFonts w:ascii="Verdana" w:hAnsi="Verdana" w:cs="Arial"/>
                <w:color w:val="000000"/>
                <w:lang w:val="es-CO" w:eastAsia="es-CO"/>
              </w:rPr>
              <w:t>El derecho a la vivienda digna se encuentra contemplado en el Pacto Internacional de Derechos Económicos, Sociales y Culturales –PIDESC, aprobado por medio de la Ley 74 de 1968, en cuyo artículo 11 numeral</w:t>
            </w:r>
            <w:r w:rsidR="000E3122" w:rsidRPr="00DB5DE6">
              <w:rPr>
                <w:rFonts w:ascii="Verdana" w:hAnsi="Verdana" w:cs="Arial"/>
                <w:color w:val="000000"/>
                <w:lang w:val="es-CO" w:eastAsia="es-CO"/>
              </w:rPr>
              <w:t xml:space="preserve"> 1°</w:t>
            </w:r>
            <w:r w:rsidRPr="00DB5DE6">
              <w:rPr>
                <w:rFonts w:ascii="Verdana" w:hAnsi="Verdana" w:cs="Arial"/>
                <w:color w:val="000000"/>
                <w:lang w:val="es-CO" w:eastAsia="es-CO"/>
              </w:rPr>
              <w:t>, se afirma que toda persona tiene derecho </w:t>
            </w:r>
            <w:r w:rsidRPr="001A1F1A">
              <w:rPr>
                <w:rFonts w:ascii="Verdana" w:hAnsi="Verdana" w:cs="Arial"/>
                <w:i/>
                <w:iCs/>
                <w:color w:val="000000"/>
                <w:lang w:val="es-CO" w:eastAsia="es-CO"/>
              </w:rPr>
              <w:t>“a un nivel de vida adecuado para sí y su familia, incluso alimentación, vestido y vivienda adecuados, y a una mejora continua de las condiciones de existencia”</w:t>
            </w:r>
            <w:r w:rsidRPr="00DB5DE6">
              <w:rPr>
                <w:rFonts w:ascii="Verdana" w:hAnsi="Verdana" w:cs="Arial"/>
                <w:color w:val="000000"/>
                <w:lang w:val="es-CO" w:eastAsia="es-CO"/>
              </w:rPr>
              <w:t>. </w:t>
            </w:r>
          </w:p>
          <w:p w14:paraId="63DD31D8" w14:textId="77777777" w:rsidR="00537520" w:rsidRPr="00DB5DE6" w:rsidRDefault="00537520" w:rsidP="00511F4A">
            <w:pPr>
              <w:jc w:val="both"/>
              <w:textAlignment w:val="baseline"/>
              <w:rPr>
                <w:rFonts w:ascii="Verdana" w:hAnsi="Verdana" w:cs="Arial"/>
                <w:color w:val="000000"/>
                <w:lang w:val="es-CO" w:eastAsia="es-CO"/>
              </w:rPr>
            </w:pPr>
          </w:p>
          <w:p w14:paraId="37CE077B" w14:textId="77777777" w:rsidR="00511F4A" w:rsidRPr="00DB5DE6" w:rsidRDefault="00511F4A" w:rsidP="00511F4A">
            <w:pPr>
              <w:jc w:val="both"/>
              <w:textAlignment w:val="baseline"/>
              <w:rPr>
                <w:rFonts w:ascii="Verdana" w:hAnsi="Verdana" w:cs="Arial"/>
                <w:color w:val="000000"/>
                <w:lang w:val="es-CO" w:eastAsia="es-CO"/>
              </w:rPr>
            </w:pPr>
            <w:r w:rsidRPr="00DB5DE6">
              <w:rPr>
                <w:rFonts w:ascii="Verdana" w:hAnsi="Verdana" w:cs="Arial"/>
                <w:color w:val="000000"/>
                <w:lang w:val="es-CO" w:eastAsia="es-CO"/>
              </w:rPr>
              <w:t>El Artículo 5</w:t>
            </w:r>
            <w:r w:rsidR="000E3122" w:rsidRPr="00DB5DE6">
              <w:rPr>
                <w:rFonts w:ascii="Verdana" w:hAnsi="Verdana" w:cs="Arial"/>
                <w:color w:val="000000"/>
                <w:lang w:val="es-CO" w:eastAsia="es-CO"/>
              </w:rPr>
              <w:t>°</w:t>
            </w:r>
            <w:r w:rsidRPr="00DB5DE6">
              <w:rPr>
                <w:rFonts w:ascii="Verdana" w:hAnsi="Verdana" w:cs="Arial"/>
                <w:color w:val="000000"/>
                <w:lang w:val="es-CO" w:eastAsia="es-CO"/>
              </w:rPr>
              <w:t xml:space="preserve"> de la Ley 3ª de 1991, modificado por el artículo 27 de la Ley 1469 de 2011, establece como solución de vivienda el conjunto de operaciones que permite a un hogar disponer de habitación en condiciones sanitarias satisfactorias de espacio, servicios públicos y calidad de estructura, o iniciar el proceso para obtenerlas en el futuro.  </w:t>
            </w:r>
          </w:p>
          <w:p w14:paraId="7601D59E" w14:textId="77777777" w:rsidR="00511F4A" w:rsidRPr="00DB5DE6" w:rsidRDefault="00511F4A" w:rsidP="00511F4A">
            <w:pPr>
              <w:jc w:val="both"/>
              <w:textAlignment w:val="baseline"/>
              <w:rPr>
                <w:rFonts w:ascii="Verdana" w:hAnsi="Verdana" w:cs="Arial"/>
                <w:color w:val="000000"/>
                <w:lang w:val="es-CO" w:eastAsia="es-CO"/>
              </w:rPr>
            </w:pPr>
          </w:p>
          <w:p w14:paraId="3F6D09BB" w14:textId="77777777" w:rsidR="00223159" w:rsidRDefault="00511F4A" w:rsidP="00BE5853">
            <w:pPr>
              <w:jc w:val="both"/>
              <w:textAlignment w:val="baseline"/>
              <w:rPr>
                <w:rFonts w:ascii="Verdana" w:hAnsi="Verdana" w:cs="Arial"/>
                <w:color w:val="000000"/>
                <w:lang w:val="es-CO" w:eastAsia="es-CO"/>
              </w:rPr>
            </w:pPr>
            <w:r w:rsidRPr="1CEBD9B9">
              <w:rPr>
                <w:rFonts w:ascii="Verdana" w:hAnsi="Verdana" w:cs="Arial"/>
                <w:color w:val="000000" w:themeColor="text1"/>
                <w:lang w:val="es-CO" w:eastAsia="es-CO"/>
              </w:rPr>
              <w:t>El inciso primero del artículo 6</w:t>
            </w:r>
            <w:r w:rsidR="000E3122" w:rsidRPr="1CEBD9B9">
              <w:rPr>
                <w:rFonts w:ascii="Verdana" w:hAnsi="Verdana" w:cs="Arial"/>
                <w:color w:val="000000" w:themeColor="text1"/>
                <w:lang w:val="es-CO" w:eastAsia="es-CO"/>
              </w:rPr>
              <w:t>°</w:t>
            </w:r>
            <w:r w:rsidRPr="1CEBD9B9">
              <w:rPr>
                <w:rFonts w:ascii="Verdana" w:hAnsi="Verdana" w:cs="Arial"/>
                <w:color w:val="000000" w:themeColor="text1"/>
                <w:lang w:val="es-CO" w:eastAsia="es-CO"/>
              </w:rPr>
              <w:t xml:space="preserve"> de la Ley 3 de 1991, modificado por el artículo 28 de la Ley 1469 de 2011, </w:t>
            </w:r>
            <w:r w:rsidR="00E44E43" w:rsidRPr="1CEBD9B9">
              <w:rPr>
                <w:rFonts w:ascii="Verdana" w:hAnsi="Verdana"/>
              </w:rPr>
              <w:t xml:space="preserve">modificado por el artículo 1 de la Ley 1432 de 2011, adicionado parcialmente (parágrafo 5°) por el artículo 18 de la Ley 1537 de 2012, adicionado parcialmente (parágrafo 6°) por el artículo 301 de la Ley 2294 de 2023, </w:t>
            </w:r>
            <w:r w:rsidRPr="1CEBD9B9">
              <w:rPr>
                <w:rFonts w:ascii="Verdana" w:hAnsi="Verdana" w:cs="Arial"/>
                <w:color w:val="000000" w:themeColor="text1"/>
                <w:lang w:val="es-CO" w:eastAsia="es-CO"/>
              </w:rPr>
              <w:t xml:space="preserve">define el subsidio familiar de vivienda como un aporte estatal en dinero o en especie, que podrá </w:t>
            </w:r>
            <w:r w:rsidRPr="1CEBD9B9">
              <w:rPr>
                <w:rFonts w:ascii="Verdana" w:hAnsi="Verdana" w:cs="Arial"/>
                <w:color w:val="000000" w:themeColor="text1"/>
                <w:lang w:val="es-CO" w:eastAsia="es-CO"/>
              </w:rPr>
              <w:lastRenderedPageBreak/>
              <w:t>aplicarse en lotes con servicios para programas de desarrollo de autoconstrucción, entre otros, otorgado por una sola vez al beneficiario con el objeto de facilitar el acceso a una solución de vivienda de interés social o interés prioritario, sin cargo de restitución, siempre que el beneficiario cumpla con las condiciones que establece la ley. </w:t>
            </w:r>
          </w:p>
          <w:p w14:paraId="4F048E4B" w14:textId="18662C91" w:rsidR="2A3A60D3" w:rsidRDefault="2A3A60D3" w:rsidP="00720245">
            <w:pPr>
              <w:jc w:val="both"/>
              <w:rPr>
                <w:rFonts w:ascii="Verdana" w:eastAsia="Verdana" w:hAnsi="Verdana" w:cs="Verdana"/>
                <w:lang w:val="es-CO"/>
              </w:rPr>
            </w:pPr>
            <w:r w:rsidRPr="1CEBD9B9">
              <w:rPr>
                <w:rFonts w:ascii="Verdana" w:eastAsia="Verdana" w:hAnsi="Verdana" w:cs="Verdana"/>
                <w:color w:val="000000" w:themeColor="text1"/>
                <w:lang w:val="es-CO"/>
              </w:rPr>
              <w:t>Las autoridades territoriales en el marco de su autonomía y sus competencias están llamadas a gestionar lo relacionado con los usos del suelo en su territorio.</w:t>
            </w:r>
          </w:p>
          <w:p w14:paraId="0E93B11E" w14:textId="0AB547DF" w:rsidR="1CEBD9B9" w:rsidRDefault="1CEBD9B9" w:rsidP="1CEBD9B9">
            <w:pPr>
              <w:jc w:val="both"/>
              <w:rPr>
                <w:rFonts w:ascii="Verdana" w:eastAsia="Verdana" w:hAnsi="Verdana" w:cs="Verdana"/>
                <w:color w:val="000000" w:themeColor="text1"/>
                <w:lang w:val="es-CO"/>
              </w:rPr>
            </w:pPr>
          </w:p>
          <w:p w14:paraId="22F86EC0" w14:textId="012F7FE9" w:rsidR="2A3A60D3" w:rsidRDefault="2A3A60D3" w:rsidP="00720245">
            <w:pPr>
              <w:jc w:val="both"/>
              <w:rPr>
                <w:rFonts w:ascii="Verdana" w:eastAsia="Verdana" w:hAnsi="Verdana" w:cs="Verdana"/>
                <w:color w:val="000000" w:themeColor="text1"/>
                <w:lang w:val="es-CO"/>
              </w:rPr>
            </w:pPr>
            <w:r w:rsidRPr="1CEBD9B9">
              <w:rPr>
                <w:rFonts w:ascii="Verdana" w:eastAsia="Verdana" w:hAnsi="Verdana" w:cs="Verdana"/>
                <w:color w:val="000000" w:themeColor="text1"/>
                <w:lang w:val="es"/>
              </w:rPr>
              <w:t>El inciso primero del artículo 122 de la Ley 388 de 1997 establece lo siguiente:</w:t>
            </w:r>
          </w:p>
          <w:p w14:paraId="79CBF8BD" w14:textId="37D51851" w:rsidR="1CEBD9B9" w:rsidRDefault="1CEBD9B9" w:rsidP="00720245">
            <w:pPr>
              <w:ind w:left="720"/>
              <w:jc w:val="both"/>
              <w:rPr>
                <w:rFonts w:ascii="Verdana" w:eastAsia="Verdana" w:hAnsi="Verdana" w:cs="Verdana"/>
                <w:color w:val="000000" w:themeColor="text1"/>
                <w:lang w:val="es"/>
              </w:rPr>
            </w:pPr>
          </w:p>
          <w:p w14:paraId="40B91FF7" w14:textId="43001E6B" w:rsidR="2A3A60D3" w:rsidRDefault="2A3A60D3" w:rsidP="00720245">
            <w:pPr>
              <w:ind w:left="720"/>
              <w:jc w:val="both"/>
              <w:rPr>
                <w:rFonts w:ascii="Verdana" w:eastAsia="Verdana" w:hAnsi="Verdana" w:cs="Verdana"/>
                <w:color w:val="000000" w:themeColor="text1"/>
                <w:lang w:val="es-CO"/>
              </w:rPr>
            </w:pPr>
            <w:r w:rsidRPr="1CEBD9B9">
              <w:rPr>
                <w:rFonts w:ascii="Verdana" w:eastAsia="Verdana" w:hAnsi="Verdana" w:cs="Verdana"/>
                <w:color w:val="000000" w:themeColor="text1"/>
              </w:rPr>
              <w:t>“</w:t>
            </w:r>
            <w:r w:rsidRPr="1CEBD9B9">
              <w:rPr>
                <w:rFonts w:ascii="Verdana" w:eastAsia="Verdana" w:hAnsi="Verdana" w:cs="Verdana"/>
                <w:i/>
                <w:iCs/>
                <w:color w:val="000000" w:themeColor="text1"/>
              </w:rPr>
              <w:t>ARTICULO 112. EXPEDIENTE URBANO. Con el objeto de contar con un sistema de información urbano que sustente los diagnósticos y la definición de políticas, así como la formulación de planes, programas y proyectos de ordenamiento espacial del territorio por parte de los diferentes niveles territoriales, los municipios y distritos deberán organizar un expediente urbano, conformado por documentos, planos e información georreferenciada, acerca de su organización territorial y urbana</w:t>
            </w:r>
            <w:r w:rsidRPr="1CEBD9B9">
              <w:rPr>
                <w:rFonts w:ascii="Verdana" w:eastAsia="Verdana" w:hAnsi="Verdana" w:cs="Verdana"/>
                <w:color w:val="000000" w:themeColor="text1"/>
              </w:rPr>
              <w:t>”.</w:t>
            </w:r>
          </w:p>
          <w:p w14:paraId="122BF9CE" w14:textId="47FABD9C" w:rsidR="1CEBD9B9" w:rsidRDefault="1CEBD9B9" w:rsidP="1CEBD9B9">
            <w:pPr>
              <w:jc w:val="both"/>
              <w:rPr>
                <w:rFonts w:ascii="Verdana" w:eastAsia="Verdana" w:hAnsi="Verdana" w:cs="Verdana"/>
                <w:color w:val="000000" w:themeColor="text1"/>
                <w:lang w:val="es"/>
              </w:rPr>
            </w:pPr>
          </w:p>
          <w:p w14:paraId="61F66DDA" w14:textId="0AB9ADD1" w:rsidR="2A3A60D3" w:rsidRDefault="2A3A60D3" w:rsidP="00720245">
            <w:pPr>
              <w:jc w:val="both"/>
              <w:rPr>
                <w:rFonts w:ascii="Verdana" w:eastAsia="Verdana" w:hAnsi="Verdana" w:cs="Verdana"/>
                <w:color w:val="000000" w:themeColor="text1"/>
                <w:lang w:val="es-CO"/>
              </w:rPr>
            </w:pPr>
            <w:r w:rsidRPr="1CEBD9B9">
              <w:rPr>
                <w:rFonts w:ascii="Verdana" w:eastAsia="Verdana" w:hAnsi="Verdana" w:cs="Verdana"/>
                <w:color w:val="000000" w:themeColor="text1"/>
                <w:lang w:val="es"/>
              </w:rPr>
              <w:t>Conforme a lo señalado en esta cita, los municipios y distritos deben contar con documentos, planos e información georreferenciada, acerca de su organización territorial y urbana.</w:t>
            </w:r>
          </w:p>
          <w:p w14:paraId="551B242C" w14:textId="77777777" w:rsidR="00124070" w:rsidRDefault="00124070" w:rsidP="00BE5853">
            <w:pPr>
              <w:jc w:val="both"/>
              <w:textAlignment w:val="baseline"/>
              <w:rPr>
                <w:rFonts w:ascii="Verdana" w:hAnsi="Verdana" w:cs="Arial"/>
                <w:color w:val="000000"/>
                <w:lang w:val="es-CO" w:eastAsia="es-CO"/>
              </w:rPr>
            </w:pPr>
          </w:p>
          <w:p w14:paraId="0D4792A4" w14:textId="77777777" w:rsidR="00124070" w:rsidRPr="00B14A8B" w:rsidRDefault="00124070" w:rsidP="00BE5853">
            <w:pPr>
              <w:jc w:val="both"/>
              <w:textAlignment w:val="baseline"/>
              <w:rPr>
                <w:rFonts w:ascii="Verdana" w:hAnsi="Verdana" w:cs="Arial"/>
                <w:color w:val="000000"/>
                <w:lang w:val="es-CO" w:eastAsia="es-CO"/>
              </w:rPr>
            </w:pPr>
            <w:r w:rsidRPr="00B14A8B">
              <w:rPr>
                <w:rFonts w:ascii="Verdana" w:eastAsia="Calibri" w:hAnsi="Verdana"/>
                <w:lang w:eastAsia="en-US"/>
              </w:rPr>
              <w:t xml:space="preserve">En la Ley 511 de 1999 </w:t>
            </w:r>
            <w:r w:rsidR="00401B11" w:rsidRPr="00B14A8B">
              <w:rPr>
                <w:rFonts w:ascii="Verdana" w:eastAsia="Calibri" w:hAnsi="Verdana"/>
                <w:i/>
                <w:lang w:eastAsia="en-US"/>
              </w:rPr>
              <w:t>por la cual se establece el Día Nacional del Reciclador y del Reciclaje</w:t>
            </w:r>
            <w:r w:rsidR="00401B11" w:rsidRPr="00B14A8B">
              <w:rPr>
                <w:rFonts w:ascii="Verdana" w:hAnsi="Verdana"/>
              </w:rPr>
              <w:t xml:space="preserve"> </w:t>
            </w:r>
            <w:r w:rsidR="00401B11" w:rsidRPr="00B14A8B">
              <w:rPr>
                <w:rFonts w:ascii="Verdana" w:eastAsia="Calibri" w:hAnsi="Verdana"/>
              </w:rPr>
              <w:t>se plantea</w:t>
            </w:r>
            <w:r w:rsidRPr="00B14A8B">
              <w:rPr>
                <w:rFonts w:ascii="Verdana" w:eastAsia="Calibri" w:hAnsi="Verdana"/>
                <w:lang w:eastAsia="en-US"/>
              </w:rPr>
              <w:t xml:space="preserve"> en su artículo 4 que, el </w:t>
            </w:r>
            <w:r w:rsidRPr="00B14A8B">
              <w:rPr>
                <w:rFonts w:ascii="Verdana" w:eastAsia="Calibri" w:hAnsi="Verdana"/>
                <w:i/>
                <w:lang w:eastAsia="en-US"/>
              </w:rPr>
              <w:t>“(…) Gobierno (…) promoverá programas de vivienda especiales dirigido a aquellos grupos y/o asociaciones de recuperadores de recursos reciclables que sean reconocidos por la ley (…)”</w:t>
            </w:r>
            <w:r w:rsidRPr="00B14A8B">
              <w:rPr>
                <w:rFonts w:ascii="Verdana" w:eastAsia="Calibri" w:hAnsi="Verdana"/>
                <w:lang w:eastAsia="en-US"/>
              </w:rPr>
              <w:t>. Teniendo en cuenta que, los recicladores por su situación de marginalidad y vulnerabilidad se identifican como sujetos de especial protección constitucional se requiere establecer medidas por parte del Gobierno nacional que generen la garantía y el acceso a derechos en condiciones de dignidad, entre estos el acceso progresivo al derecho a la vivienda por parte de este grupo poblacional.</w:t>
            </w:r>
          </w:p>
          <w:p w14:paraId="0DD14B36" w14:textId="77777777" w:rsidR="0069308B" w:rsidRPr="00B14A8B" w:rsidRDefault="0069308B" w:rsidP="00BE5853">
            <w:pPr>
              <w:jc w:val="both"/>
              <w:textAlignment w:val="baseline"/>
              <w:rPr>
                <w:rFonts w:ascii="Verdana" w:hAnsi="Verdana" w:cs="Arial"/>
                <w:color w:val="000000"/>
                <w:lang w:val="es-CO" w:eastAsia="es-CO"/>
              </w:rPr>
            </w:pPr>
          </w:p>
          <w:p w14:paraId="313F21D9" w14:textId="77777777" w:rsidR="0069308B" w:rsidRPr="00DB5DE6" w:rsidRDefault="0069308B" w:rsidP="1CEBD9B9">
            <w:pPr>
              <w:jc w:val="both"/>
              <w:rPr>
                <w:rFonts w:ascii="Verdana" w:hAnsi="Verdana"/>
                <w:lang w:val="es-CO"/>
              </w:rPr>
            </w:pPr>
            <w:r w:rsidRPr="1CEBD9B9">
              <w:rPr>
                <w:rFonts w:ascii="Verdana" w:hAnsi="Verdana"/>
                <w:lang w:val="es-CO"/>
              </w:rPr>
              <w:t>La Ley 1448 del 10 de junio de 2011</w:t>
            </w:r>
            <w:r w:rsidR="00973B10" w:rsidRPr="1CEBD9B9">
              <w:rPr>
                <w:rFonts w:ascii="Verdana" w:hAnsi="Verdana"/>
                <w:lang w:val="es-CO"/>
              </w:rPr>
              <w:t xml:space="preserve">, </w:t>
            </w:r>
            <w:r w:rsidR="00973B10" w:rsidRPr="1CEBD9B9">
              <w:rPr>
                <w:rFonts w:ascii="Verdana" w:hAnsi="Verdana" w:cs="Arial"/>
                <w:color w:val="000000" w:themeColor="text1"/>
                <w:lang w:val="es-CO" w:eastAsia="es-CO"/>
              </w:rPr>
              <w:t>"</w:t>
            </w:r>
            <w:r w:rsidR="00973B10" w:rsidRPr="1CEBD9B9">
              <w:rPr>
                <w:rFonts w:ascii="Verdana" w:hAnsi="Verdana" w:cs="Arial"/>
                <w:i/>
                <w:iCs/>
                <w:color w:val="000000" w:themeColor="text1"/>
                <w:lang w:val="es-CO" w:eastAsia="es-CO"/>
              </w:rPr>
              <w:t>Por la cual se dictan medidas de atención, asistencia y reparación integral a las víctimas del conflicto armado interno y se dictan otras disposiciones</w:t>
            </w:r>
            <w:r w:rsidR="00973B10" w:rsidRPr="1CEBD9B9">
              <w:rPr>
                <w:rFonts w:ascii="Verdana" w:hAnsi="Verdana" w:cs="Arial"/>
                <w:color w:val="000000" w:themeColor="text1"/>
                <w:lang w:val="es-CO" w:eastAsia="es-CO"/>
              </w:rPr>
              <w:t>",</w:t>
            </w:r>
            <w:r w:rsidR="00973B10" w:rsidRPr="1CEBD9B9">
              <w:rPr>
                <w:rFonts w:ascii="Verdana" w:hAnsi="Verdana"/>
                <w:lang w:val="es-CO"/>
              </w:rPr>
              <w:t xml:space="preserve"> </w:t>
            </w:r>
            <w:r w:rsidRPr="1CEBD9B9">
              <w:rPr>
                <w:rFonts w:ascii="Verdana" w:hAnsi="Verdana" w:cs="Arial"/>
                <w:color w:val="000000" w:themeColor="text1"/>
                <w:lang w:val="es-CO" w:eastAsia="es-CO"/>
              </w:rPr>
              <w:t>es un referente fundamental para la aplicación del principio de enfoque diferencial en la construcción de política pública en el país</w:t>
            </w:r>
            <w:r w:rsidRPr="1CEBD9B9">
              <w:rPr>
                <w:rFonts w:ascii="Verdana" w:hAnsi="Verdana"/>
                <w:lang w:val="es-CO"/>
              </w:rPr>
              <w:t>, reconoce que hay poblaciones con características particulares y por lo tanto, tiene como objetivo la disminución de inequidades, orientar los procesos, medi</w:t>
            </w:r>
            <w:r w:rsidR="003B2C19" w:rsidRPr="1CEBD9B9">
              <w:rPr>
                <w:rFonts w:ascii="Verdana" w:hAnsi="Verdana"/>
                <w:lang w:val="es-CO"/>
              </w:rPr>
              <w:t>d</w:t>
            </w:r>
            <w:r w:rsidRPr="1CEBD9B9">
              <w:rPr>
                <w:rFonts w:ascii="Verdana" w:hAnsi="Verdana"/>
                <w:lang w:val="es-CO"/>
              </w:rPr>
              <w:t xml:space="preserve">as y acciones que se desarrollen para proteger y reparar integralmente a las víctimas. La aplicación de este principio debe valorar todos los ejes de desigualdad e incluir los enfoques diferenciales de manera integral. </w:t>
            </w:r>
          </w:p>
          <w:p w14:paraId="74337760" w14:textId="6E4C052D" w:rsidR="1CEBD9B9" w:rsidRDefault="1CEBD9B9" w:rsidP="1CEBD9B9">
            <w:pPr>
              <w:jc w:val="both"/>
              <w:rPr>
                <w:rFonts w:ascii="Verdana" w:hAnsi="Verdana"/>
                <w:lang w:val="es-CO"/>
              </w:rPr>
            </w:pPr>
          </w:p>
          <w:p w14:paraId="29200A5E" w14:textId="3720CD05" w:rsidR="6A078A95" w:rsidRDefault="6A078A95" w:rsidP="1CEBD9B9">
            <w:pPr>
              <w:jc w:val="both"/>
              <w:rPr>
                <w:rFonts w:ascii="Verdana" w:eastAsia="Verdana" w:hAnsi="Verdana" w:cs="Verdana"/>
                <w:lang w:val="es-CO"/>
              </w:rPr>
            </w:pPr>
            <w:r w:rsidRPr="1CEBD9B9">
              <w:rPr>
                <w:rFonts w:ascii="Verdana" w:eastAsia="Verdana" w:hAnsi="Verdana" w:cs="Verdana"/>
                <w:color w:val="000000" w:themeColor="text1"/>
                <w:sz w:val="19"/>
                <w:szCs w:val="19"/>
                <w:lang w:val="es-CO"/>
              </w:rPr>
              <w:t>El numeral 4° del artículo 29 de la Ley 1454 de 2011 señala que es competencia de los municipios la reglamentación de los usos del suelo y la adopción de los planes de ordenamiento territorial.</w:t>
            </w:r>
          </w:p>
          <w:p w14:paraId="5E024365" w14:textId="77777777" w:rsidR="00BE5853" w:rsidRPr="00DB5DE6" w:rsidRDefault="00BE5853" w:rsidP="00BE5853">
            <w:pPr>
              <w:jc w:val="both"/>
              <w:textAlignment w:val="baseline"/>
              <w:rPr>
                <w:rFonts w:ascii="Verdana" w:hAnsi="Verdana"/>
                <w:bCs/>
                <w:lang w:val="es-CO"/>
              </w:rPr>
            </w:pPr>
          </w:p>
          <w:p w14:paraId="17E05110" w14:textId="74235CB7" w:rsidR="00276C08" w:rsidRDefault="00223159" w:rsidP="388D4128">
            <w:pPr>
              <w:jc w:val="both"/>
              <w:rPr>
                <w:rFonts w:ascii="Verdana" w:hAnsi="Verdana"/>
                <w:lang w:val="es-CO"/>
              </w:rPr>
            </w:pPr>
            <w:r w:rsidRPr="163BC4B9">
              <w:rPr>
                <w:rFonts w:ascii="Verdana" w:hAnsi="Verdana"/>
                <w:lang w:val="es-CO"/>
              </w:rPr>
              <w:t xml:space="preserve">Corresponde al Ministerio de Vivienda, Ciudad y Territorio, en el marco de lo establecido en </w:t>
            </w:r>
            <w:r w:rsidR="003B2C19" w:rsidRPr="163BC4B9">
              <w:rPr>
                <w:rFonts w:ascii="Verdana" w:hAnsi="Verdana"/>
                <w:lang w:val="es-CO"/>
              </w:rPr>
              <w:t xml:space="preserve">el </w:t>
            </w:r>
            <w:r w:rsidR="763A0740" w:rsidRPr="163BC4B9">
              <w:rPr>
                <w:rFonts w:ascii="Verdana" w:hAnsi="Verdana"/>
                <w:lang w:val="es-CO"/>
              </w:rPr>
              <w:t xml:space="preserve">artículo 2° del </w:t>
            </w:r>
            <w:r w:rsidRPr="163BC4B9">
              <w:rPr>
                <w:rFonts w:ascii="Verdana" w:hAnsi="Verdana"/>
                <w:lang w:val="es-CO"/>
              </w:rPr>
              <w:t>Decreto 3571 de</w:t>
            </w:r>
            <w:r w:rsidR="008C4ACC" w:rsidRPr="163BC4B9">
              <w:rPr>
                <w:rFonts w:ascii="Verdana" w:hAnsi="Verdana"/>
                <w:lang w:val="es-CO"/>
              </w:rPr>
              <w:t xml:space="preserve">l 27 </w:t>
            </w:r>
            <w:r w:rsidR="0069308B" w:rsidRPr="163BC4B9">
              <w:rPr>
                <w:rFonts w:ascii="Verdana" w:hAnsi="Verdana"/>
                <w:lang w:val="es-CO"/>
              </w:rPr>
              <w:t>d</w:t>
            </w:r>
            <w:r w:rsidR="008C4ACC" w:rsidRPr="163BC4B9">
              <w:rPr>
                <w:rFonts w:ascii="Verdana" w:hAnsi="Verdana"/>
                <w:lang w:val="es-CO"/>
              </w:rPr>
              <w:t>e septiembre de</w:t>
            </w:r>
            <w:r w:rsidRPr="163BC4B9">
              <w:rPr>
                <w:rFonts w:ascii="Verdana" w:hAnsi="Verdana"/>
                <w:lang w:val="es-CO"/>
              </w:rPr>
              <w:t xml:space="preserve"> 2011, modificado por </w:t>
            </w:r>
            <w:r w:rsidR="506F1616" w:rsidRPr="163BC4B9">
              <w:rPr>
                <w:rFonts w:ascii="Verdana" w:hAnsi="Verdana"/>
                <w:lang w:val="es-CO"/>
              </w:rPr>
              <w:t>el</w:t>
            </w:r>
            <w:r w:rsidRPr="163BC4B9">
              <w:rPr>
                <w:rFonts w:ascii="Verdana" w:hAnsi="Verdana"/>
                <w:lang w:val="es-CO"/>
              </w:rPr>
              <w:t xml:space="preserve"> Decreto 1604 de 2020</w:t>
            </w:r>
            <w:r w:rsidR="00840F83" w:rsidRPr="163BC4B9">
              <w:rPr>
                <w:rFonts w:ascii="Verdana" w:hAnsi="Verdana"/>
                <w:lang w:val="es-CO"/>
              </w:rPr>
              <w:t>: “</w:t>
            </w:r>
            <w:r w:rsidR="00840F83" w:rsidRPr="163BC4B9">
              <w:rPr>
                <w:rFonts w:ascii="Verdana" w:hAnsi="Verdana"/>
                <w:i/>
                <w:iCs/>
                <w:lang w:val="es-CO"/>
              </w:rPr>
              <w:t>(…)</w:t>
            </w:r>
            <w:r w:rsidR="002D6BFF" w:rsidRPr="163BC4B9">
              <w:rPr>
                <w:rFonts w:ascii="Verdana" w:hAnsi="Verdana"/>
                <w:i/>
                <w:iCs/>
                <w:lang w:val="es-CO"/>
              </w:rPr>
              <w:t xml:space="preserve"> Formular, dirigir y coordinar las políticas, planes, programas y regulaciones en materia de vivienda y financiación de vivienda urbana y rural, desarrollo urbano, ordenamiento territorial y uso del suelo en el marco de sus competencias, agua potable y saneamiento básico, así como los instrumentos normativos para su implementación </w:t>
            </w:r>
            <w:r w:rsidR="00840F83" w:rsidRPr="163BC4B9">
              <w:rPr>
                <w:rFonts w:ascii="Verdana" w:hAnsi="Verdana"/>
                <w:i/>
                <w:iCs/>
                <w:lang w:val="es-CO"/>
              </w:rPr>
              <w:t>(…).</w:t>
            </w:r>
            <w:r w:rsidR="00D776C7" w:rsidRPr="163BC4B9">
              <w:rPr>
                <w:rFonts w:ascii="Verdana" w:hAnsi="Verdana"/>
                <w:lang w:val="es-CO"/>
              </w:rPr>
              <w:t>”</w:t>
            </w:r>
            <w:r w:rsidR="001A4702" w:rsidRPr="163BC4B9">
              <w:rPr>
                <w:rFonts w:ascii="Verdana" w:hAnsi="Verdana"/>
                <w:i/>
                <w:iCs/>
                <w:lang w:val="es-CO"/>
              </w:rPr>
              <w:t xml:space="preserve"> </w:t>
            </w:r>
            <w:r w:rsidR="001A4702" w:rsidRPr="163BC4B9">
              <w:rPr>
                <w:rFonts w:ascii="Verdana" w:hAnsi="Verdana"/>
                <w:lang w:val="es-CO"/>
              </w:rPr>
              <w:t>Aunado a lo anterior, una de las funciones de</w:t>
            </w:r>
            <w:r w:rsidR="00545FC9" w:rsidRPr="163BC4B9">
              <w:rPr>
                <w:rFonts w:ascii="Verdana" w:hAnsi="Verdana"/>
                <w:lang w:val="es-CO"/>
              </w:rPr>
              <w:t xml:space="preserve"> la Dirección del Sistema Habitacional</w:t>
            </w:r>
            <w:r w:rsidR="001A4702" w:rsidRPr="163BC4B9">
              <w:rPr>
                <w:rFonts w:ascii="Verdana" w:hAnsi="Verdana"/>
                <w:lang w:val="es-CO"/>
              </w:rPr>
              <w:t xml:space="preserve"> es: “</w:t>
            </w:r>
            <w:r w:rsidR="001A4702" w:rsidRPr="163BC4B9">
              <w:rPr>
                <w:rFonts w:ascii="Verdana" w:hAnsi="Verdana"/>
                <w:i/>
                <w:iCs/>
                <w:lang w:val="es-CO"/>
              </w:rPr>
              <w:t>(…) Diseñar instrumentos para el desarrollo del sector vivienda y financiación de vivienda y asesorar su implementación y articulación sectorial (…).</w:t>
            </w:r>
            <w:r w:rsidR="001A4702" w:rsidRPr="163BC4B9">
              <w:rPr>
                <w:rFonts w:ascii="Verdana" w:hAnsi="Verdana"/>
                <w:lang w:val="es-CO"/>
              </w:rPr>
              <w:t>”</w:t>
            </w:r>
          </w:p>
          <w:p w14:paraId="13927E59" w14:textId="77777777" w:rsidR="00276C08" w:rsidRDefault="00276C08" w:rsidP="00276C08">
            <w:pPr>
              <w:jc w:val="both"/>
              <w:rPr>
                <w:rFonts w:ascii="Verdana" w:hAnsi="Verdana"/>
                <w:bCs/>
                <w:lang w:val="es-CO"/>
              </w:rPr>
            </w:pPr>
          </w:p>
          <w:p w14:paraId="7605E443" w14:textId="77777777" w:rsidR="00775FA7" w:rsidRPr="00276C08" w:rsidRDefault="00775FA7" w:rsidP="00276C08">
            <w:pPr>
              <w:jc w:val="both"/>
              <w:rPr>
                <w:rFonts w:ascii="Verdana" w:hAnsi="Verdana"/>
                <w:bCs/>
                <w:lang w:val="es-CO"/>
              </w:rPr>
            </w:pPr>
            <w:r w:rsidRPr="00276C08">
              <w:rPr>
                <w:rFonts w:ascii="Verdana" w:hAnsi="Verdana"/>
                <w:bCs/>
              </w:rPr>
              <w:t xml:space="preserve">Las mujeres que se desempeñan como Madres Comunitarias de Bienestar, </w:t>
            </w:r>
            <w:proofErr w:type="spellStart"/>
            <w:r w:rsidRPr="00276C08">
              <w:rPr>
                <w:rFonts w:ascii="Verdana" w:hAnsi="Verdana"/>
                <w:bCs/>
              </w:rPr>
              <w:t>Famis</w:t>
            </w:r>
            <w:proofErr w:type="spellEnd"/>
            <w:r w:rsidRPr="00276C08">
              <w:rPr>
                <w:rFonts w:ascii="Verdana" w:hAnsi="Verdana"/>
                <w:bCs/>
              </w:rPr>
              <w:t xml:space="preserve"> y Madres Sustitutas tienen un rol fundamental en la sociedad a través de la implementación de hogares comunitarios y hogares sustitutos como cuidadoras que generan entornos seguros de desarrollo para niños, niñas y adolescentes. Teniendo en cuenta lo anterior, el Decreto 126 de 2013 establece en su artículo 3 que </w:t>
            </w:r>
            <w:r w:rsidRPr="00084DBE">
              <w:rPr>
                <w:rFonts w:ascii="Verdana" w:hAnsi="Verdana"/>
                <w:bCs/>
                <w:i/>
              </w:rPr>
              <w:t xml:space="preserve">“(…) las madres </w:t>
            </w:r>
            <w:r w:rsidRPr="00084DBE">
              <w:rPr>
                <w:rFonts w:ascii="Verdana" w:hAnsi="Verdana"/>
                <w:bCs/>
                <w:i/>
              </w:rPr>
              <w:lastRenderedPageBreak/>
              <w:t xml:space="preserve">comunitarias de Bienestar, </w:t>
            </w:r>
            <w:proofErr w:type="spellStart"/>
            <w:r w:rsidRPr="00084DBE">
              <w:rPr>
                <w:rFonts w:ascii="Verdana" w:hAnsi="Verdana"/>
                <w:bCs/>
                <w:i/>
              </w:rPr>
              <w:t>Famis</w:t>
            </w:r>
            <w:proofErr w:type="spellEnd"/>
            <w:r w:rsidRPr="00084DBE">
              <w:rPr>
                <w:rFonts w:ascii="Verdana" w:hAnsi="Verdana"/>
                <w:bCs/>
                <w:i/>
              </w:rPr>
              <w:t xml:space="preserve"> y Madres Sustitutas previamente certificadas por el Instituto Colombiano de Bienestar Familiar (…) podrán postularse para aplicar al subsidio familiar de vivienda de interés social en las modalidades de adquisición de vivienda nueva o usada (…)”</w:t>
            </w:r>
            <w:r w:rsidRPr="00276C08">
              <w:rPr>
                <w:rFonts w:ascii="Verdana" w:hAnsi="Verdana"/>
                <w:bCs/>
              </w:rPr>
              <w:t xml:space="preserve">. Por tanto, las madres comunitarias de Bienestar, </w:t>
            </w:r>
            <w:proofErr w:type="spellStart"/>
            <w:r w:rsidRPr="00276C08">
              <w:rPr>
                <w:rFonts w:ascii="Verdana" w:hAnsi="Verdana"/>
                <w:bCs/>
              </w:rPr>
              <w:t>Famis</w:t>
            </w:r>
            <w:proofErr w:type="spellEnd"/>
            <w:r w:rsidRPr="00276C08">
              <w:rPr>
                <w:rFonts w:ascii="Verdana" w:hAnsi="Verdana"/>
                <w:bCs/>
              </w:rPr>
              <w:t xml:space="preserve"> y Madres Sustitutas se establecen como un grupo poblacional diferencial a acceder a distintas modalidades de Subsidio Familiar de Vivienda, entre estos, la adquisición de vivienda usada.</w:t>
            </w:r>
          </w:p>
          <w:p w14:paraId="5B12C690" w14:textId="77777777" w:rsidR="00775FA7" w:rsidRDefault="00775FA7" w:rsidP="00CF14E7">
            <w:pPr>
              <w:jc w:val="both"/>
              <w:rPr>
                <w:rFonts w:ascii="Verdana" w:hAnsi="Verdana"/>
                <w:bCs/>
                <w:lang w:val="es-CO"/>
              </w:rPr>
            </w:pPr>
          </w:p>
          <w:p w14:paraId="7A5875A0" w14:textId="77777777" w:rsidR="00DD4F10" w:rsidRPr="00DB5DE6" w:rsidRDefault="00DD4F10" w:rsidP="00DD4F10">
            <w:pPr>
              <w:jc w:val="both"/>
              <w:rPr>
                <w:rFonts w:ascii="Verdana" w:hAnsi="Verdana"/>
                <w:lang w:val="es-CO"/>
              </w:rPr>
            </w:pPr>
            <w:r w:rsidRPr="00DB5DE6">
              <w:rPr>
                <w:rFonts w:ascii="Verdana" w:hAnsi="Verdana"/>
                <w:lang w:val="es-CO"/>
              </w:rPr>
              <w:t>El 24 de noviembre de 2016, el Gobierno nacional suscribió con las y los representantes de las Fuerzas Armadas Revolucionarias de Colombia, Ejército del Pueblo (FARC – EP), el Acuerdo Final para la Terminación del Conflicto y la Construcción de una Paz Estable y Duradera (en adelante Acuerdo Final de Paz), el cual</w:t>
            </w:r>
            <w:r>
              <w:rPr>
                <w:rFonts w:ascii="Verdana" w:hAnsi="Verdana"/>
                <w:lang w:val="es-CO"/>
              </w:rPr>
              <w:t>,</w:t>
            </w:r>
            <w:r w:rsidRPr="00DB5DE6">
              <w:rPr>
                <w:rFonts w:ascii="Verdana" w:hAnsi="Verdana"/>
                <w:lang w:val="es-CO"/>
              </w:rPr>
              <w:t xml:space="preserve"> fue refrendado por el Congreso de la República en decisión política del 30 de noviembre de 2016. </w:t>
            </w:r>
          </w:p>
          <w:p w14:paraId="2EA569DF" w14:textId="77777777" w:rsidR="00DD4F10" w:rsidRPr="00DB5DE6" w:rsidRDefault="00DD4F10" w:rsidP="00DD4F10">
            <w:pPr>
              <w:jc w:val="both"/>
              <w:rPr>
                <w:rFonts w:ascii="Verdana" w:hAnsi="Verdana"/>
                <w:lang w:val="es-CO"/>
              </w:rPr>
            </w:pPr>
          </w:p>
          <w:p w14:paraId="1ADB5579" w14:textId="77777777" w:rsidR="00DD4F10" w:rsidRPr="00DB5DE6" w:rsidRDefault="00DD4F10" w:rsidP="00DD4F10">
            <w:pPr>
              <w:jc w:val="both"/>
              <w:rPr>
                <w:rFonts w:ascii="Verdana" w:hAnsi="Verdana"/>
                <w:lang w:val="es-CO"/>
              </w:rPr>
            </w:pPr>
            <w:r w:rsidRPr="00DB5DE6">
              <w:rPr>
                <w:rFonts w:ascii="Verdana" w:hAnsi="Verdana"/>
                <w:lang w:val="es-CO"/>
              </w:rPr>
              <w:t xml:space="preserve">Asimismo, la implementación del Acuerdo Final de Paz, específicamente en lo concerniente al punto 3.2 </w:t>
            </w:r>
            <w:r w:rsidRPr="00DB5DE6">
              <w:rPr>
                <w:rFonts w:ascii="Verdana" w:hAnsi="Verdana"/>
                <w:i/>
                <w:lang w:val="es-CO"/>
              </w:rPr>
              <w:t>“Reincorporación de las FARC-EP a la vida civil -en lo económico, lo social y lo político”</w:t>
            </w:r>
            <w:r w:rsidRPr="00DB5DE6">
              <w:rPr>
                <w:rFonts w:ascii="Verdana" w:hAnsi="Verdana"/>
                <w:lang w:val="es-CO"/>
              </w:rPr>
              <w:t xml:space="preserve">, plantea la necesidad de </w:t>
            </w:r>
            <w:r w:rsidRPr="00DB5DE6">
              <w:rPr>
                <w:rFonts w:ascii="Verdana" w:hAnsi="Verdana"/>
                <w:i/>
                <w:lang w:val="es-CO"/>
              </w:rPr>
              <w:t>“identificación de proyectos y mecanismos que permitan el acceso a vivienda”</w:t>
            </w:r>
            <w:r w:rsidRPr="00DB5DE6">
              <w:rPr>
                <w:rFonts w:ascii="Verdana" w:hAnsi="Verdana"/>
                <w:lang w:val="es-CO"/>
              </w:rPr>
              <w:t xml:space="preserve"> de este grupo poblacional. Adicionalmente, ese acceso a vivienda debe estar asociado a los requerimientos, necesidades y características de este grupo poblacional diferencial, que como se identificó previamente, se ubica en un gran número en territorios periféricos del país y cuenta, principalmente, con requerimientos habitacionales de adquisición de vivienda.</w:t>
            </w:r>
          </w:p>
          <w:p w14:paraId="6B6AC50B" w14:textId="77777777" w:rsidR="00DD4F10" w:rsidRPr="00DB5DE6" w:rsidRDefault="00DD4F10" w:rsidP="00DD4F10">
            <w:pPr>
              <w:jc w:val="both"/>
              <w:rPr>
                <w:rFonts w:ascii="Verdana" w:hAnsi="Verdana"/>
                <w:lang w:val="es-CO"/>
              </w:rPr>
            </w:pPr>
          </w:p>
          <w:p w14:paraId="7A1618C6" w14:textId="77777777" w:rsidR="00DD4F10" w:rsidRPr="00DB5DE6" w:rsidRDefault="00DD4F10" w:rsidP="00DD4F10">
            <w:pPr>
              <w:jc w:val="both"/>
              <w:rPr>
                <w:rFonts w:ascii="Verdana" w:hAnsi="Verdana"/>
                <w:lang w:val="es-CO"/>
              </w:rPr>
            </w:pPr>
            <w:r w:rsidRPr="00DB5DE6">
              <w:rPr>
                <w:rFonts w:ascii="Verdana" w:hAnsi="Verdana"/>
                <w:lang w:val="es-CO"/>
              </w:rPr>
              <w:t xml:space="preserve">A su vez, se debe resaltar que con la firma del Acuerdo </w:t>
            </w:r>
            <w:r>
              <w:rPr>
                <w:rFonts w:ascii="Verdana" w:hAnsi="Verdana"/>
                <w:lang w:val="es-CO"/>
              </w:rPr>
              <w:t xml:space="preserve">Final </w:t>
            </w:r>
            <w:r w:rsidRPr="00DB5DE6">
              <w:rPr>
                <w:rFonts w:ascii="Verdana" w:hAnsi="Verdana"/>
                <w:lang w:val="es-CO"/>
              </w:rPr>
              <w:t xml:space="preserve">de </w:t>
            </w:r>
            <w:r>
              <w:rPr>
                <w:rFonts w:ascii="Verdana" w:hAnsi="Verdana"/>
                <w:lang w:val="es-CO"/>
              </w:rPr>
              <w:t>P</w:t>
            </w:r>
            <w:r w:rsidRPr="00DB5DE6">
              <w:rPr>
                <w:rFonts w:ascii="Verdana" w:hAnsi="Verdana"/>
                <w:lang w:val="es-CO"/>
              </w:rPr>
              <w:t xml:space="preserve">az entre las FARC – EP y el Gobierno </w:t>
            </w:r>
            <w:r>
              <w:rPr>
                <w:rFonts w:ascii="Verdana" w:hAnsi="Verdana"/>
                <w:lang w:val="es-CO"/>
              </w:rPr>
              <w:t>n</w:t>
            </w:r>
            <w:r w:rsidRPr="00DB5DE6">
              <w:rPr>
                <w:rFonts w:ascii="Verdana" w:hAnsi="Verdana"/>
                <w:lang w:val="es-CO"/>
              </w:rPr>
              <w:t>acional, se estableció un Plan Marco de Implementación, en que se establecieron soluciones de acceso a tierra y vivienda como garantías para una reincorporación integral de las personas firmantes del Acuerdo. En tal sentido, el punto 3.2.2.7 “</w:t>
            </w:r>
            <w:r w:rsidRPr="003E0873">
              <w:rPr>
                <w:rFonts w:ascii="Verdana" w:hAnsi="Verdana"/>
                <w:i/>
                <w:iCs/>
                <w:lang w:val="es-CO"/>
              </w:rPr>
              <w:t>Garantías para una reincorporación económica y social sostenible</w:t>
            </w:r>
            <w:r w:rsidRPr="00DB5DE6">
              <w:rPr>
                <w:rFonts w:ascii="Verdana" w:hAnsi="Verdana"/>
                <w:lang w:val="es-CO"/>
              </w:rPr>
              <w:t>” establece la obligación del Gobierno nacional de identificar “</w:t>
            </w:r>
            <w:r w:rsidRPr="00DB5DE6">
              <w:rPr>
                <w:rFonts w:ascii="Verdana" w:hAnsi="Verdana"/>
                <w:i/>
                <w:lang w:val="es-CO"/>
              </w:rPr>
              <w:t>los planes o programas necesarios para la atención de los derechos fundamentales e integrales</w:t>
            </w:r>
            <w:r w:rsidRPr="00DB5DE6">
              <w:rPr>
                <w:rFonts w:ascii="Verdana" w:hAnsi="Verdana"/>
                <w:lang w:val="es-CO"/>
              </w:rPr>
              <w:t>” de la población en proceso de reincorporación y asociados, entre otros</w:t>
            </w:r>
            <w:r>
              <w:rPr>
                <w:rFonts w:ascii="Verdana" w:hAnsi="Verdana"/>
                <w:lang w:val="es-CO"/>
              </w:rPr>
              <w:t>,</w:t>
            </w:r>
            <w:r w:rsidRPr="00DB5DE6">
              <w:rPr>
                <w:rFonts w:ascii="Verdana" w:hAnsi="Verdana"/>
                <w:lang w:val="es-CO"/>
              </w:rPr>
              <w:t xml:space="preserve"> a la garantía y acceso al derecho progresivo a la vivienda. </w:t>
            </w:r>
          </w:p>
          <w:p w14:paraId="3CC165C8" w14:textId="77777777" w:rsidR="00DD4F10" w:rsidRPr="00DB5DE6" w:rsidRDefault="00DD4F10" w:rsidP="00CF14E7">
            <w:pPr>
              <w:jc w:val="both"/>
              <w:rPr>
                <w:rFonts w:ascii="Verdana" w:hAnsi="Verdana"/>
                <w:bCs/>
                <w:lang w:val="es-CO"/>
              </w:rPr>
            </w:pPr>
          </w:p>
          <w:p w14:paraId="626A7B40" w14:textId="77777777" w:rsidR="00B8624D" w:rsidRPr="00DB5DE6" w:rsidRDefault="00B8624D" w:rsidP="00B8624D">
            <w:pPr>
              <w:jc w:val="both"/>
              <w:rPr>
                <w:rFonts w:ascii="Verdana" w:hAnsi="Verdana"/>
                <w:bCs/>
                <w:lang w:val="es-CO"/>
              </w:rPr>
            </w:pPr>
            <w:r w:rsidRPr="00DB5DE6">
              <w:rPr>
                <w:rFonts w:ascii="Verdana" w:hAnsi="Verdana"/>
                <w:bCs/>
                <w:lang w:val="es-CO"/>
              </w:rPr>
              <w:t>La Ley 2079 de 2021, “</w:t>
            </w:r>
            <w:r w:rsidRPr="00DB5DE6">
              <w:rPr>
                <w:rFonts w:ascii="Verdana" w:hAnsi="Verdana"/>
                <w:bCs/>
                <w:i/>
                <w:iCs/>
                <w:lang w:val="es-CO"/>
              </w:rPr>
              <w:t>por medio de la cual se dictan disposiciones en materia de vivienda y hábitat</w:t>
            </w:r>
            <w:r w:rsidRPr="00DB5DE6">
              <w:rPr>
                <w:rFonts w:ascii="Verdana" w:hAnsi="Verdana"/>
                <w:bCs/>
                <w:lang w:val="es-CO"/>
              </w:rPr>
              <w:t>”, reconoce que la política pública de hábitat y vivienda es una Política de Estado liderada por el Ministerio de Vivienda, Ciudad y Territorio, entidad que deberá diseñar y adoptar normas destinadas a complementar el marco normativo dentro del cual se formula y ejecuta la política habitacional urbana y rural en el territorio nacional, con el fin de garantizar el ejercicio efectivo del derecho a una vivienda y hábitat dignos para todos. Además, en su artículo 4°, estableció que:</w:t>
            </w:r>
          </w:p>
          <w:p w14:paraId="2A073F09" w14:textId="77777777" w:rsidR="00B8624D" w:rsidRPr="00DB5DE6" w:rsidRDefault="00B8624D" w:rsidP="00B8624D">
            <w:pPr>
              <w:jc w:val="both"/>
              <w:rPr>
                <w:rFonts w:ascii="Verdana" w:hAnsi="Verdana"/>
                <w:bCs/>
                <w:lang w:val="es-CO"/>
              </w:rPr>
            </w:pPr>
          </w:p>
          <w:p w14:paraId="730A0E9D" w14:textId="77777777" w:rsidR="00B8624D" w:rsidRPr="00DB5DE6" w:rsidRDefault="00B8624D" w:rsidP="00B8624D">
            <w:pPr>
              <w:ind w:left="708"/>
              <w:jc w:val="both"/>
              <w:rPr>
                <w:rFonts w:ascii="Verdana" w:hAnsi="Verdana"/>
                <w:bCs/>
                <w:i/>
                <w:iCs/>
                <w:lang w:val="es-CO"/>
              </w:rPr>
            </w:pPr>
            <w:r w:rsidRPr="00DB5DE6">
              <w:rPr>
                <w:rFonts w:ascii="Verdana" w:hAnsi="Verdana"/>
                <w:bCs/>
                <w:i/>
                <w:iCs/>
                <w:lang w:val="es-CO"/>
              </w:rPr>
              <w:t xml:space="preserve">“(…) Las autoridades gubernamentales, mediante programas, proyectos y acciones propenderán por la reducción del déficit habitacional cuantitativo y cualitativo en el país, teniendo en cuenta las características y necesidades particulares de la población urbana y rural, así como la aplicación de un </w:t>
            </w:r>
            <w:r w:rsidRPr="00DB5DE6">
              <w:rPr>
                <w:rFonts w:ascii="Verdana" w:hAnsi="Verdana"/>
                <w:b/>
                <w:i/>
                <w:iCs/>
                <w:lang w:val="es-CO"/>
              </w:rPr>
              <w:t>enfoque diferencial</w:t>
            </w:r>
            <w:r w:rsidRPr="00DB5DE6">
              <w:rPr>
                <w:rFonts w:ascii="Verdana" w:hAnsi="Verdana"/>
                <w:bCs/>
                <w:i/>
                <w:iCs/>
                <w:lang w:val="es-CO"/>
              </w:rPr>
              <w:t xml:space="preserve"> y territorial a favor de los grupos poblacionales que por sus características sociales, étnicas, culturales, económicas, ecológicas o de género requieran de un reconocimiento especial. El Gobierno Nacional debe promover las condiciones para que la equidad en el acceso a una vivienda digna y hábitat sea real y efectiva, el reconocimiento, respeto, la protección y la garantía del derecho a una vivienda.</w:t>
            </w:r>
          </w:p>
          <w:p w14:paraId="63DF8EC6" w14:textId="77777777" w:rsidR="00B8624D" w:rsidRPr="00DB5DE6" w:rsidRDefault="00B8624D" w:rsidP="00B8624D">
            <w:pPr>
              <w:ind w:left="708"/>
              <w:jc w:val="both"/>
              <w:rPr>
                <w:rFonts w:ascii="Verdana" w:hAnsi="Verdana"/>
                <w:bCs/>
                <w:i/>
                <w:iCs/>
                <w:lang w:val="es-CO"/>
              </w:rPr>
            </w:pPr>
            <w:r w:rsidRPr="00DB5DE6">
              <w:rPr>
                <w:rFonts w:ascii="Verdana" w:hAnsi="Verdana"/>
                <w:bCs/>
                <w:i/>
                <w:iCs/>
                <w:lang w:val="es-CO"/>
              </w:rPr>
              <w:t>(…)</w:t>
            </w:r>
          </w:p>
          <w:p w14:paraId="127537F2" w14:textId="77777777" w:rsidR="00B8624D" w:rsidRPr="00DB5DE6" w:rsidRDefault="00B8624D" w:rsidP="00B8624D">
            <w:pPr>
              <w:ind w:left="708"/>
              <w:jc w:val="both"/>
              <w:rPr>
                <w:rFonts w:ascii="Verdana" w:hAnsi="Verdana"/>
                <w:bCs/>
                <w:i/>
                <w:iCs/>
                <w:lang w:val="es-CO"/>
              </w:rPr>
            </w:pPr>
          </w:p>
          <w:p w14:paraId="35EFF59D" w14:textId="77777777" w:rsidR="00B8624D" w:rsidRPr="00DB5DE6" w:rsidRDefault="00B8624D" w:rsidP="00870C2E">
            <w:pPr>
              <w:ind w:left="708"/>
              <w:jc w:val="both"/>
              <w:rPr>
                <w:rFonts w:ascii="Verdana" w:hAnsi="Verdana"/>
                <w:bCs/>
                <w:lang w:val="es-CO"/>
              </w:rPr>
            </w:pPr>
            <w:r w:rsidRPr="00DB5DE6">
              <w:rPr>
                <w:rFonts w:ascii="Verdana" w:hAnsi="Verdana"/>
                <w:b/>
                <w:i/>
                <w:iCs/>
                <w:lang w:val="es-CO"/>
              </w:rPr>
              <w:t>La política de vivienda y hábitat, a cargo del Gobierno nacional, incluirá un enfoque diferencial</w:t>
            </w:r>
            <w:r w:rsidRPr="00DB5DE6">
              <w:rPr>
                <w:rFonts w:ascii="Verdana" w:hAnsi="Verdana"/>
                <w:bCs/>
                <w:i/>
                <w:iCs/>
                <w:lang w:val="es-CO"/>
              </w:rPr>
              <w:t xml:space="preserve"> que reconozca las condiciones socio económicas y culturales de los pueblos indígenas, de las comunidades negras, afrocolombianas, raizales, palenqueras, campesinas y de grupos poblacionales específicos, </w:t>
            </w:r>
            <w:r w:rsidRPr="00DB5DE6">
              <w:rPr>
                <w:rFonts w:ascii="Verdana" w:hAnsi="Verdana"/>
                <w:b/>
                <w:i/>
                <w:iCs/>
                <w:lang w:val="es-CO"/>
              </w:rPr>
              <w:t>especialmente de la población víctima del conflicto armado</w:t>
            </w:r>
            <w:r w:rsidRPr="00DB5DE6">
              <w:rPr>
                <w:rFonts w:ascii="Verdana" w:hAnsi="Verdana"/>
                <w:bCs/>
                <w:i/>
                <w:iCs/>
                <w:lang w:val="es-CO"/>
              </w:rPr>
              <w:t xml:space="preserve">, incluyendo para esta última, el diseño de estrategias encaminadas a superar las barreras para la utilización de subsidios (…).” </w:t>
            </w:r>
            <w:r w:rsidRPr="00DB5DE6">
              <w:rPr>
                <w:rFonts w:ascii="Verdana" w:hAnsi="Verdana"/>
                <w:bCs/>
                <w:lang w:val="es-CO"/>
              </w:rPr>
              <w:t>Negrita fuera de texto.</w:t>
            </w:r>
          </w:p>
          <w:p w14:paraId="51AE5270" w14:textId="77777777" w:rsidR="00AB30B4" w:rsidRPr="00DB5DE6" w:rsidRDefault="00AB30B4" w:rsidP="00CF14E7">
            <w:pPr>
              <w:jc w:val="both"/>
              <w:rPr>
                <w:rFonts w:ascii="Verdana" w:hAnsi="Verdana"/>
                <w:bCs/>
                <w:lang w:val="es-CO"/>
              </w:rPr>
            </w:pPr>
          </w:p>
          <w:p w14:paraId="279D7AB1" w14:textId="77777777" w:rsidR="00AB30B4" w:rsidRPr="00DB5DE6" w:rsidRDefault="004A3A1F" w:rsidP="00CF14E7">
            <w:pPr>
              <w:jc w:val="both"/>
              <w:rPr>
                <w:rFonts w:ascii="Verdana" w:hAnsi="Verdana"/>
                <w:bCs/>
                <w:lang w:val="es-CO"/>
              </w:rPr>
            </w:pPr>
            <w:r>
              <w:rPr>
                <w:rFonts w:ascii="Verdana" w:hAnsi="Verdana"/>
                <w:bCs/>
                <w:lang w:val="es-CO"/>
              </w:rPr>
              <w:t>E</w:t>
            </w:r>
            <w:r w:rsidR="00AB30B4" w:rsidRPr="00DB5DE6">
              <w:rPr>
                <w:rFonts w:ascii="Verdana" w:hAnsi="Verdana"/>
                <w:bCs/>
                <w:lang w:val="es-CO"/>
              </w:rPr>
              <w:t>l Decreto 490 de 4 de abril de 2023 “</w:t>
            </w:r>
            <w:r w:rsidR="00AB30B4" w:rsidRPr="00DB5DE6">
              <w:rPr>
                <w:rFonts w:ascii="Verdana" w:hAnsi="Verdana"/>
                <w:bCs/>
                <w:i/>
                <w:iCs/>
                <w:lang w:val="es-CO"/>
              </w:rPr>
              <w:t>Por el cual se modifica parcialmente el Decreto 1077 de 2015, en lo relacionado con las condiciones del programa de promoción de acceso a la vivienda de interés social “Mi Casa Ya” y se dictan otras disposiciones</w:t>
            </w:r>
            <w:r w:rsidR="00AB30B4" w:rsidRPr="00DB5DE6">
              <w:rPr>
                <w:rFonts w:ascii="Verdana" w:hAnsi="Verdana"/>
                <w:bCs/>
                <w:lang w:val="es-CO"/>
              </w:rPr>
              <w:t>.”, realizó modificaciones al programa “Mi Casa Ya”, a través de las cuales mejoró la progresividad del mismo, incluyendo el SISBÉN IV como instrumento de focalización y generando condiciones de clasificación de los hogares, permitiendo el acceso prioritario de aquellos que cuenten con mayores condiciones de vulnerabilidad.</w:t>
            </w:r>
          </w:p>
          <w:p w14:paraId="5F789045" w14:textId="77777777" w:rsidR="00223159" w:rsidRPr="00DB5DE6" w:rsidRDefault="00223159" w:rsidP="00CF14E7">
            <w:pPr>
              <w:jc w:val="both"/>
              <w:rPr>
                <w:rFonts w:ascii="Verdana" w:hAnsi="Verdana"/>
                <w:bCs/>
                <w:lang w:val="es-CO"/>
              </w:rPr>
            </w:pPr>
          </w:p>
          <w:p w14:paraId="2F439B35" w14:textId="77777777" w:rsidR="00A46C7D" w:rsidRPr="00DB5DE6" w:rsidRDefault="00E656A2" w:rsidP="00CF14E7">
            <w:pPr>
              <w:jc w:val="both"/>
              <w:rPr>
                <w:rFonts w:ascii="Verdana" w:hAnsi="Verdana"/>
                <w:bCs/>
                <w:lang w:val="es-CO"/>
              </w:rPr>
            </w:pPr>
            <w:r>
              <w:rPr>
                <w:rFonts w:ascii="Verdana" w:hAnsi="Verdana"/>
                <w:bCs/>
                <w:lang w:val="es-CO"/>
              </w:rPr>
              <w:t>E</w:t>
            </w:r>
            <w:r w:rsidR="00223159" w:rsidRPr="00DB5DE6">
              <w:rPr>
                <w:rFonts w:ascii="Verdana" w:hAnsi="Verdana"/>
                <w:bCs/>
                <w:lang w:val="es-CO"/>
              </w:rPr>
              <w:t>l Plan Nacional de Desarrollo 2022 - 2026 “</w:t>
            </w:r>
            <w:r w:rsidR="00223159" w:rsidRPr="00DB5DE6">
              <w:rPr>
                <w:rFonts w:ascii="Verdana" w:hAnsi="Verdana"/>
                <w:bCs/>
                <w:i/>
                <w:iCs/>
                <w:lang w:val="es-CO"/>
              </w:rPr>
              <w:t>Colombia Potencia Mundial de la Vida</w:t>
            </w:r>
            <w:r w:rsidR="00223159" w:rsidRPr="00DB5DE6">
              <w:rPr>
                <w:rFonts w:ascii="Verdana" w:hAnsi="Verdana"/>
                <w:bCs/>
                <w:lang w:val="es-CO"/>
              </w:rPr>
              <w:t>”, adoptado mediante la Ley 2294 de</w:t>
            </w:r>
            <w:r w:rsidR="0069308B" w:rsidRPr="00DB5DE6">
              <w:rPr>
                <w:rFonts w:ascii="Verdana" w:hAnsi="Verdana"/>
                <w:bCs/>
                <w:lang w:val="es-CO"/>
              </w:rPr>
              <w:t>l 19 de mayo de</w:t>
            </w:r>
            <w:r w:rsidR="00223159" w:rsidRPr="00DB5DE6">
              <w:rPr>
                <w:rFonts w:ascii="Verdana" w:hAnsi="Verdana"/>
                <w:bCs/>
                <w:lang w:val="es-CO"/>
              </w:rPr>
              <w:t xml:space="preserve"> 2023, señala</w:t>
            </w:r>
            <w:r w:rsidR="00A46C7D" w:rsidRPr="00DB5DE6">
              <w:rPr>
                <w:rFonts w:ascii="Verdana" w:hAnsi="Verdana"/>
                <w:bCs/>
                <w:lang w:val="es-CO"/>
              </w:rPr>
              <w:t xml:space="preserve"> en su artículo 4° que: </w:t>
            </w:r>
          </w:p>
          <w:p w14:paraId="4FA6088F" w14:textId="77777777" w:rsidR="00A46C7D" w:rsidRPr="00DB5DE6" w:rsidRDefault="00A46C7D" w:rsidP="00CF14E7">
            <w:pPr>
              <w:jc w:val="both"/>
              <w:rPr>
                <w:rFonts w:ascii="Verdana" w:hAnsi="Verdana"/>
                <w:bCs/>
                <w:lang w:val="es-CO"/>
              </w:rPr>
            </w:pPr>
          </w:p>
          <w:p w14:paraId="2FA33AA7" w14:textId="77777777" w:rsidR="00A46C7D" w:rsidRPr="00DB5DE6" w:rsidRDefault="00A46C7D" w:rsidP="00A46C7D">
            <w:pPr>
              <w:ind w:left="708"/>
              <w:jc w:val="both"/>
              <w:rPr>
                <w:rFonts w:ascii="Verdana" w:hAnsi="Verdana"/>
                <w:bCs/>
                <w:i/>
                <w:iCs/>
                <w:lang w:val="es-CO"/>
              </w:rPr>
            </w:pPr>
            <w:r w:rsidRPr="00DB5DE6">
              <w:rPr>
                <w:rFonts w:ascii="Verdana" w:hAnsi="Verdana"/>
                <w:bCs/>
                <w:lang w:val="es-CO"/>
              </w:rPr>
              <w:t>“</w:t>
            </w:r>
            <w:r w:rsidRPr="00DB5DE6">
              <w:rPr>
                <w:rFonts w:ascii="Verdana" w:hAnsi="Verdana"/>
                <w:bCs/>
                <w:i/>
                <w:iCs/>
                <w:lang w:val="es-CO"/>
              </w:rPr>
              <w:t>Artículo 4°. Ejes transversales del Plan Nacional de Desarrollo.</w:t>
            </w:r>
          </w:p>
          <w:p w14:paraId="240DF74E" w14:textId="77777777" w:rsidR="00A46C7D" w:rsidRPr="00DB5DE6" w:rsidRDefault="00A46C7D" w:rsidP="00A46C7D">
            <w:pPr>
              <w:ind w:left="708"/>
              <w:jc w:val="both"/>
              <w:rPr>
                <w:rFonts w:ascii="Verdana" w:hAnsi="Verdana"/>
                <w:bCs/>
                <w:i/>
                <w:iCs/>
                <w:lang w:val="es-CO"/>
              </w:rPr>
            </w:pPr>
            <w:r w:rsidRPr="00DB5DE6">
              <w:rPr>
                <w:rFonts w:ascii="Verdana" w:hAnsi="Verdana"/>
                <w:bCs/>
                <w:i/>
                <w:iCs/>
                <w:lang w:val="es-CO"/>
              </w:rPr>
              <w:t>(…)</w:t>
            </w:r>
          </w:p>
          <w:p w14:paraId="46D52E9F" w14:textId="77777777" w:rsidR="00A46C7D" w:rsidRPr="00DB5DE6" w:rsidRDefault="00A46C7D" w:rsidP="004E2857">
            <w:pPr>
              <w:ind w:left="708"/>
              <w:jc w:val="both"/>
              <w:rPr>
                <w:rFonts w:ascii="Verdana" w:hAnsi="Verdana"/>
                <w:bCs/>
                <w:lang w:val="es-CO"/>
              </w:rPr>
            </w:pPr>
            <w:r w:rsidRPr="00DB5DE6">
              <w:rPr>
                <w:rFonts w:ascii="Verdana" w:hAnsi="Verdana"/>
                <w:b/>
                <w:i/>
                <w:iCs/>
                <w:lang w:val="es-CO"/>
              </w:rPr>
              <w:t>2. Los actores diferenciales para el cambio.</w:t>
            </w:r>
            <w:r w:rsidRPr="00DB5DE6">
              <w:rPr>
                <w:rFonts w:ascii="Verdana" w:hAnsi="Verdana"/>
                <w:bCs/>
                <w:i/>
                <w:iCs/>
                <w:lang w:val="es-CO"/>
              </w:rPr>
              <w:t xml:space="preserve"> El cambio que propone es con la población colombiana en todas sus diversidades para lograr transformaciones que nos lleven a una sociedad inclusiva, libre de estereotipos y estigmas, que supera las discriminaciones de tipo económico, social, religioso, cultural y político, así como las basadas en género, étnico-racial, generacionales, capacidades físicas, de identidad y orientación sexual, donde la diversidad será fuente de desarrollo sostenible y no de exclusión. De igual forma </w:t>
            </w:r>
            <w:r w:rsidRPr="00DB5DE6">
              <w:rPr>
                <w:rFonts w:ascii="Verdana" w:hAnsi="Verdana"/>
                <w:bCs/>
                <w:i/>
                <w:iCs/>
                <w:u w:val="single"/>
                <w:lang w:val="es-CO"/>
              </w:rPr>
              <w:t>busca superar las brechas ocasionadas por el conflicto armado</w:t>
            </w:r>
            <w:r w:rsidRPr="00DB5DE6">
              <w:rPr>
                <w:rFonts w:ascii="Verdana" w:hAnsi="Verdana"/>
                <w:bCs/>
                <w:i/>
                <w:iCs/>
                <w:lang w:val="es-CO"/>
              </w:rPr>
              <w:t xml:space="preserve"> y por las divisiones entre lo urbano y lo rural. </w:t>
            </w:r>
            <w:r w:rsidRPr="001A1F1A">
              <w:rPr>
                <w:rFonts w:ascii="Verdana" w:hAnsi="Verdana"/>
                <w:bCs/>
                <w:i/>
                <w:iCs/>
                <w:u w:val="single"/>
                <w:lang w:val="es-CO"/>
              </w:rPr>
              <w:t>Actores como las mujeres</w:t>
            </w:r>
            <w:r w:rsidRPr="00DB5DE6">
              <w:rPr>
                <w:rFonts w:ascii="Verdana" w:hAnsi="Verdana"/>
                <w:bCs/>
                <w:i/>
                <w:iCs/>
                <w:lang w:val="es-CO"/>
              </w:rPr>
              <w:t xml:space="preserve">, la comunidad LGBTIQ+, </w:t>
            </w:r>
            <w:r w:rsidRPr="00DB5DE6">
              <w:rPr>
                <w:rFonts w:ascii="Verdana" w:hAnsi="Verdana"/>
                <w:bCs/>
                <w:i/>
                <w:iCs/>
                <w:u w:val="single"/>
                <w:lang w:val="es-CO"/>
              </w:rPr>
              <w:t>las víctimas</w:t>
            </w:r>
            <w:r w:rsidRPr="00DB5DE6">
              <w:rPr>
                <w:rFonts w:ascii="Verdana" w:hAnsi="Verdana"/>
                <w:bCs/>
                <w:i/>
                <w:iCs/>
                <w:lang w:val="es-CO"/>
              </w:rPr>
              <w:t>, las niñas y los niños, las comunidades étnicas, los jóvenes, las personas con discapacidad y la comunidad campesina son parte integral de las transformaciones propuestas por este Plan.</w:t>
            </w:r>
            <w:r w:rsidR="004D5FE8" w:rsidRPr="00DB5DE6">
              <w:rPr>
                <w:rFonts w:ascii="Verdana" w:hAnsi="Verdana"/>
                <w:bCs/>
                <w:i/>
                <w:iCs/>
                <w:lang w:val="es-CO"/>
              </w:rPr>
              <w:t>”</w:t>
            </w:r>
            <w:r w:rsidR="004E2857" w:rsidRPr="00DB5DE6">
              <w:rPr>
                <w:rFonts w:ascii="Verdana" w:hAnsi="Verdana"/>
                <w:bCs/>
                <w:i/>
                <w:iCs/>
                <w:lang w:val="es-CO"/>
              </w:rPr>
              <w:t xml:space="preserve"> </w:t>
            </w:r>
            <w:r w:rsidRPr="00DB5DE6">
              <w:rPr>
                <w:rFonts w:ascii="Verdana" w:hAnsi="Verdana"/>
                <w:bCs/>
                <w:lang w:val="es-CO"/>
              </w:rPr>
              <w:t>Subrayado fuera de texto original.</w:t>
            </w:r>
          </w:p>
          <w:p w14:paraId="7B6A67F1" w14:textId="77777777" w:rsidR="00DA3C9F" w:rsidRPr="00DB5DE6" w:rsidRDefault="00DA3C9F" w:rsidP="00DA3C9F">
            <w:pPr>
              <w:jc w:val="both"/>
              <w:rPr>
                <w:rFonts w:ascii="Verdana" w:hAnsi="Verdana"/>
                <w:b/>
                <w:i/>
                <w:iCs/>
                <w:lang w:val="es-CO"/>
              </w:rPr>
            </w:pPr>
          </w:p>
          <w:p w14:paraId="3C22951E" w14:textId="77777777" w:rsidR="003651C8" w:rsidRDefault="00DA3C9F" w:rsidP="00DA3C9F">
            <w:pPr>
              <w:jc w:val="both"/>
              <w:rPr>
                <w:rFonts w:ascii="Verdana" w:hAnsi="Verdana"/>
                <w:bCs/>
                <w:lang w:val="es-CO"/>
              </w:rPr>
            </w:pPr>
            <w:r w:rsidRPr="00DB5DE6">
              <w:rPr>
                <w:rFonts w:ascii="Verdana" w:hAnsi="Verdana"/>
                <w:bCs/>
                <w:lang w:val="es-CO"/>
              </w:rPr>
              <w:t>Adicionalmente</w:t>
            </w:r>
            <w:r w:rsidR="003651C8" w:rsidRPr="00DB5DE6">
              <w:rPr>
                <w:rFonts w:ascii="Verdana" w:hAnsi="Verdana"/>
                <w:bCs/>
                <w:lang w:val="es-CO"/>
              </w:rPr>
              <w:t>, en el artículo 297 del PND se adicionó el inciso 5° al artículo 4° de la Ley 2079 de 2021, así:</w:t>
            </w:r>
          </w:p>
          <w:p w14:paraId="15BF7073" w14:textId="77777777" w:rsidR="00E656A2" w:rsidRPr="00DB5DE6" w:rsidRDefault="00E656A2" w:rsidP="00DA3C9F">
            <w:pPr>
              <w:jc w:val="both"/>
              <w:rPr>
                <w:rFonts w:ascii="Verdana" w:hAnsi="Verdana"/>
                <w:bCs/>
                <w:lang w:val="es-CO"/>
              </w:rPr>
            </w:pPr>
          </w:p>
          <w:p w14:paraId="6C49A95E" w14:textId="77777777" w:rsidR="00CE33CA" w:rsidRPr="00DB5DE6" w:rsidRDefault="003651C8" w:rsidP="00E656A2">
            <w:pPr>
              <w:ind w:left="708"/>
              <w:jc w:val="both"/>
              <w:rPr>
                <w:rFonts w:ascii="Verdana" w:hAnsi="Verdana"/>
                <w:bCs/>
                <w:lang w:val="es-CO"/>
              </w:rPr>
            </w:pPr>
            <w:r w:rsidRPr="00DB5DE6">
              <w:rPr>
                <w:rFonts w:ascii="Verdana" w:hAnsi="Verdana"/>
                <w:bCs/>
                <w:i/>
                <w:iCs/>
                <w:lang w:val="es-CO"/>
              </w:rPr>
              <w:t xml:space="preserve">“(…) </w:t>
            </w:r>
            <w:r w:rsidR="00750870" w:rsidRPr="00DB5DE6">
              <w:rPr>
                <w:rFonts w:ascii="Verdana" w:hAnsi="Verdana"/>
                <w:bCs/>
                <w:i/>
                <w:iCs/>
                <w:u w:val="single"/>
                <w:lang w:val="es-CO"/>
              </w:rPr>
              <w:t>La política de vivienda y hábitat, a cargo del Gobierno nacional, incluirá un enfoque diferencial</w:t>
            </w:r>
            <w:r w:rsidR="00750870" w:rsidRPr="00DB5DE6">
              <w:rPr>
                <w:rFonts w:ascii="Verdana" w:hAnsi="Verdana"/>
                <w:bCs/>
                <w:i/>
                <w:iCs/>
                <w:lang w:val="es-CO"/>
              </w:rPr>
              <w:t xml:space="preserve"> que reconozca las condiciones socio económicas y culturales de los pueblos indígenas, de las comunidades negras, afrocolombianas, raizales, palenqueras, campesinas y de grupos poblacionales específicos, </w:t>
            </w:r>
            <w:r w:rsidR="00750870" w:rsidRPr="00DB5DE6">
              <w:rPr>
                <w:rFonts w:ascii="Verdana" w:hAnsi="Verdana"/>
                <w:bCs/>
                <w:i/>
                <w:iCs/>
                <w:u w:val="single"/>
                <w:lang w:val="es-CO"/>
              </w:rPr>
              <w:t>especialmente de la población víctima del conflicto armado</w:t>
            </w:r>
            <w:r w:rsidR="00750870" w:rsidRPr="00DB5DE6">
              <w:rPr>
                <w:rFonts w:ascii="Verdana" w:hAnsi="Verdana"/>
                <w:bCs/>
                <w:i/>
                <w:iCs/>
                <w:lang w:val="es-CO"/>
              </w:rPr>
              <w:t>, incluyendo para esta última, el diseño de estrategias encaminadas a superar las barreras para la utilización de subsidios no aplicados en vigencias anteriores</w:t>
            </w:r>
            <w:r w:rsidRPr="00DB5DE6">
              <w:rPr>
                <w:rFonts w:ascii="Verdana" w:hAnsi="Verdana"/>
                <w:bCs/>
                <w:i/>
                <w:iCs/>
                <w:lang w:val="es-CO"/>
              </w:rPr>
              <w:t xml:space="preserve"> (…)</w:t>
            </w:r>
            <w:r w:rsidR="00750870" w:rsidRPr="00DB5DE6">
              <w:rPr>
                <w:rFonts w:ascii="Verdana" w:hAnsi="Verdana"/>
                <w:bCs/>
                <w:i/>
                <w:iCs/>
                <w:lang w:val="es-CO"/>
              </w:rPr>
              <w:t>.</w:t>
            </w:r>
            <w:r w:rsidRPr="00DB5DE6">
              <w:rPr>
                <w:rFonts w:ascii="Verdana" w:hAnsi="Verdana"/>
                <w:bCs/>
                <w:i/>
                <w:iCs/>
                <w:lang w:val="es-CO"/>
              </w:rPr>
              <w:t>”</w:t>
            </w:r>
            <w:r w:rsidR="003B2C19" w:rsidRPr="00DB5DE6">
              <w:rPr>
                <w:rFonts w:ascii="Verdana" w:hAnsi="Verdana"/>
                <w:bCs/>
                <w:i/>
                <w:iCs/>
                <w:lang w:val="es-CO"/>
              </w:rPr>
              <w:t xml:space="preserve"> </w:t>
            </w:r>
            <w:r w:rsidR="003B2C19" w:rsidRPr="00DB5DE6">
              <w:rPr>
                <w:rFonts w:ascii="Verdana" w:hAnsi="Verdana"/>
                <w:bCs/>
                <w:lang w:val="es-CO"/>
              </w:rPr>
              <w:t>Subrayado fuera de texto original.</w:t>
            </w:r>
          </w:p>
          <w:p w14:paraId="60F360D3" w14:textId="77777777" w:rsidR="00B31078" w:rsidRDefault="00B31078" w:rsidP="008B48A8">
            <w:pPr>
              <w:jc w:val="both"/>
              <w:rPr>
                <w:rFonts w:ascii="Verdana" w:hAnsi="Verdana"/>
                <w:bCs/>
                <w:i/>
                <w:iCs/>
                <w:lang w:val="es-CO"/>
              </w:rPr>
            </w:pPr>
          </w:p>
          <w:p w14:paraId="73D66B38" w14:textId="77777777" w:rsidR="008B48A8" w:rsidRPr="00DB5DE6" w:rsidRDefault="008B48A8" w:rsidP="008B48A8">
            <w:pPr>
              <w:pStyle w:val="NormalWeb"/>
              <w:spacing w:before="0" w:beforeAutospacing="0" w:after="0" w:afterAutospacing="0" w:line="273" w:lineRule="atLeast"/>
              <w:jc w:val="both"/>
              <w:rPr>
                <w:rFonts w:ascii="Verdana" w:eastAsia="Calibri" w:hAnsi="Verdana" w:cs="Times New Roman"/>
                <w:kern w:val="2"/>
                <w:sz w:val="20"/>
                <w:szCs w:val="20"/>
                <w:lang w:val="es-CO" w:eastAsia="en-US"/>
              </w:rPr>
            </w:pPr>
            <w:r w:rsidRPr="00DB5DE6">
              <w:rPr>
                <w:rFonts w:ascii="Verdana" w:eastAsia="Calibri" w:hAnsi="Verdana" w:cs="Times New Roman"/>
                <w:kern w:val="2"/>
                <w:sz w:val="20"/>
                <w:szCs w:val="20"/>
                <w:lang w:val="es-CO" w:eastAsia="en-US"/>
              </w:rPr>
              <w:t>En el mismo sentido, el artículo 20 de la Ley 2294 de 2023, modificó el artículo 3º del Decreto Ley 897 de 2017, en el cual se establece la creación del Programa de Reincorporación Integral, dirigido a</w:t>
            </w:r>
            <w:r w:rsidR="006767E2">
              <w:rPr>
                <w:rFonts w:ascii="Verdana" w:eastAsia="Calibri" w:hAnsi="Verdana" w:cs="Times New Roman"/>
                <w:kern w:val="2"/>
                <w:sz w:val="20"/>
                <w:szCs w:val="20"/>
                <w:lang w:val="es-CO" w:eastAsia="en-US"/>
              </w:rPr>
              <w:t>:</w:t>
            </w:r>
            <w:r w:rsidRPr="00DB5DE6">
              <w:rPr>
                <w:rFonts w:ascii="Verdana" w:eastAsia="Calibri" w:hAnsi="Verdana" w:cs="Times New Roman"/>
                <w:kern w:val="2"/>
                <w:sz w:val="20"/>
                <w:szCs w:val="20"/>
                <w:lang w:val="es-CO" w:eastAsia="en-US"/>
              </w:rPr>
              <w:t> </w:t>
            </w:r>
          </w:p>
          <w:p w14:paraId="03DC4B1E" w14:textId="77777777" w:rsidR="008B48A8" w:rsidRPr="00DB5DE6" w:rsidRDefault="008B48A8" w:rsidP="008B48A8">
            <w:pPr>
              <w:pStyle w:val="NormalWeb"/>
              <w:spacing w:before="0" w:beforeAutospacing="0" w:after="0" w:afterAutospacing="0" w:line="273" w:lineRule="atLeast"/>
              <w:jc w:val="both"/>
              <w:rPr>
                <w:rFonts w:ascii="Verdana" w:eastAsia="Calibri" w:hAnsi="Verdana" w:cs="Times New Roman"/>
                <w:kern w:val="2"/>
                <w:sz w:val="20"/>
                <w:szCs w:val="20"/>
                <w:lang w:val="es-CO" w:eastAsia="en-US"/>
              </w:rPr>
            </w:pPr>
          </w:p>
          <w:p w14:paraId="353A7678" w14:textId="77777777" w:rsidR="008B48A8" w:rsidRPr="00DB5DE6" w:rsidRDefault="008B48A8" w:rsidP="008B48A8">
            <w:pPr>
              <w:pStyle w:val="NormalWeb"/>
              <w:spacing w:before="0" w:beforeAutospacing="0" w:after="0" w:afterAutospacing="0" w:line="273" w:lineRule="atLeast"/>
              <w:ind w:left="708"/>
              <w:jc w:val="both"/>
              <w:rPr>
                <w:rFonts w:ascii="Verdana" w:eastAsia="Calibri" w:hAnsi="Verdana" w:cs="Times New Roman"/>
                <w:kern w:val="2"/>
                <w:sz w:val="20"/>
                <w:szCs w:val="20"/>
                <w:lang w:val="es-CO" w:eastAsia="en-US"/>
              </w:rPr>
            </w:pPr>
            <w:r w:rsidRPr="00DB5DE6">
              <w:rPr>
                <w:rFonts w:ascii="Verdana" w:eastAsia="Calibri" w:hAnsi="Verdana" w:cs="Times New Roman"/>
                <w:i/>
                <w:iCs/>
                <w:kern w:val="2"/>
                <w:sz w:val="20"/>
                <w:szCs w:val="20"/>
                <w:lang w:val="es-CO" w:eastAsia="en-US"/>
              </w:rPr>
              <w:t>“(...)</w:t>
            </w:r>
            <w:r w:rsidR="006767E2">
              <w:rPr>
                <w:rFonts w:ascii="Verdana" w:eastAsia="Calibri" w:hAnsi="Verdana" w:cs="Times New Roman"/>
                <w:i/>
                <w:iCs/>
                <w:kern w:val="2"/>
                <w:sz w:val="20"/>
                <w:szCs w:val="20"/>
                <w:lang w:val="es-CO" w:eastAsia="en-US"/>
              </w:rPr>
              <w:t xml:space="preserve"> </w:t>
            </w:r>
            <w:r w:rsidRPr="00DB5DE6">
              <w:rPr>
                <w:rFonts w:ascii="Verdana" w:eastAsia="Calibri" w:hAnsi="Verdana" w:cs="Times New Roman"/>
                <w:i/>
                <w:iCs/>
                <w:kern w:val="2"/>
                <w:sz w:val="20"/>
                <w:szCs w:val="20"/>
                <w:lang w:val="es-CO" w:eastAsia="en-US"/>
              </w:rPr>
              <w:t>generar capacidades en sujetos y colectivos en proceso de reincorporación social, económica y comunitaria orientadas hacia el alcance del buen vivir y la construcción de paz; por medio del acceso y goce efectivo de derechos, la vinculación a la oferta pública y el impulso de sus iniciativas, para lo cual contará con cinco líneas transversales </w:t>
            </w:r>
            <w:r w:rsidRPr="00DB5DE6">
              <w:rPr>
                <w:rFonts w:ascii="Verdana" w:eastAsia="Calibri" w:hAnsi="Verdana" w:cs="Times New Roman"/>
                <w:kern w:val="2"/>
                <w:sz w:val="20"/>
                <w:szCs w:val="20"/>
                <w:lang w:val="es-CO" w:eastAsia="en-US"/>
              </w:rPr>
              <w:t> </w:t>
            </w:r>
          </w:p>
          <w:p w14:paraId="1EDFB8C1" w14:textId="77777777" w:rsidR="008B48A8" w:rsidRPr="00DB5DE6" w:rsidRDefault="008B48A8" w:rsidP="008B48A8">
            <w:pPr>
              <w:pStyle w:val="NormalWeb"/>
              <w:spacing w:before="0" w:beforeAutospacing="0" w:after="0" w:afterAutospacing="0" w:line="273" w:lineRule="atLeast"/>
              <w:ind w:left="708"/>
              <w:jc w:val="both"/>
              <w:rPr>
                <w:rFonts w:ascii="Verdana" w:eastAsia="Calibri" w:hAnsi="Verdana" w:cs="Times New Roman"/>
                <w:kern w:val="2"/>
                <w:sz w:val="20"/>
                <w:szCs w:val="20"/>
                <w:lang w:val="es-CO" w:eastAsia="en-US"/>
              </w:rPr>
            </w:pPr>
            <w:r w:rsidRPr="00DB5DE6">
              <w:rPr>
                <w:rFonts w:ascii="Verdana" w:eastAsia="Calibri" w:hAnsi="Verdana" w:cs="Times New Roman"/>
                <w:kern w:val="2"/>
                <w:sz w:val="20"/>
                <w:szCs w:val="20"/>
                <w:lang w:val="es-CO" w:eastAsia="en-US"/>
              </w:rPr>
              <w:t>  </w:t>
            </w:r>
          </w:p>
          <w:p w14:paraId="07BF91D1" w14:textId="77777777" w:rsidR="008B48A8" w:rsidRPr="00DB5DE6" w:rsidRDefault="008B48A8" w:rsidP="00342E90">
            <w:pPr>
              <w:pStyle w:val="NormalWeb"/>
              <w:numPr>
                <w:ilvl w:val="0"/>
                <w:numId w:val="5"/>
              </w:numPr>
              <w:spacing w:before="0" w:beforeAutospacing="0" w:after="0" w:afterAutospacing="0" w:line="273" w:lineRule="atLeast"/>
              <w:ind w:left="1428"/>
              <w:jc w:val="both"/>
              <w:rPr>
                <w:rFonts w:ascii="Verdana" w:eastAsia="Calibri" w:hAnsi="Verdana" w:cs="Times New Roman"/>
                <w:i/>
                <w:iCs/>
                <w:kern w:val="2"/>
                <w:sz w:val="20"/>
                <w:szCs w:val="20"/>
                <w:lang w:val="es-CO" w:eastAsia="en-US"/>
              </w:rPr>
            </w:pPr>
            <w:r w:rsidRPr="00DB5DE6">
              <w:rPr>
                <w:rFonts w:ascii="Verdana" w:eastAsia="Calibri" w:hAnsi="Verdana" w:cs="Times New Roman"/>
                <w:i/>
                <w:iCs/>
                <w:kern w:val="2"/>
                <w:sz w:val="20"/>
                <w:szCs w:val="20"/>
                <w:lang w:val="es-CO" w:eastAsia="en-US"/>
              </w:rPr>
              <w:t>Acceso a tierras para proyectos productivos y de vivienda;  </w:t>
            </w:r>
          </w:p>
          <w:p w14:paraId="5B49C043" w14:textId="77777777" w:rsidR="008B48A8" w:rsidRPr="00DB5DE6" w:rsidRDefault="008B48A8" w:rsidP="00342E90">
            <w:pPr>
              <w:pStyle w:val="NormalWeb"/>
              <w:numPr>
                <w:ilvl w:val="0"/>
                <w:numId w:val="5"/>
              </w:numPr>
              <w:spacing w:before="0" w:beforeAutospacing="0" w:after="0" w:afterAutospacing="0" w:line="273" w:lineRule="atLeast"/>
              <w:ind w:left="1428"/>
              <w:jc w:val="both"/>
              <w:rPr>
                <w:rFonts w:ascii="Verdana" w:eastAsia="Calibri" w:hAnsi="Verdana" w:cs="Times New Roman"/>
                <w:i/>
                <w:iCs/>
                <w:kern w:val="2"/>
                <w:sz w:val="20"/>
                <w:szCs w:val="20"/>
                <w:lang w:val="es-CO" w:eastAsia="en-US"/>
              </w:rPr>
            </w:pPr>
            <w:r w:rsidRPr="00DB5DE6">
              <w:rPr>
                <w:rFonts w:ascii="Verdana" w:eastAsia="Calibri" w:hAnsi="Verdana" w:cs="Times New Roman"/>
                <w:i/>
                <w:kern w:val="2"/>
                <w:sz w:val="20"/>
                <w:szCs w:val="20"/>
                <w:lang w:val="es-CO" w:eastAsia="en-US"/>
              </w:rPr>
              <w:t>Abordaje diferencial: enfoque de derechos, de género, étnico, curso de vida, dis</w:t>
            </w:r>
            <w:r w:rsidRPr="00DB5DE6">
              <w:rPr>
                <w:rFonts w:ascii="Verdana" w:eastAsia="Calibri" w:hAnsi="Verdana" w:cs="Times New Roman"/>
                <w:i/>
                <w:kern w:val="2"/>
                <w:sz w:val="20"/>
                <w:szCs w:val="20"/>
                <w:lang w:val="es-CO" w:eastAsia="en-US"/>
              </w:rPr>
              <w:softHyphen/>
              <w:t>capacidad, comunitario, ambiental y territorial; </w:t>
            </w:r>
            <w:r w:rsidRPr="00DB5DE6">
              <w:rPr>
                <w:rFonts w:ascii="Verdana" w:eastAsia="Calibri" w:hAnsi="Verdana" w:cs="Times New Roman"/>
                <w:i/>
                <w:iCs/>
                <w:kern w:val="2"/>
                <w:sz w:val="20"/>
                <w:szCs w:val="20"/>
                <w:lang w:val="es-CO" w:eastAsia="en-US"/>
              </w:rPr>
              <w:t> </w:t>
            </w:r>
          </w:p>
          <w:p w14:paraId="3761B32A" w14:textId="77777777" w:rsidR="008B48A8" w:rsidRPr="00DB5DE6" w:rsidRDefault="008B48A8" w:rsidP="00342E90">
            <w:pPr>
              <w:pStyle w:val="NormalWeb"/>
              <w:numPr>
                <w:ilvl w:val="0"/>
                <w:numId w:val="5"/>
              </w:numPr>
              <w:spacing w:before="0" w:beforeAutospacing="0" w:after="0" w:afterAutospacing="0" w:line="273" w:lineRule="atLeast"/>
              <w:ind w:left="1428"/>
              <w:jc w:val="both"/>
              <w:rPr>
                <w:rFonts w:ascii="Verdana" w:eastAsia="Calibri" w:hAnsi="Verdana" w:cs="Times New Roman"/>
                <w:i/>
                <w:iCs/>
                <w:kern w:val="2"/>
                <w:sz w:val="20"/>
                <w:szCs w:val="20"/>
                <w:lang w:val="es-CO" w:eastAsia="en-US"/>
              </w:rPr>
            </w:pPr>
            <w:r w:rsidRPr="00DB5DE6">
              <w:rPr>
                <w:rFonts w:ascii="Verdana" w:eastAsia="Calibri" w:hAnsi="Verdana" w:cs="Times New Roman"/>
                <w:i/>
                <w:kern w:val="2"/>
                <w:sz w:val="20"/>
                <w:szCs w:val="20"/>
                <w:lang w:val="es-CO" w:eastAsia="en-US"/>
              </w:rPr>
              <w:t>Seguridad orientada a la prevención temprana; </w:t>
            </w:r>
            <w:r w:rsidRPr="00DB5DE6">
              <w:rPr>
                <w:rFonts w:ascii="Verdana" w:eastAsia="Calibri" w:hAnsi="Verdana" w:cs="Times New Roman"/>
                <w:i/>
                <w:iCs/>
                <w:kern w:val="2"/>
                <w:sz w:val="20"/>
                <w:szCs w:val="20"/>
                <w:lang w:val="es-CO" w:eastAsia="en-US"/>
              </w:rPr>
              <w:t> </w:t>
            </w:r>
          </w:p>
          <w:p w14:paraId="3A233085" w14:textId="77777777" w:rsidR="008B48A8" w:rsidRPr="00DB5DE6" w:rsidRDefault="008B48A8" w:rsidP="00342E90">
            <w:pPr>
              <w:pStyle w:val="NormalWeb"/>
              <w:numPr>
                <w:ilvl w:val="0"/>
                <w:numId w:val="5"/>
              </w:numPr>
              <w:spacing w:before="0" w:beforeAutospacing="0" w:after="0" w:afterAutospacing="0" w:line="273" w:lineRule="atLeast"/>
              <w:ind w:left="1428"/>
              <w:jc w:val="both"/>
              <w:rPr>
                <w:rFonts w:ascii="Verdana" w:eastAsia="Calibri" w:hAnsi="Verdana" w:cs="Times New Roman"/>
                <w:i/>
                <w:iCs/>
                <w:kern w:val="2"/>
                <w:sz w:val="20"/>
                <w:szCs w:val="20"/>
                <w:lang w:val="es-CO" w:eastAsia="en-US"/>
              </w:rPr>
            </w:pPr>
            <w:r w:rsidRPr="00DB5DE6">
              <w:rPr>
                <w:rFonts w:ascii="Verdana" w:eastAsia="Calibri" w:hAnsi="Verdana" w:cs="Times New Roman"/>
                <w:i/>
                <w:kern w:val="2"/>
                <w:sz w:val="20"/>
                <w:szCs w:val="20"/>
                <w:lang w:val="es-CO" w:eastAsia="en-US"/>
              </w:rPr>
              <w:t>Enfoque territorial; y </w:t>
            </w:r>
            <w:r w:rsidRPr="00DB5DE6">
              <w:rPr>
                <w:rFonts w:ascii="Verdana" w:eastAsia="Calibri" w:hAnsi="Verdana" w:cs="Times New Roman"/>
                <w:i/>
                <w:iCs/>
                <w:kern w:val="2"/>
                <w:sz w:val="20"/>
                <w:szCs w:val="20"/>
                <w:lang w:val="es-CO" w:eastAsia="en-US"/>
              </w:rPr>
              <w:t> </w:t>
            </w:r>
          </w:p>
          <w:p w14:paraId="7309251F" w14:textId="77777777" w:rsidR="008B48A8" w:rsidRPr="00DB5DE6" w:rsidRDefault="008B48A8" w:rsidP="00342E90">
            <w:pPr>
              <w:pStyle w:val="NormalWeb"/>
              <w:numPr>
                <w:ilvl w:val="0"/>
                <w:numId w:val="5"/>
              </w:numPr>
              <w:spacing w:before="0" w:beforeAutospacing="0" w:after="0" w:afterAutospacing="0" w:line="273" w:lineRule="atLeast"/>
              <w:ind w:left="1428"/>
              <w:jc w:val="both"/>
              <w:rPr>
                <w:rFonts w:ascii="Verdana" w:eastAsia="Calibri" w:hAnsi="Verdana" w:cs="Times New Roman"/>
                <w:i/>
                <w:iCs/>
                <w:kern w:val="2"/>
                <w:sz w:val="20"/>
                <w:szCs w:val="20"/>
                <w:lang w:val="es-CO" w:eastAsia="en-US"/>
              </w:rPr>
            </w:pPr>
            <w:r w:rsidRPr="00DB5DE6">
              <w:rPr>
                <w:rFonts w:ascii="Verdana" w:eastAsia="Calibri" w:hAnsi="Verdana" w:cs="Times New Roman"/>
                <w:i/>
                <w:kern w:val="2"/>
                <w:sz w:val="20"/>
                <w:szCs w:val="20"/>
                <w:lang w:val="es-CO" w:eastAsia="en-US"/>
              </w:rPr>
              <w:t>Participación política y ciudadana</w:t>
            </w:r>
            <w:r w:rsidR="00F16BFD">
              <w:rPr>
                <w:rFonts w:ascii="Verdana" w:eastAsia="Calibri" w:hAnsi="Verdana" w:cs="Times New Roman"/>
                <w:i/>
                <w:kern w:val="2"/>
                <w:sz w:val="20"/>
                <w:szCs w:val="20"/>
                <w:lang w:val="es-CO" w:eastAsia="en-US"/>
              </w:rPr>
              <w:t xml:space="preserve"> </w:t>
            </w:r>
            <w:r w:rsidRPr="00DB5DE6">
              <w:rPr>
                <w:rFonts w:ascii="Verdana" w:eastAsia="Calibri" w:hAnsi="Verdana" w:cs="Times New Roman"/>
                <w:i/>
                <w:kern w:val="2"/>
                <w:sz w:val="20"/>
                <w:szCs w:val="20"/>
                <w:lang w:val="es-CO" w:eastAsia="en-US"/>
              </w:rPr>
              <w:t>(…)”</w:t>
            </w:r>
          </w:p>
          <w:p w14:paraId="40E2090D" w14:textId="77777777" w:rsidR="008B48A8" w:rsidRPr="00DB5DE6" w:rsidRDefault="008B48A8" w:rsidP="008B48A8">
            <w:pPr>
              <w:pStyle w:val="NormalWeb"/>
              <w:spacing w:before="0" w:beforeAutospacing="0" w:after="0" w:afterAutospacing="0" w:line="273" w:lineRule="atLeast"/>
              <w:jc w:val="both"/>
              <w:rPr>
                <w:rFonts w:ascii="Verdana" w:eastAsia="Calibri" w:hAnsi="Verdana" w:cs="Times New Roman"/>
                <w:i/>
                <w:kern w:val="2"/>
                <w:sz w:val="20"/>
                <w:szCs w:val="20"/>
                <w:lang w:val="es-CO" w:eastAsia="en-US"/>
              </w:rPr>
            </w:pPr>
          </w:p>
          <w:p w14:paraId="3A821C0D" w14:textId="77777777" w:rsidR="008B48A8" w:rsidRPr="00DB5DE6" w:rsidRDefault="009D3C0D" w:rsidP="008B48A8">
            <w:pPr>
              <w:pStyle w:val="NormalWeb"/>
              <w:spacing w:before="0" w:beforeAutospacing="0" w:after="0" w:afterAutospacing="0" w:line="273" w:lineRule="atLeast"/>
              <w:jc w:val="both"/>
              <w:rPr>
                <w:rFonts w:ascii="Verdana" w:eastAsia="Calibri" w:hAnsi="Verdana" w:cs="Times New Roman"/>
                <w:kern w:val="2"/>
                <w:sz w:val="20"/>
                <w:szCs w:val="20"/>
                <w:lang w:val="es-CO" w:eastAsia="en-US"/>
              </w:rPr>
            </w:pPr>
            <w:r>
              <w:rPr>
                <w:rFonts w:ascii="Verdana" w:eastAsia="Calibri" w:hAnsi="Verdana" w:cs="Times New Roman"/>
                <w:kern w:val="2"/>
                <w:sz w:val="20"/>
                <w:szCs w:val="20"/>
                <w:lang w:val="es-CO" w:eastAsia="en-US"/>
              </w:rPr>
              <w:lastRenderedPageBreak/>
              <w:t>Por consiguiente</w:t>
            </w:r>
            <w:r w:rsidR="008B48A8" w:rsidRPr="00DB5DE6">
              <w:rPr>
                <w:rFonts w:ascii="Verdana" w:eastAsia="Calibri" w:hAnsi="Verdana" w:cs="Times New Roman"/>
                <w:kern w:val="2"/>
                <w:sz w:val="20"/>
                <w:szCs w:val="20"/>
                <w:lang w:val="es-CO" w:eastAsia="en-US"/>
              </w:rPr>
              <w:t xml:space="preserve">, se establece la necesidad del </w:t>
            </w:r>
            <w:r w:rsidR="006A5907">
              <w:rPr>
                <w:rFonts w:ascii="Verdana" w:eastAsia="Calibri" w:hAnsi="Verdana" w:cs="Times New Roman"/>
                <w:kern w:val="2"/>
                <w:sz w:val="20"/>
                <w:szCs w:val="20"/>
                <w:lang w:val="es-CO" w:eastAsia="en-US"/>
              </w:rPr>
              <w:t>E</w:t>
            </w:r>
            <w:r w:rsidR="008B48A8" w:rsidRPr="00DB5DE6">
              <w:rPr>
                <w:rFonts w:ascii="Verdana" w:eastAsia="Calibri" w:hAnsi="Verdana" w:cs="Times New Roman"/>
                <w:kern w:val="2"/>
                <w:sz w:val="20"/>
                <w:szCs w:val="20"/>
                <w:lang w:val="es-CO" w:eastAsia="en-US"/>
              </w:rPr>
              <w:t>stado de establecer iniciativas y una oferta pública que permita el acceso progresivo al derecho a la vivienda por parte de la población en proceso de reincorporación como parte de las acciones para la consolidación y construcción de paz.</w:t>
            </w:r>
          </w:p>
          <w:p w14:paraId="2C7B00E1" w14:textId="77777777" w:rsidR="008B48A8" w:rsidRPr="00DB5DE6" w:rsidRDefault="008B48A8" w:rsidP="008B48A8">
            <w:pPr>
              <w:pStyle w:val="NormalWeb"/>
              <w:spacing w:before="0" w:beforeAutospacing="0" w:after="0" w:afterAutospacing="0" w:line="273" w:lineRule="atLeast"/>
              <w:jc w:val="both"/>
              <w:rPr>
                <w:rFonts w:ascii="Verdana" w:eastAsia="Calibri" w:hAnsi="Verdana" w:cs="Times New Roman"/>
                <w:kern w:val="2"/>
                <w:sz w:val="20"/>
                <w:szCs w:val="20"/>
                <w:lang w:val="es-CO" w:eastAsia="en-US"/>
              </w:rPr>
            </w:pPr>
          </w:p>
          <w:p w14:paraId="05DD8FA2" w14:textId="77777777" w:rsidR="008B48A8" w:rsidRPr="00DB5DE6" w:rsidRDefault="008B48A8" w:rsidP="008B48A8">
            <w:pPr>
              <w:pStyle w:val="NormalWeb"/>
              <w:spacing w:before="0" w:beforeAutospacing="0" w:after="0" w:afterAutospacing="0" w:line="273" w:lineRule="atLeast"/>
              <w:jc w:val="both"/>
              <w:rPr>
                <w:rFonts w:ascii="Arial" w:hAnsi="Arial" w:cs="Arial"/>
                <w:color w:val="000000"/>
                <w:sz w:val="20"/>
                <w:szCs w:val="20"/>
                <w:lang w:val="es-CO"/>
              </w:rPr>
            </w:pPr>
            <w:r w:rsidRPr="00DB5DE6">
              <w:rPr>
                <w:rFonts w:ascii="Verdana" w:eastAsia="Calibri" w:hAnsi="Verdana" w:cs="Times New Roman"/>
                <w:kern w:val="2"/>
                <w:sz w:val="20"/>
                <w:szCs w:val="20"/>
                <w:lang w:val="es-CO" w:eastAsia="en-US"/>
              </w:rPr>
              <w:t xml:space="preserve">Asimismo, </w:t>
            </w:r>
            <w:r w:rsidR="006A5907" w:rsidRPr="00DB5DE6">
              <w:rPr>
                <w:rFonts w:ascii="Verdana" w:eastAsia="Calibri" w:hAnsi="Verdana" w:cs="Times New Roman"/>
                <w:kern w:val="2"/>
                <w:sz w:val="20"/>
                <w:szCs w:val="20"/>
                <w:lang w:val="es-CO" w:eastAsia="en-US"/>
              </w:rPr>
              <w:t>en el marco de la estructura del Programa de Reincorporación Integral</w:t>
            </w:r>
            <w:r w:rsidR="006A5907">
              <w:rPr>
                <w:rFonts w:ascii="Verdana" w:eastAsia="Calibri" w:hAnsi="Verdana" w:cs="Times New Roman"/>
                <w:kern w:val="2"/>
                <w:sz w:val="20"/>
                <w:szCs w:val="20"/>
                <w:lang w:val="es-CO" w:eastAsia="en-US"/>
              </w:rPr>
              <w:t xml:space="preserve">, </w:t>
            </w:r>
            <w:r w:rsidR="006A5907" w:rsidRPr="00DB5DE6">
              <w:rPr>
                <w:rFonts w:ascii="Verdana" w:eastAsia="Calibri" w:hAnsi="Verdana" w:cs="Times New Roman"/>
                <w:kern w:val="2"/>
                <w:sz w:val="20"/>
                <w:szCs w:val="20"/>
                <w:lang w:val="es-CO" w:eastAsia="en-US"/>
              </w:rPr>
              <w:t xml:space="preserve">el Decreto </w:t>
            </w:r>
            <w:r w:rsidR="006A5907">
              <w:rPr>
                <w:rFonts w:ascii="Verdana" w:eastAsia="Calibri" w:hAnsi="Verdana" w:cs="Times New Roman"/>
                <w:kern w:val="2"/>
                <w:sz w:val="20"/>
                <w:szCs w:val="20"/>
                <w:lang w:val="es-CO" w:eastAsia="en-US"/>
              </w:rPr>
              <w:t>0</w:t>
            </w:r>
            <w:r w:rsidR="006A5907" w:rsidRPr="00DB5DE6">
              <w:rPr>
                <w:rFonts w:ascii="Verdana" w:eastAsia="Calibri" w:hAnsi="Verdana" w:cs="Times New Roman"/>
                <w:kern w:val="2"/>
                <w:sz w:val="20"/>
                <w:szCs w:val="20"/>
                <w:lang w:val="es-CO" w:eastAsia="en-US"/>
              </w:rPr>
              <w:t xml:space="preserve">846 </w:t>
            </w:r>
            <w:r w:rsidR="00973B10">
              <w:rPr>
                <w:rFonts w:ascii="Verdana" w:eastAsia="Calibri" w:hAnsi="Verdana" w:cs="Times New Roman"/>
                <w:kern w:val="2"/>
                <w:sz w:val="20"/>
                <w:szCs w:val="20"/>
                <w:lang w:val="es-CO" w:eastAsia="en-US"/>
              </w:rPr>
              <w:t xml:space="preserve">del 4 de julio </w:t>
            </w:r>
            <w:r w:rsidR="006A5907" w:rsidRPr="00DB5DE6">
              <w:rPr>
                <w:rFonts w:ascii="Verdana" w:eastAsia="Calibri" w:hAnsi="Verdana" w:cs="Times New Roman"/>
                <w:kern w:val="2"/>
                <w:sz w:val="20"/>
                <w:szCs w:val="20"/>
                <w:lang w:val="es-CO" w:eastAsia="en-US"/>
              </w:rPr>
              <w:t>de 2024</w:t>
            </w:r>
            <w:r w:rsidR="00973B10">
              <w:rPr>
                <w:rFonts w:ascii="Verdana" w:eastAsia="Calibri" w:hAnsi="Verdana" w:cs="Times New Roman"/>
                <w:kern w:val="2"/>
                <w:sz w:val="20"/>
                <w:szCs w:val="20"/>
                <w:lang w:val="es-CO" w:eastAsia="en-US"/>
              </w:rPr>
              <w:t xml:space="preserve">, </w:t>
            </w:r>
            <w:r w:rsidR="00973B10" w:rsidRPr="00973B10">
              <w:rPr>
                <w:rFonts w:ascii="Verdana" w:eastAsia="Calibri" w:hAnsi="Verdana" w:cs="Times New Roman"/>
                <w:kern w:val="2"/>
                <w:sz w:val="20"/>
                <w:szCs w:val="20"/>
                <w:lang w:eastAsia="en-US"/>
              </w:rPr>
              <w:t>"</w:t>
            </w:r>
            <w:r w:rsidR="00973B10" w:rsidRPr="00973B10">
              <w:rPr>
                <w:rFonts w:ascii="Verdana" w:eastAsia="Calibri" w:hAnsi="Verdana" w:cs="Times New Roman"/>
                <w:i/>
                <w:iCs/>
                <w:kern w:val="2"/>
                <w:sz w:val="20"/>
                <w:szCs w:val="20"/>
                <w:lang w:eastAsia="en-US"/>
              </w:rPr>
              <w:t xml:space="preserve">Por medio del cual se adicionan los capítulos 5 y 6 al Título 2, Parte 3 del Libro 2 del Decreto 1081 de 2015 y se reglamentan los artículos 19 y 20 de la Ley 2294 de 2023" </w:t>
            </w:r>
            <w:r w:rsidRPr="00973B10">
              <w:rPr>
                <w:rFonts w:ascii="Verdana" w:eastAsia="Calibri" w:hAnsi="Verdana" w:cs="Times New Roman"/>
                <w:i/>
                <w:iCs/>
                <w:kern w:val="2"/>
                <w:sz w:val="20"/>
                <w:szCs w:val="20"/>
                <w:lang w:val="es-CO" w:eastAsia="en-US"/>
              </w:rPr>
              <w:t>en su artículo 2.3.2.6.1.1 plantea como parte de las líneas transversales del programa el “Acceso a Tierras para proyectos productivos y de vivienda</w:t>
            </w:r>
            <w:r w:rsidRPr="00DB5DE6">
              <w:rPr>
                <w:rFonts w:ascii="Verdana" w:eastAsia="Calibri" w:hAnsi="Verdana" w:cs="Times New Roman"/>
                <w:kern w:val="2"/>
                <w:sz w:val="20"/>
                <w:szCs w:val="20"/>
                <w:lang w:val="es-CO" w:eastAsia="en-US"/>
              </w:rPr>
              <w:t xml:space="preserve">” </w:t>
            </w:r>
            <w:r w:rsidR="006767E2">
              <w:rPr>
                <w:rFonts w:ascii="Verdana" w:eastAsia="Calibri" w:hAnsi="Verdana" w:cs="Times New Roman"/>
                <w:kern w:val="2"/>
                <w:sz w:val="20"/>
                <w:szCs w:val="20"/>
                <w:lang w:val="es-CO" w:eastAsia="en-US"/>
              </w:rPr>
              <w:t xml:space="preserve">y en </w:t>
            </w:r>
            <w:r w:rsidR="006A5907">
              <w:rPr>
                <w:rFonts w:ascii="Verdana" w:eastAsia="Calibri" w:hAnsi="Verdana" w:cs="Times New Roman"/>
                <w:kern w:val="2"/>
                <w:sz w:val="20"/>
                <w:szCs w:val="20"/>
                <w:lang w:val="es-CO" w:eastAsia="en-US"/>
              </w:rPr>
              <w:t xml:space="preserve">el artículo </w:t>
            </w:r>
            <w:r w:rsidRPr="00DB5DE6">
              <w:rPr>
                <w:rFonts w:ascii="Verdana" w:eastAsia="Calibri" w:hAnsi="Verdana" w:cs="Times New Roman"/>
                <w:kern w:val="2"/>
                <w:sz w:val="20"/>
                <w:szCs w:val="20"/>
                <w:lang w:val="es-CO" w:eastAsia="en-US"/>
              </w:rPr>
              <w:t>2.3.2.5.3.8 alrededor de las funciones del</w:t>
            </w:r>
            <w:r w:rsidRPr="00DB5DE6">
              <w:rPr>
                <w:rFonts w:ascii="Verdana" w:eastAsia="Calibri" w:hAnsi="Verdana" w:cs="Times New Roman"/>
                <w:i/>
                <w:iCs/>
                <w:kern w:val="2"/>
                <w:sz w:val="20"/>
                <w:szCs w:val="20"/>
                <w:lang w:val="es-CO" w:eastAsia="en-US"/>
              </w:rPr>
              <w:t xml:space="preserve"> Subcomité de Acceso y Atención para la Garantía Integral de Derechos </w:t>
            </w:r>
            <w:r w:rsidRPr="00DB5DE6">
              <w:rPr>
                <w:rFonts w:ascii="Verdana" w:eastAsia="Calibri" w:hAnsi="Verdana" w:cs="Times New Roman"/>
                <w:iCs/>
                <w:kern w:val="2"/>
                <w:sz w:val="20"/>
                <w:szCs w:val="20"/>
                <w:lang w:val="es-CO" w:eastAsia="en-US"/>
              </w:rPr>
              <w:t xml:space="preserve">de las personas en proceso de reincorporación, establece </w:t>
            </w:r>
            <w:r w:rsidR="006A5907">
              <w:rPr>
                <w:rFonts w:ascii="Verdana" w:eastAsia="Calibri" w:hAnsi="Verdana" w:cs="Times New Roman"/>
                <w:iCs/>
                <w:kern w:val="2"/>
                <w:sz w:val="20"/>
                <w:szCs w:val="20"/>
                <w:lang w:val="es-CO" w:eastAsia="en-US"/>
              </w:rPr>
              <w:t>la función de</w:t>
            </w:r>
            <w:r w:rsidRPr="00DB5DE6">
              <w:rPr>
                <w:rFonts w:ascii="Verdana" w:eastAsia="Calibri" w:hAnsi="Verdana" w:cs="Times New Roman"/>
                <w:iCs/>
                <w:kern w:val="2"/>
                <w:sz w:val="20"/>
                <w:szCs w:val="20"/>
                <w:lang w:val="es-CO" w:eastAsia="en-US"/>
              </w:rPr>
              <w:t xml:space="preserve"> </w:t>
            </w:r>
            <w:r w:rsidRPr="00DB5DE6">
              <w:rPr>
                <w:rFonts w:ascii="Verdana" w:eastAsia="Calibri" w:hAnsi="Verdana" w:cs="Times New Roman"/>
                <w:i/>
                <w:iCs/>
                <w:kern w:val="2"/>
                <w:sz w:val="20"/>
                <w:szCs w:val="20"/>
                <w:lang w:val="es-CO" w:eastAsia="en-US"/>
              </w:rPr>
              <w:t>“Generar la articulación interinstitucional, con el fin de fortalecer la implementa</w:t>
            </w:r>
            <w:r w:rsidRPr="00DB5DE6">
              <w:rPr>
                <w:rFonts w:ascii="Verdana" w:eastAsia="Calibri" w:hAnsi="Verdana" w:cs="Times New Roman"/>
                <w:i/>
                <w:iCs/>
                <w:kern w:val="2"/>
                <w:sz w:val="20"/>
                <w:szCs w:val="20"/>
                <w:lang w:val="es-CO" w:eastAsia="en-US"/>
              </w:rPr>
              <w:softHyphen/>
              <w:t>ción de la estrategia de acceso a vivienda rural y urbana para sujetos y colectivos en reincorporación, sus grupos familiares”.</w:t>
            </w:r>
            <w:r w:rsidRPr="00DB5DE6">
              <w:rPr>
                <w:rFonts w:ascii="Arial" w:hAnsi="Arial" w:cs="Arial"/>
                <w:color w:val="000000"/>
                <w:sz w:val="20"/>
                <w:szCs w:val="20"/>
                <w:lang w:val="es-CO"/>
              </w:rPr>
              <w:t> </w:t>
            </w:r>
          </w:p>
          <w:p w14:paraId="1FDBEFCD" w14:textId="77777777" w:rsidR="00352EB1" w:rsidRPr="00DB5DE6" w:rsidRDefault="00352EB1" w:rsidP="008B48A8">
            <w:pPr>
              <w:pStyle w:val="NormalWeb"/>
              <w:spacing w:before="0" w:beforeAutospacing="0" w:after="0" w:afterAutospacing="0" w:line="273" w:lineRule="atLeast"/>
              <w:jc w:val="both"/>
              <w:rPr>
                <w:rFonts w:ascii="Arial" w:hAnsi="Arial" w:cs="Arial"/>
                <w:color w:val="000000"/>
                <w:sz w:val="20"/>
                <w:szCs w:val="20"/>
                <w:lang w:val="es-CO"/>
              </w:rPr>
            </w:pPr>
          </w:p>
          <w:p w14:paraId="538B5CEB" w14:textId="77777777" w:rsidR="00352EB1" w:rsidRPr="00F16BFD" w:rsidRDefault="00352EB1" w:rsidP="008B48A8">
            <w:pPr>
              <w:pStyle w:val="NormalWeb"/>
              <w:spacing w:before="0" w:beforeAutospacing="0" w:after="0" w:afterAutospacing="0" w:line="273" w:lineRule="atLeast"/>
              <w:jc w:val="both"/>
              <w:rPr>
                <w:rFonts w:ascii="Verdana" w:eastAsia="Calibri" w:hAnsi="Verdana" w:cs="Times New Roman"/>
                <w:kern w:val="2"/>
                <w:sz w:val="20"/>
                <w:szCs w:val="20"/>
                <w:lang w:val="es-CO" w:eastAsia="en-US"/>
              </w:rPr>
            </w:pPr>
            <w:r w:rsidRPr="00F16BFD">
              <w:rPr>
                <w:rFonts w:ascii="Verdana" w:eastAsia="Calibri" w:hAnsi="Verdana" w:cs="Times New Roman"/>
                <w:kern w:val="2"/>
                <w:sz w:val="20"/>
                <w:szCs w:val="20"/>
                <w:lang w:val="es-CO" w:eastAsia="en-US"/>
              </w:rPr>
              <w:t xml:space="preserve">Por otro lado, </w:t>
            </w:r>
            <w:r w:rsidR="006767E2">
              <w:rPr>
                <w:rFonts w:ascii="Verdana" w:eastAsia="Calibri" w:hAnsi="Verdana" w:cs="Times New Roman"/>
                <w:kern w:val="2"/>
                <w:sz w:val="20"/>
                <w:szCs w:val="20"/>
                <w:lang w:val="es-CO" w:eastAsia="en-US"/>
              </w:rPr>
              <w:t>l</w:t>
            </w:r>
            <w:r w:rsidRPr="00F16BFD">
              <w:rPr>
                <w:rFonts w:ascii="Verdana" w:eastAsia="Calibri" w:hAnsi="Verdana" w:cs="Times New Roman"/>
                <w:kern w:val="2"/>
                <w:sz w:val="20"/>
                <w:szCs w:val="20"/>
                <w:lang w:val="es-CO" w:eastAsia="en-US"/>
              </w:rPr>
              <w:t xml:space="preserve">a </w:t>
            </w:r>
            <w:r w:rsidR="006A5907">
              <w:rPr>
                <w:rFonts w:ascii="Verdana" w:eastAsia="Calibri" w:hAnsi="Verdana" w:cs="Times New Roman"/>
                <w:kern w:val="2"/>
                <w:sz w:val="20"/>
                <w:szCs w:val="20"/>
                <w:lang w:val="es-CO" w:eastAsia="en-US"/>
              </w:rPr>
              <w:t>L</w:t>
            </w:r>
            <w:r w:rsidRPr="00F16BFD">
              <w:rPr>
                <w:rFonts w:ascii="Verdana" w:eastAsia="Calibri" w:hAnsi="Verdana" w:cs="Times New Roman"/>
                <w:kern w:val="2"/>
                <w:sz w:val="20"/>
                <w:szCs w:val="20"/>
                <w:lang w:val="es-CO" w:eastAsia="en-US"/>
              </w:rPr>
              <w:t xml:space="preserve">ey 2421 </w:t>
            </w:r>
            <w:r w:rsidR="00973B10">
              <w:rPr>
                <w:rFonts w:ascii="Verdana" w:eastAsia="Calibri" w:hAnsi="Verdana" w:cs="Times New Roman"/>
                <w:kern w:val="2"/>
                <w:sz w:val="20"/>
                <w:szCs w:val="20"/>
                <w:lang w:val="es-CO" w:eastAsia="en-US"/>
              </w:rPr>
              <w:t xml:space="preserve">del 22 de agosto </w:t>
            </w:r>
            <w:r w:rsidRPr="00F16BFD">
              <w:rPr>
                <w:rFonts w:ascii="Verdana" w:eastAsia="Calibri" w:hAnsi="Verdana" w:cs="Times New Roman"/>
                <w:kern w:val="2"/>
                <w:sz w:val="20"/>
                <w:szCs w:val="20"/>
                <w:lang w:val="es-CO" w:eastAsia="en-US"/>
              </w:rPr>
              <w:t xml:space="preserve">de </w:t>
            </w:r>
            <w:r w:rsidRPr="00973B10">
              <w:rPr>
                <w:rFonts w:ascii="Verdana" w:eastAsia="Calibri" w:hAnsi="Verdana" w:cs="Times New Roman"/>
                <w:kern w:val="2"/>
                <w:sz w:val="20"/>
                <w:szCs w:val="20"/>
                <w:lang w:val="es-CO" w:eastAsia="en-US"/>
              </w:rPr>
              <w:t xml:space="preserve">2024 </w:t>
            </w:r>
            <w:r w:rsidR="00973B10" w:rsidRPr="00973B10">
              <w:rPr>
                <w:rFonts w:ascii="Verdana" w:eastAsia="Calibri" w:hAnsi="Verdana" w:cs="Times New Roman"/>
                <w:i/>
                <w:iCs/>
                <w:kern w:val="2"/>
                <w:sz w:val="20"/>
                <w:szCs w:val="20"/>
                <w:lang w:val="es-CO" w:eastAsia="en-US"/>
              </w:rPr>
              <w:t>"por la cual se modifica la Ley </w:t>
            </w:r>
            <w:hyperlink r:id="rId14" w:anchor="1448" w:tooltip="vinculo" w:history="1">
              <w:r w:rsidR="00973B10" w:rsidRPr="005F70FC">
                <w:rPr>
                  <w:rFonts w:ascii="Verdana" w:eastAsia="Calibri" w:hAnsi="Verdana" w:cs="Times New Roman"/>
                  <w:i/>
                  <w:iCs/>
                  <w:kern w:val="2"/>
                  <w:sz w:val="20"/>
                  <w:szCs w:val="20"/>
                  <w:lang w:val="es-CO" w:eastAsia="en-US"/>
                </w:rPr>
                <w:t>1448</w:t>
              </w:r>
            </w:hyperlink>
            <w:r w:rsidR="00973B10" w:rsidRPr="00973B10">
              <w:rPr>
                <w:rFonts w:ascii="Verdana" w:eastAsia="Calibri" w:hAnsi="Verdana" w:cs="Times New Roman"/>
                <w:i/>
                <w:iCs/>
                <w:kern w:val="2"/>
                <w:sz w:val="20"/>
                <w:szCs w:val="20"/>
                <w:lang w:val="es-CO" w:eastAsia="en-US"/>
              </w:rPr>
              <w:t xml:space="preserve"> de 2011 y se dictan otras disposiciones sobre reparación a las víctimas del conflicto armado interno" </w:t>
            </w:r>
            <w:r w:rsidRPr="00973B10">
              <w:rPr>
                <w:rFonts w:ascii="Verdana" w:eastAsia="Calibri" w:hAnsi="Verdana" w:cs="Times New Roman"/>
                <w:kern w:val="2"/>
                <w:sz w:val="20"/>
                <w:szCs w:val="20"/>
                <w:lang w:val="es-CO" w:eastAsia="en-US"/>
              </w:rPr>
              <w:t>en su artículo 65</w:t>
            </w:r>
            <w:r w:rsidR="001B64CF" w:rsidRPr="00973B10">
              <w:rPr>
                <w:rFonts w:ascii="Verdana" w:eastAsia="Calibri" w:hAnsi="Verdana" w:cs="Times New Roman"/>
                <w:kern w:val="2"/>
                <w:sz w:val="20"/>
                <w:szCs w:val="20"/>
                <w:lang w:val="es-CO" w:eastAsia="en-US"/>
              </w:rPr>
              <w:t xml:space="preserve"> relacionado con la o</w:t>
            </w:r>
            <w:r w:rsidRPr="00973B10">
              <w:rPr>
                <w:rFonts w:ascii="Verdana" w:eastAsia="Calibri" w:hAnsi="Verdana" w:cs="Times New Roman"/>
                <w:kern w:val="2"/>
                <w:sz w:val="20"/>
                <w:szCs w:val="20"/>
                <w:lang w:val="es-CO" w:eastAsia="en-US"/>
              </w:rPr>
              <w:t>ferta institucional</w:t>
            </w:r>
            <w:r w:rsidR="001B64CF" w:rsidRPr="00973B10">
              <w:rPr>
                <w:rFonts w:ascii="Verdana" w:eastAsia="Calibri" w:hAnsi="Verdana" w:cs="Times New Roman"/>
                <w:kern w:val="2"/>
                <w:sz w:val="20"/>
                <w:szCs w:val="20"/>
                <w:lang w:val="es-CO" w:eastAsia="en-US"/>
              </w:rPr>
              <w:t xml:space="preserve"> para las víctimas del conflicto armado,</w:t>
            </w:r>
            <w:r w:rsidRPr="00973B10">
              <w:rPr>
                <w:rFonts w:ascii="Verdana" w:eastAsia="Calibri" w:hAnsi="Verdana" w:cs="Times New Roman"/>
                <w:kern w:val="2"/>
                <w:sz w:val="20"/>
                <w:szCs w:val="20"/>
                <w:lang w:val="es-CO" w:eastAsia="en-US"/>
              </w:rPr>
              <w:t xml:space="preserve"> establece que</w:t>
            </w:r>
            <w:r w:rsidR="005F70FC">
              <w:rPr>
                <w:rFonts w:ascii="Verdana" w:eastAsia="Calibri" w:hAnsi="Verdana" w:cs="Times New Roman"/>
                <w:kern w:val="2"/>
                <w:sz w:val="20"/>
                <w:szCs w:val="20"/>
                <w:lang w:val="es-CO" w:eastAsia="en-US"/>
              </w:rPr>
              <w:t>:</w:t>
            </w:r>
          </w:p>
          <w:p w14:paraId="24788E39" w14:textId="77777777" w:rsidR="00352EB1" w:rsidRPr="00DB5DE6" w:rsidRDefault="00352EB1" w:rsidP="008B48A8">
            <w:pPr>
              <w:pStyle w:val="NormalWeb"/>
              <w:spacing w:before="0" w:beforeAutospacing="0" w:after="0" w:afterAutospacing="0" w:line="273" w:lineRule="atLeast"/>
              <w:jc w:val="both"/>
              <w:rPr>
                <w:rFonts w:ascii="Arial" w:hAnsi="Arial" w:cs="Arial"/>
                <w:color w:val="000000"/>
                <w:sz w:val="20"/>
                <w:szCs w:val="20"/>
                <w:lang w:val="es-CO"/>
              </w:rPr>
            </w:pPr>
          </w:p>
          <w:p w14:paraId="3FF4D4EF" w14:textId="77777777" w:rsidR="00352EB1" w:rsidRPr="00F16BFD" w:rsidRDefault="00352EB1" w:rsidP="00F16BFD">
            <w:pPr>
              <w:pStyle w:val="NormalWeb"/>
              <w:spacing w:before="0" w:beforeAutospacing="0" w:after="0" w:afterAutospacing="0" w:line="273" w:lineRule="atLeast"/>
              <w:ind w:left="708"/>
              <w:jc w:val="both"/>
              <w:rPr>
                <w:rFonts w:ascii="Verdana" w:eastAsia="Calibri" w:hAnsi="Verdana" w:cs="Times New Roman"/>
                <w:i/>
                <w:iCs/>
                <w:kern w:val="2"/>
                <w:sz w:val="20"/>
                <w:szCs w:val="20"/>
                <w:lang w:val="es-CO" w:eastAsia="en-US"/>
              </w:rPr>
            </w:pPr>
            <w:r w:rsidRPr="00F16BFD">
              <w:rPr>
                <w:rFonts w:ascii="Verdana" w:eastAsia="Calibri" w:hAnsi="Verdana" w:cs="Times New Roman"/>
                <w:iCs/>
                <w:kern w:val="2"/>
                <w:sz w:val="20"/>
                <w:szCs w:val="20"/>
                <w:lang w:val="es-CO" w:eastAsia="en-US"/>
              </w:rPr>
              <w:t>“(…)</w:t>
            </w:r>
            <w:r w:rsidR="00F16BFD">
              <w:rPr>
                <w:rFonts w:ascii="Verdana" w:eastAsia="Calibri" w:hAnsi="Verdana" w:cs="Times New Roman"/>
                <w:iCs/>
                <w:kern w:val="2"/>
                <w:sz w:val="20"/>
                <w:szCs w:val="20"/>
                <w:lang w:val="es-CO" w:eastAsia="en-US"/>
              </w:rPr>
              <w:t xml:space="preserve"> </w:t>
            </w:r>
            <w:r w:rsidRPr="00F16BFD">
              <w:rPr>
                <w:rFonts w:ascii="Verdana" w:eastAsia="Calibri" w:hAnsi="Verdana" w:cs="Times New Roman"/>
                <w:i/>
                <w:iCs/>
                <w:kern w:val="2"/>
                <w:sz w:val="20"/>
                <w:szCs w:val="20"/>
                <w:lang w:val="es-CO" w:eastAsia="en-US"/>
              </w:rPr>
              <w:t>Las entidades del Sistema Nacional de Atención y Reparación a Víctimas, para el cumplimiento de los objetivos establecidos en el artículo </w:t>
            </w:r>
            <w:hyperlink r:id="rId15" w:anchor="161" w:tooltip="vinculo" w:history="1">
              <w:r w:rsidRPr="00F16BFD">
                <w:rPr>
                  <w:rFonts w:ascii="Verdana" w:eastAsia="Calibri" w:hAnsi="Verdana" w:cs="Times New Roman"/>
                  <w:iCs/>
                  <w:kern w:val="2"/>
                  <w:sz w:val="20"/>
                  <w:szCs w:val="20"/>
                  <w:lang w:val="es-CO" w:eastAsia="en-US"/>
                </w:rPr>
                <w:t>161</w:t>
              </w:r>
            </w:hyperlink>
            <w:r w:rsidRPr="00F16BFD">
              <w:rPr>
                <w:rFonts w:ascii="Verdana" w:eastAsia="Calibri" w:hAnsi="Verdana" w:cs="Times New Roman"/>
                <w:i/>
                <w:iCs/>
                <w:kern w:val="2"/>
                <w:sz w:val="20"/>
                <w:szCs w:val="20"/>
                <w:lang w:val="es-CO" w:eastAsia="en-US"/>
              </w:rPr>
              <w:t xml:space="preserve"> de la presente ley, adelantarán las acciones necesarias para crear y ajustar la oferta institucional para garantizar el goce efectivo de los derechos de las víctimas y establecerá mecanismos y rutas que faciliten el acceso y permanencia de las víctimas en los diferentes planes y programas (…) </w:t>
            </w:r>
          </w:p>
          <w:p w14:paraId="2E999F74" w14:textId="77777777" w:rsidR="00352EB1" w:rsidRPr="00F16BFD" w:rsidRDefault="00352EB1" w:rsidP="00F16BFD">
            <w:pPr>
              <w:pStyle w:val="NormalWeb"/>
              <w:spacing w:before="0" w:beforeAutospacing="0" w:after="0" w:afterAutospacing="0" w:line="273" w:lineRule="atLeast"/>
              <w:ind w:left="708"/>
              <w:jc w:val="both"/>
              <w:rPr>
                <w:rFonts w:ascii="Verdana" w:eastAsia="Calibri" w:hAnsi="Verdana" w:cs="Times New Roman"/>
                <w:i/>
                <w:iCs/>
                <w:kern w:val="2"/>
                <w:sz w:val="20"/>
                <w:szCs w:val="20"/>
                <w:lang w:val="es-CO" w:eastAsia="en-US"/>
              </w:rPr>
            </w:pPr>
          </w:p>
          <w:p w14:paraId="5686FBAF" w14:textId="77777777" w:rsidR="00352EB1" w:rsidRPr="00F16BFD" w:rsidRDefault="00352EB1" w:rsidP="00F16BFD">
            <w:pPr>
              <w:pStyle w:val="NormalWeb"/>
              <w:spacing w:before="0" w:beforeAutospacing="0" w:after="0" w:afterAutospacing="0" w:line="273" w:lineRule="atLeast"/>
              <w:ind w:left="708"/>
              <w:jc w:val="both"/>
              <w:rPr>
                <w:rFonts w:ascii="Verdana" w:eastAsia="Calibri" w:hAnsi="Verdana" w:cs="Times New Roman"/>
                <w:i/>
                <w:iCs/>
                <w:kern w:val="2"/>
                <w:sz w:val="20"/>
                <w:szCs w:val="20"/>
                <w:lang w:val="es-CO" w:eastAsia="en-US"/>
              </w:rPr>
            </w:pPr>
            <w:r w:rsidRPr="00F16BFD">
              <w:rPr>
                <w:rFonts w:ascii="Verdana" w:eastAsia="Calibri" w:hAnsi="Verdana" w:cs="Times New Roman"/>
                <w:i/>
                <w:iCs/>
                <w:kern w:val="2"/>
                <w:sz w:val="20"/>
                <w:szCs w:val="20"/>
                <w:lang w:val="es-CO" w:eastAsia="en-US"/>
              </w:rPr>
              <w:t>El Gobierno Nacional pondrá en marcha una oferta institucional específica para garantizar la estrategia de soluciones duraderas, especialmente lo relacionado con (…)</w:t>
            </w:r>
          </w:p>
          <w:p w14:paraId="13723A8C" w14:textId="77777777" w:rsidR="008B48A8" w:rsidRPr="00DB5DE6" w:rsidRDefault="554D09D0" w:rsidP="09400DC1">
            <w:pPr>
              <w:shd w:val="clear" w:color="auto" w:fill="FFFFFF" w:themeFill="background1"/>
              <w:spacing w:before="100" w:beforeAutospacing="1" w:after="100" w:afterAutospacing="1"/>
              <w:ind w:left="720"/>
              <w:jc w:val="both"/>
              <w:rPr>
                <w:rFonts w:ascii="Verdana" w:hAnsi="Verdana" w:cs="Arial"/>
                <w:lang w:val="es-CO" w:eastAsia="es-CO"/>
              </w:rPr>
            </w:pPr>
            <w:r w:rsidRPr="09400DC1">
              <w:rPr>
                <w:rFonts w:ascii="Verdana" w:eastAsia="Calibri" w:hAnsi="Verdana"/>
                <w:i/>
                <w:iCs/>
                <w:kern w:val="2"/>
                <w:lang w:val="es-CO" w:eastAsia="en-US"/>
              </w:rPr>
              <w:t>Garantías para la vivienda digna de las víctimas, particularmente acceso preferente a los programas de subsidios familiares, parciales o totales, de vivienda en las modalidades de mejoramiento, construcción en sitio propio, adquisición de vivienda, u otras establecidas por la política de vivienda urbana y rural</w:t>
            </w:r>
            <w:r w:rsidR="3DAB720F" w:rsidRPr="09400DC1">
              <w:rPr>
                <w:rFonts w:ascii="Verdana" w:eastAsia="Calibri" w:hAnsi="Verdana"/>
                <w:i/>
                <w:iCs/>
                <w:kern w:val="2"/>
                <w:lang w:val="es-CO" w:eastAsia="en-US"/>
              </w:rPr>
              <w:t xml:space="preserve"> </w:t>
            </w:r>
            <w:r w:rsidRPr="09400DC1">
              <w:rPr>
                <w:rFonts w:ascii="Verdana" w:eastAsia="Calibri" w:hAnsi="Verdana"/>
                <w:i/>
                <w:iCs/>
                <w:kern w:val="2"/>
                <w:lang w:val="es-CO" w:eastAsia="en-US"/>
              </w:rPr>
              <w:t>(…)</w:t>
            </w:r>
            <w:r w:rsidR="3DAB720F" w:rsidRPr="09400DC1">
              <w:rPr>
                <w:rFonts w:ascii="Verdana" w:eastAsia="Calibri" w:hAnsi="Verdana"/>
                <w:i/>
                <w:iCs/>
                <w:kern w:val="2"/>
                <w:lang w:val="es-CO" w:eastAsia="en-US"/>
              </w:rPr>
              <w:t>.</w:t>
            </w:r>
            <w:r w:rsidRPr="09400DC1">
              <w:rPr>
                <w:rFonts w:ascii="Verdana" w:eastAsia="Calibri" w:hAnsi="Verdana"/>
                <w:i/>
                <w:iCs/>
                <w:kern w:val="2"/>
                <w:lang w:val="es-CO" w:eastAsia="en-US"/>
              </w:rPr>
              <w:t>”</w:t>
            </w:r>
          </w:p>
          <w:p w14:paraId="203CDBC3" w14:textId="77777777" w:rsidR="00795C6B" w:rsidRPr="00DB5DE6" w:rsidRDefault="00795C6B" w:rsidP="0075705D">
            <w:pPr>
              <w:ind w:left="494" w:hanging="283"/>
              <w:jc w:val="both"/>
              <w:rPr>
                <w:rFonts w:ascii="Verdana" w:hAnsi="Verdana" w:cs="Arial"/>
                <w:b/>
                <w:bCs/>
                <w:lang w:val="es-CO" w:eastAsia="es-CO"/>
              </w:rPr>
            </w:pPr>
            <w:r w:rsidRPr="00DB5DE6">
              <w:rPr>
                <w:rFonts w:ascii="Verdana" w:hAnsi="Verdana" w:cs="Arial"/>
                <w:b/>
                <w:bCs/>
                <w:lang w:val="es-CO" w:eastAsia="es-CO"/>
              </w:rPr>
              <w:t>3.2 Vigencia de la ley o norma reglamentada o desarrollada</w:t>
            </w:r>
            <w:r w:rsidR="00FC4DD5" w:rsidRPr="00DB5DE6">
              <w:rPr>
                <w:rFonts w:ascii="Verdana" w:hAnsi="Verdana" w:cs="Arial"/>
                <w:b/>
                <w:bCs/>
                <w:lang w:val="es-CO" w:eastAsia="es-CO"/>
              </w:rPr>
              <w:t>.</w:t>
            </w:r>
          </w:p>
          <w:p w14:paraId="59C78594" w14:textId="77777777" w:rsidR="00FC4DD5" w:rsidRPr="00DB5DE6" w:rsidRDefault="00FC4DD5" w:rsidP="0075705D">
            <w:pPr>
              <w:ind w:left="494" w:hanging="283"/>
              <w:jc w:val="both"/>
              <w:rPr>
                <w:rFonts w:ascii="Verdana" w:hAnsi="Verdana" w:cs="Arial"/>
                <w:lang w:val="es-CO" w:eastAsia="es-CO"/>
              </w:rPr>
            </w:pPr>
          </w:p>
          <w:p w14:paraId="565C7261" w14:textId="77777777" w:rsidR="00CF14E7" w:rsidRPr="00DB5DE6" w:rsidRDefault="00CF14E7" w:rsidP="00CF14E7">
            <w:pPr>
              <w:jc w:val="both"/>
              <w:rPr>
                <w:rFonts w:ascii="Verdana" w:hAnsi="Verdana" w:cs="Arial"/>
                <w:lang w:val="es-CO" w:eastAsia="es-CO"/>
              </w:rPr>
            </w:pPr>
            <w:r w:rsidRPr="00DB5DE6">
              <w:rPr>
                <w:rFonts w:ascii="Verdana" w:hAnsi="Verdana" w:cs="Arial"/>
                <w:lang w:val="es-CO" w:eastAsia="es-CO"/>
              </w:rPr>
              <w:t>El Decreto 1077 de 2015 objeto de modificación con el presente proyecto normativo se encuentra vigente.</w:t>
            </w:r>
          </w:p>
          <w:p w14:paraId="339CD77E" w14:textId="77777777" w:rsidR="00795C6B" w:rsidRPr="00DB5DE6" w:rsidRDefault="00795C6B" w:rsidP="0075705D">
            <w:pPr>
              <w:ind w:left="494" w:hanging="283"/>
              <w:jc w:val="both"/>
              <w:rPr>
                <w:rFonts w:ascii="Verdana" w:hAnsi="Verdana" w:cs="Arial"/>
                <w:lang w:val="es-CO" w:eastAsia="es-CO"/>
              </w:rPr>
            </w:pPr>
          </w:p>
          <w:p w14:paraId="2303D7F7" w14:textId="77777777" w:rsidR="00795C6B" w:rsidRPr="00DB5DE6" w:rsidRDefault="00795C6B" w:rsidP="0075705D">
            <w:pPr>
              <w:ind w:left="494" w:hanging="283"/>
              <w:jc w:val="both"/>
              <w:rPr>
                <w:rFonts w:ascii="Verdana" w:hAnsi="Verdana" w:cs="Arial"/>
                <w:b/>
                <w:bCs/>
                <w:lang w:val="es-CO" w:eastAsia="es-CO"/>
              </w:rPr>
            </w:pPr>
            <w:r w:rsidRPr="00DB5DE6">
              <w:rPr>
                <w:rFonts w:ascii="Verdana" w:hAnsi="Verdana" w:cs="Arial"/>
                <w:b/>
                <w:bCs/>
                <w:lang w:val="es-CO" w:eastAsia="es-CO"/>
              </w:rPr>
              <w:t>3.3. Disposiciones deroga</w:t>
            </w:r>
            <w:r w:rsidR="00CF14E7" w:rsidRPr="00DB5DE6">
              <w:rPr>
                <w:rFonts w:ascii="Verdana" w:hAnsi="Verdana" w:cs="Arial"/>
                <w:b/>
                <w:bCs/>
                <w:lang w:val="es-CO" w:eastAsia="es-CO"/>
              </w:rPr>
              <w:t>das</w:t>
            </w:r>
            <w:r w:rsidRPr="00DB5DE6">
              <w:rPr>
                <w:rFonts w:ascii="Verdana" w:hAnsi="Verdana" w:cs="Arial"/>
                <w:b/>
                <w:bCs/>
                <w:lang w:val="es-CO" w:eastAsia="es-CO"/>
              </w:rPr>
              <w:t>, subrogadas, modificadas, adicionadas</w:t>
            </w:r>
            <w:r w:rsidR="00D05B67" w:rsidRPr="00DB5DE6">
              <w:rPr>
                <w:rFonts w:ascii="Verdana" w:hAnsi="Verdana" w:cs="Arial"/>
                <w:b/>
                <w:bCs/>
                <w:lang w:val="es-CO" w:eastAsia="es-CO"/>
              </w:rPr>
              <w:t xml:space="preserve"> o sustituidas</w:t>
            </w:r>
            <w:r w:rsidR="00FC4DD5" w:rsidRPr="00DB5DE6">
              <w:rPr>
                <w:rFonts w:ascii="Verdana" w:hAnsi="Verdana" w:cs="Arial"/>
                <w:b/>
                <w:bCs/>
                <w:lang w:val="es-CO" w:eastAsia="es-CO"/>
              </w:rPr>
              <w:t>.</w:t>
            </w:r>
            <w:r w:rsidR="00D05B67" w:rsidRPr="00DB5DE6">
              <w:rPr>
                <w:rFonts w:ascii="Verdana" w:hAnsi="Verdana" w:cs="Arial"/>
                <w:b/>
                <w:bCs/>
                <w:lang w:val="es-CO" w:eastAsia="es-CO"/>
              </w:rPr>
              <w:t xml:space="preserve"> </w:t>
            </w:r>
          </w:p>
          <w:p w14:paraId="6580D461" w14:textId="77777777" w:rsidR="00FC4DD5" w:rsidRPr="00DB5DE6" w:rsidRDefault="00FC4DD5" w:rsidP="0075705D">
            <w:pPr>
              <w:ind w:left="494" w:hanging="283"/>
              <w:jc w:val="both"/>
              <w:rPr>
                <w:rFonts w:ascii="Verdana" w:hAnsi="Verdana" w:cs="Arial"/>
                <w:lang w:val="es-CO" w:eastAsia="es-CO"/>
              </w:rPr>
            </w:pPr>
          </w:p>
          <w:p w14:paraId="7E6B8DF7" w14:textId="3D8860F9" w:rsidR="00D05B67" w:rsidRPr="00DB5DE6" w:rsidRDefault="2D795AAD" w:rsidP="367A4AD9">
            <w:pPr>
              <w:jc w:val="both"/>
              <w:rPr>
                <w:rFonts w:ascii="Verdana" w:hAnsi="Verdana" w:cs="Arial"/>
                <w:b/>
                <w:bCs/>
                <w:lang w:val="es-CO" w:eastAsia="es-CO"/>
              </w:rPr>
            </w:pPr>
            <w:r w:rsidRPr="1CEBD9B9">
              <w:rPr>
                <w:rFonts w:ascii="Verdana" w:hAnsi="Verdana" w:cs="Arial"/>
                <w:lang w:val="es-CO" w:eastAsia="es-CO"/>
              </w:rPr>
              <w:t xml:space="preserve">El presente proyecto normativo modifica los artículos </w:t>
            </w:r>
            <w:r w:rsidR="49FF9C29" w:rsidRPr="1CEBD9B9">
              <w:rPr>
                <w:rFonts w:ascii="Verdana" w:hAnsi="Verdana" w:cs="Arial"/>
                <w:lang w:val="es-CO" w:eastAsia="es-CO"/>
              </w:rPr>
              <w:t>2.1.1.1.1.1.2, 2.1.1.1.1.1.7, 2.1.1.1.1.1.8, 2.1.1.1.13.3, 2.1.1.1.13.4, 2.1.1.4.1.1.1, 2.1.1.4.1.2.1, 2.1.1.4.1.2.2, 2.1.1.4.1.2.3, 2.1.1.4.1.2.3, 2.1.1.4.1.3.1, 2.1.1.4.1.3.2, 2.1.1.4.1.3.3, 2.1.1.4.1.4.1, 2.1.1.4.1.4.2, 2.1.1.4.2.1, 2.1.1.4.2.3, 2.1.1.4.2.4, 2.1.1.4.2.6, 2.1.1.4.2.7, 2.</w:t>
            </w:r>
            <w:r w:rsidR="49FF9C29" w:rsidRPr="006A4A46">
              <w:rPr>
                <w:rFonts w:ascii="Verdana" w:hAnsi="Verdana" w:cs="Arial"/>
                <w:lang w:val="es-CO" w:eastAsia="es-CO"/>
              </w:rPr>
              <w:t xml:space="preserve">1.1.4.2.8, 2.1.1.4.2.10, 2.1.1.4.2.11, 2.1.1.6.7.6, 2.1.1.8.3, 2.1.1.8.5, 2.1.1.9.10, 2.1.1.9.13 y adiciona </w:t>
            </w:r>
            <w:r w:rsidR="5B056C6F" w:rsidRPr="006A4A46">
              <w:rPr>
                <w:rFonts w:ascii="Verdana" w:hAnsi="Verdana" w:cs="Arial"/>
                <w:lang w:val="es-CO" w:eastAsia="es-CO"/>
              </w:rPr>
              <w:t>el</w:t>
            </w:r>
            <w:r w:rsidR="49FF9C29" w:rsidRPr="006A4A46">
              <w:rPr>
                <w:rFonts w:ascii="Verdana" w:hAnsi="Verdana" w:cs="Arial"/>
                <w:lang w:val="es-CO" w:eastAsia="es-CO"/>
              </w:rPr>
              <w:t xml:space="preserve"> artículo </w:t>
            </w:r>
            <w:r w:rsidR="49FF9C29" w:rsidRPr="1CEBD9B9">
              <w:rPr>
                <w:rFonts w:ascii="Verdana" w:hAnsi="Verdana" w:cs="Arial"/>
                <w:lang w:val="es-CO" w:eastAsia="es-CO"/>
              </w:rPr>
              <w:t xml:space="preserve">2.1.1.4.1.3.1 del Decreto 1077 de 2015. </w:t>
            </w:r>
          </w:p>
          <w:p w14:paraId="0F5E680F" w14:textId="2E3F2A15" w:rsidR="00D05B67" w:rsidRPr="00DB5DE6" w:rsidRDefault="00D05B67" w:rsidP="367A4AD9">
            <w:pPr>
              <w:jc w:val="both"/>
              <w:rPr>
                <w:rFonts w:ascii="Verdana" w:hAnsi="Verdana" w:cs="Arial"/>
                <w:lang w:val="es-CO" w:eastAsia="es-CO"/>
              </w:rPr>
            </w:pPr>
          </w:p>
          <w:p w14:paraId="133ED485" w14:textId="50762BB9" w:rsidR="00D05B67" w:rsidRPr="00DB5DE6" w:rsidRDefault="1DE3CD96" w:rsidP="367A4AD9">
            <w:pPr>
              <w:jc w:val="both"/>
              <w:rPr>
                <w:rFonts w:ascii="Verdana" w:hAnsi="Verdana" w:cs="Arial"/>
                <w:b/>
                <w:bCs/>
                <w:lang w:val="es-CO" w:eastAsia="es-CO"/>
              </w:rPr>
            </w:pPr>
            <w:r w:rsidRPr="367A4AD9">
              <w:rPr>
                <w:rFonts w:ascii="Verdana" w:hAnsi="Verdana" w:cs="Arial"/>
                <w:b/>
                <w:bCs/>
                <w:lang w:val="es-CO" w:eastAsia="es-CO"/>
              </w:rPr>
              <w:t>3.4 Revisión y análisis de la jurisprudencia que tenga impacto o sea relevante para la expedición del proyecto normativo (órganos de cierre de cada jurisdicción)</w:t>
            </w:r>
            <w:r w:rsidR="27661DAE" w:rsidRPr="367A4AD9">
              <w:rPr>
                <w:rFonts w:ascii="Verdana" w:hAnsi="Verdana" w:cs="Arial"/>
                <w:b/>
                <w:bCs/>
                <w:lang w:val="es-CO" w:eastAsia="es-CO"/>
              </w:rPr>
              <w:t>.</w:t>
            </w:r>
          </w:p>
          <w:p w14:paraId="6C6BA4BE" w14:textId="77777777" w:rsidR="00FC4DD5" w:rsidRPr="00DB5DE6" w:rsidRDefault="00FC4DD5" w:rsidP="0075705D">
            <w:pPr>
              <w:ind w:left="494" w:hanging="283"/>
              <w:jc w:val="both"/>
              <w:rPr>
                <w:rFonts w:ascii="Verdana" w:hAnsi="Verdana" w:cs="Arial"/>
                <w:lang w:val="es-CO" w:eastAsia="es-CO"/>
              </w:rPr>
            </w:pPr>
          </w:p>
          <w:p w14:paraId="789BF03A" w14:textId="77777777" w:rsidR="00597FDD" w:rsidRPr="00DB5DE6" w:rsidRDefault="00597FDD" w:rsidP="00597FDD">
            <w:pPr>
              <w:jc w:val="both"/>
              <w:rPr>
                <w:rFonts w:ascii="Verdana" w:hAnsi="Verdana"/>
                <w:lang w:val="es-CO"/>
              </w:rPr>
            </w:pPr>
            <w:r w:rsidRPr="00DB5DE6">
              <w:rPr>
                <w:rFonts w:ascii="Verdana" w:hAnsi="Verdana"/>
                <w:lang w:val="es-CO"/>
              </w:rPr>
              <w:lastRenderedPageBreak/>
              <w:t>La Honorable Corte Constitucional en la Sentencia T</w:t>
            </w:r>
            <w:r>
              <w:rPr>
                <w:rFonts w:ascii="Verdana" w:hAnsi="Verdana"/>
                <w:lang w:val="es-CO"/>
              </w:rPr>
              <w:t>-</w:t>
            </w:r>
            <w:r w:rsidRPr="00DB5DE6">
              <w:rPr>
                <w:rFonts w:ascii="Verdana" w:hAnsi="Verdana"/>
                <w:lang w:val="es-CO"/>
              </w:rPr>
              <w:t>025 de 2004 declar</w:t>
            </w:r>
            <w:r>
              <w:rPr>
                <w:rFonts w:ascii="Verdana" w:hAnsi="Verdana"/>
                <w:lang w:val="es-CO"/>
              </w:rPr>
              <w:t>ó</w:t>
            </w:r>
            <w:r w:rsidRPr="00DB5DE6">
              <w:rPr>
                <w:rFonts w:ascii="Verdana" w:hAnsi="Verdana"/>
                <w:lang w:val="es-CO"/>
              </w:rPr>
              <w:t xml:space="preserve"> un Estado de Cosas Inconstitucional – ECI en materia de garantía de derechos de la población en situación de Desplazamiento Forzado y víctima del conflicto armado.  En tal sentido, exhorto al Gobierno nacional a establecer medidas que permitan restablecer el goce efectivo de derechos por parte de la población víctima del conflicto, entre los que se encuentra el acceso progresivo al derecho a la vivienda. </w:t>
            </w:r>
          </w:p>
          <w:p w14:paraId="115BCDCB" w14:textId="77777777" w:rsidR="00597FDD" w:rsidRDefault="00597FDD" w:rsidP="00B8624D">
            <w:pPr>
              <w:jc w:val="both"/>
              <w:rPr>
                <w:rFonts w:ascii="Verdana" w:eastAsia="Calibri" w:hAnsi="Verdana"/>
                <w:lang w:eastAsia="en-US"/>
              </w:rPr>
            </w:pPr>
          </w:p>
          <w:p w14:paraId="09F2ADCE" w14:textId="77777777" w:rsidR="00AB4561" w:rsidRDefault="00AB4561" w:rsidP="00B8624D">
            <w:pPr>
              <w:jc w:val="both"/>
              <w:rPr>
                <w:rFonts w:ascii="Verdana" w:eastAsia="Calibri" w:hAnsi="Verdana"/>
                <w:lang w:eastAsia="en-US"/>
              </w:rPr>
            </w:pPr>
            <w:r w:rsidRPr="00962489">
              <w:rPr>
                <w:rFonts w:ascii="Verdana" w:eastAsia="Calibri" w:hAnsi="Verdana"/>
                <w:lang w:eastAsia="en-US"/>
              </w:rPr>
              <w:t>La Sentencia C</w:t>
            </w:r>
            <w:r>
              <w:rPr>
                <w:rFonts w:ascii="Verdana" w:eastAsia="Calibri" w:hAnsi="Verdana"/>
                <w:lang w:eastAsia="en-US"/>
              </w:rPr>
              <w:t xml:space="preserve">-667 de 2006 de </w:t>
            </w:r>
            <w:r w:rsidRPr="00962489">
              <w:rPr>
                <w:rFonts w:ascii="Verdana" w:eastAsia="Calibri" w:hAnsi="Verdana"/>
                <w:lang w:eastAsia="en-US"/>
              </w:rPr>
              <w:t xml:space="preserve">la </w:t>
            </w:r>
            <w:r>
              <w:rPr>
                <w:rFonts w:ascii="Verdana" w:eastAsia="Calibri" w:hAnsi="Verdana"/>
                <w:lang w:eastAsia="en-US"/>
              </w:rPr>
              <w:t xml:space="preserve">Honorable </w:t>
            </w:r>
            <w:r w:rsidRPr="00962489">
              <w:rPr>
                <w:rFonts w:ascii="Verdana" w:eastAsia="Calibri" w:hAnsi="Verdana"/>
                <w:lang w:eastAsia="en-US"/>
              </w:rPr>
              <w:t>Corte Constitucional h</w:t>
            </w:r>
            <w:r>
              <w:rPr>
                <w:rFonts w:ascii="Verdana" w:eastAsia="Calibri" w:hAnsi="Verdana"/>
                <w:lang w:eastAsia="en-US"/>
              </w:rPr>
              <w:t>izo</w:t>
            </w:r>
            <w:r w:rsidRPr="00962489">
              <w:rPr>
                <w:rFonts w:ascii="Verdana" w:eastAsia="Calibri" w:hAnsi="Verdana"/>
                <w:lang w:eastAsia="en-US"/>
              </w:rPr>
              <w:t xml:space="preserve"> énfasis en que las mujeres como grupo poblacional son un actor diferencial de esp</w:t>
            </w:r>
            <w:r>
              <w:rPr>
                <w:rFonts w:ascii="Verdana" w:eastAsia="Calibri" w:hAnsi="Verdana"/>
                <w:lang w:eastAsia="en-US"/>
              </w:rPr>
              <w:t>e</w:t>
            </w:r>
            <w:r w:rsidRPr="00962489">
              <w:rPr>
                <w:rFonts w:ascii="Verdana" w:eastAsia="Calibri" w:hAnsi="Verdana"/>
                <w:lang w:eastAsia="en-US"/>
              </w:rPr>
              <w:t>ci</w:t>
            </w:r>
            <w:r>
              <w:rPr>
                <w:rFonts w:ascii="Verdana" w:eastAsia="Calibri" w:hAnsi="Verdana"/>
                <w:lang w:eastAsia="en-US"/>
              </w:rPr>
              <w:t>a</w:t>
            </w:r>
            <w:r w:rsidRPr="00962489">
              <w:rPr>
                <w:rFonts w:ascii="Verdana" w:eastAsia="Calibri" w:hAnsi="Verdana"/>
                <w:lang w:eastAsia="en-US"/>
              </w:rPr>
              <w:t xml:space="preserve">l protección </w:t>
            </w:r>
            <w:r w:rsidRPr="00F928B7">
              <w:rPr>
                <w:rFonts w:ascii="Verdana" w:eastAsia="Calibri" w:hAnsi="Verdana"/>
                <w:i/>
                <w:iCs/>
                <w:lang w:eastAsia="en-US"/>
              </w:rPr>
              <w:t>“(…) la mujer es sujeto constitucional de especial protección y en esa medida no sólo sus derechos generales sino igualmente los específicos, requieren de atención fija por parte de todo el poder público (…)”</w:t>
            </w:r>
            <w:r w:rsidRPr="00962489">
              <w:rPr>
                <w:rFonts w:ascii="Verdana" w:eastAsia="Calibri" w:hAnsi="Verdana"/>
                <w:lang w:eastAsia="en-US"/>
              </w:rPr>
              <w:t>.</w:t>
            </w:r>
          </w:p>
          <w:p w14:paraId="3E026F22" w14:textId="77777777" w:rsidR="00AB4561" w:rsidRDefault="00AB4561" w:rsidP="00B8624D">
            <w:pPr>
              <w:jc w:val="both"/>
              <w:rPr>
                <w:rFonts w:ascii="Verdana" w:eastAsia="Calibri" w:hAnsi="Verdana"/>
                <w:lang w:eastAsia="en-US"/>
              </w:rPr>
            </w:pPr>
          </w:p>
          <w:p w14:paraId="41FB3A61" w14:textId="6E8432A6" w:rsidR="00AB4561" w:rsidRDefault="0F50976E" w:rsidP="163BC4B9">
            <w:pPr>
              <w:jc w:val="both"/>
              <w:rPr>
                <w:rFonts w:ascii="Verdana" w:eastAsia="Verdana" w:hAnsi="Verdana" w:cs="Verdana"/>
                <w:color w:val="000000" w:themeColor="text1"/>
                <w:lang w:val="es-CO"/>
              </w:rPr>
            </w:pPr>
            <w:r w:rsidRPr="09400DC1">
              <w:rPr>
                <w:rFonts w:ascii="Verdana" w:eastAsia="Calibri" w:hAnsi="Verdana"/>
                <w:lang w:eastAsia="en-US"/>
              </w:rPr>
              <w:t>La Sentencia C-793 de 2009 reconoció la necesidad de establecer acciones afirmativas a favor del grupo poblacional de los recicladores</w:t>
            </w:r>
            <w:r w:rsidR="3EB1B9BE" w:rsidRPr="09400DC1">
              <w:rPr>
                <w:rFonts w:ascii="Verdana" w:eastAsia="Calibri" w:hAnsi="Verdana"/>
                <w:lang w:eastAsia="en-US"/>
              </w:rPr>
              <w:t>, especialmente los informales,</w:t>
            </w:r>
            <w:r w:rsidR="5DA7C2F6" w:rsidRPr="09400DC1">
              <w:rPr>
                <w:rFonts w:ascii="Verdana" w:eastAsia="Calibri" w:hAnsi="Verdana"/>
                <w:lang w:eastAsia="en-US"/>
              </w:rPr>
              <w:t xml:space="preserve"> </w:t>
            </w:r>
            <w:r w:rsidRPr="09400DC1">
              <w:rPr>
                <w:rFonts w:ascii="Verdana" w:eastAsia="Calibri" w:hAnsi="Verdana"/>
                <w:lang w:eastAsia="en-US"/>
              </w:rPr>
              <w:t xml:space="preserve">debido a su situación socioeconómica que los ubica en una situación de debilidad manifiesta; en tal sentido, se debe consolidar de manera progresiva una igualdad material y superar las barreras que impiden el goce efectivo de derechos en dignidad. En tal sentido, la Corte Constitucional </w:t>
            </w:r>
            <w:r w:rsidRPr="09400DC1">
              <w:rPr>
                <w:rFonts w:ascii="Verdana" w:eastAsia="Calibri" w:hAnsi="Verdana"/>
                <w:i/>
                <w:iCs/>
                <w:lang w:eastAsia="en-US"/>
              </w:rPr>
              <w:t>“(…) señala como una obligación del Estado la de promover las condiciones para que la igualdad sea real y efectiva, adoptando medidas a favor de grupos discriminados o marginados (</w:t>
            </w:r>
            <w:r w:rsidR="6C247609" w:rsidRPr="09400DC1">
              <w:rPr>
                <w:rFonts w:ascii="Verdana" w:eastAsia="Calibri" w:hAnsi="Verdana"/>
                <w:i/>
                <w:iCs/>
                <w:lang w:eastAsia="en-US"/>
              </w:rPr>
              <w:t>…)</w:t>
            </w:r>
          </w:p>
          <w:p w14:paraId="5D31F70A" w14:textId="5D47FC43" w:rsidR="163BC4B9" w:rsidRDefault="163BC4B9" w:rsidP="163BC4B9">
            <w:pPr>
              <w:jc w:val="both"/>
              <w:rPr>
                <w:rFonts w:ascii="Verdana" w:eastAsia="Verdana" w:hAnsi="Verdana" w:cs="Verdana"/>
                <w:color w:val="000000" w:themeColor="text1"/>
                <w:lang w:val="es-CO"/>
              </w:rPr>
            </w:pPr>
          </w:p>
          <w:p w14:paraId="35D872D1" w14:textId="37933274" w:rsidR="3F4726EE" w:rsidRDefault="3F4726EE" w:rsidP="163BC4B9">
            <w:pPr>
              <w:jc w:val="both"/>
              <w:rPr>
                <w:rFonts w:ascii="Verdana" w:eastAsia="Verdana" w:hAnsi="Verdana" w:cs="Verdana"/>
                <w:color w:val="000000" w:themeColor="text1"/>
                <w:lang w:val="es-CO"/>
              </w:rPr>
            </w:pPr>
            <w:r w:rsidRPr="163BC4B9">
              <w:rPr>
                <w:rFonts w:ascii="Verdana" w:eastAsia="Verdana" w:hAnsi="Verdana" w:cs="Verdana"/>
                <w:color w:val="000000" w:themeColor="text1"/>
                <w:lang w:val="es-CO"/>
              </w:rPr>
              <w:t xml:space="preserve">En el Auto - 268 de 2010, la Honorable Corte Constitucional señalo que, además de la condición de vulnerabilidad de la población </w:t>
            </w:r>
            <w:r w:rsidR="6ABB468A" w:rsidRPr="163BC4B9">
              <w:rPr>
                <w:rFonts w:ascii="Verdana" w:eastAsia="Verdana" w:hAnsi="Verdana" w:cs="Verdana"/>
                <w:color w:val="000000" w:themeColor="text1"/>
                <w:lang w:val="es-CO"/>
              </w:rPr>
              <w:t>recicladora:</w:t>
            </w:r>
          </w:p>
          <w:p w14:paraId="6AB595B9" w14:textId="7BF4E5A5" w:rsidR="163BC4B9" w:rsidRDefault="163BC4B9" w:rsidP="163BC4B9">
            <w:pPr>
              <w:spacing w:line="259" w:lineRule="auto"/>
              <w:jc w:val="both"/>
              <w:rPr>
                <w:rFonts w:ascii="Verdana" w:eastAsia="Calibri" w:hAnsi="Verdana"/>
                <w:lang w:val="es-CO" w:eastAsia="en-US"/>
              </w:rPr>
            </w:pPr>
          </w:p>
          <w:p w14:paraId="2B66A2B4" w14:textId="3BF202CF" w:rsidR="6ABB468A" w:rsidRDefault="3D7B9866" w:rsidP="163BC4B9">
            <w:pPr>
              <w:spacing w:line="259" w:lineRule="auto"/>
              <w:jc w:val="both"/>
              <w:rPr>
                <w:rFonts w:ascii="Verdana" w:eastAsia="Calibri" w:hAnsi="Verdana"/>
                <w:lang w:val="es-CO" w:eastAsia="en-US"/>
              </w:rPr>
            </w:pPr>
            <w:r w:rsidRPr="09400DC1">
              <w:rPr>
                <w:rFonts w:ascii="Verdana" w:eastAsia="Calibri" w:hAnsi="Verdana"/>
                <w:lang w:val="es-CO" w:eastAsia="en-US"/>
              </w:rPr>
              <w:t>“(…) existen otros criterios materiales que justifican que los recicladores sean sujetos de especial protección constitucional, y uno de ellos es la labor ambiental que cumplen, así como el hecho de que la sociedad entera se beneficie de la misma a pesar de que ellos no necesariamente se vean favorecidos o retribuidos por ella (…)”</w:t>
            </w:r>
          </w:p>
          <w:p w14:paraId="67ABF71C" w14:textId="77777777" w:rsidR="00932753" w:rsidRDefault="00932753" w:rsidP="00932753">
            <w:pPr>
              <w:jc w:val="both"/>
              <w:rPr>
                <w:rFonts w:ascii="Verdana" w:eastAsia="Calibri" w:hAnsi="Verdana"/>
                <w:i/>
                <w:lang w:eastAsia="en-US"/>
              </w:rPr>
            </w:pPr>
          </w:p>
          <w:p w14:paraId="4B33CE81" w14:textId="4A205A46" w:rsidR="00932753" w:rsidRDefault="6C247609" w:rsidP="388D4128">
            <w:pPr>
              <w:jc w:val="both"/>
              <w:rPr>
                <w:rFonts w:ascii="Verdana" w:eastAsia="Calibri" w:hAnsi="Verdana"/>
                <w:lang w:eastAsia="en-US"/>
              </w:rPr>
            </w:pPr>
            <w:r w:rsidRPr="09400DC1">
              <w:rPr>
                <w:rFonts w:ascii="Verdana" w:eastAsia="Calibri" w:hAnsi="Verdana"/>
                <w:lang w:eastAsia="en-US"/>
              </w:rPr>
              <w:t xml:space="preserve">Adicionalmente, </w:t>
            </w:r>
            <w:r w:rsidR="3035476C" w:rsidRPr="09400DC1">
              <w:rPr>
                <w:rFonts w:ascii="Verdana" w:eastAsia="Verdana" w:hAnsi="Verdana" w:cs="Verdana"/>
                <w:lang w:val="es"/>
              </w:rPr>
              <w:t>en la Sentencia T-740 de 2015 la Honorable Corte Constitucional hace énfasis en considerar a los recicladores como sujetos de especial protección constitucional por su situación de marginalidad e importante labor que ejercen en la sociedad y en tal sentido requieren por parte del Estado actuaciones de orden positivo para superar las barreras de desigualdad que limitan el goce efectivo de sus derechos</w:t>
            </w:r>
            <w:r w:rsidRPr="09400DC1">
              <w:rPr>
                <w:rFonts w:ascii="Verdana" w:eastAsia="Calibri" w:hAnsi="Verdana"/>
                <w:lang w:eastAsia="en-US"/>
              </w:rPr>
              <w:t>:</w:t>
            </w:r>
          </w:p>
          <w:p w14:paraId="1D8602D5" w14:textId="77777777" w:rsidR="00932753" w:rsidRDefault="00932753" w:rsidP="00932753">
            <w:pPr>
              <w:jc w:val="both"/>
              <w:rPr>
                <w:rFonts w:ascii="Verdana" w:eastAsia="Calibri" w:hAnsi="Verdana"/>
                <w:lang w:eastAsia="en-US"/>
              </w:rPr>
            </w:pPr>
          </w:p>
          <w:p w14:paraId="3927624C" w14:textId="77777777" w:rsidR="00932753" w:rsidRDefault="00932753" w:rsidP="00932753">
            <w:pPr>
              <w:ind w:left="708"/>
              <w:jc w:val="both"/>
              <w:rPr>
                <w:rFonts w:ascii="Verdana" w:eastAsia="Calibri" w:hAnsi="Verdana"/>
                <w:i/>
                <w:lang w:eastAsia="en-US"/>
              </w:rPr>
            </w:pPr>
            <w:r w:rsidRPr="00112463">
              <w:rPr>
                <w:rFonts w:ascii="Verdana" w:eastAsia="Calibri" w:hAnsi="Verdana"/>
                <w:i/>
                <w:lang w:eastAsia="en-US"/>
              </w:rPr>
              <w:t>“(…)</w:t>
            </w:r>
            <w:r>
              <w:rPr>
                <w:rFonts w:ascii="Verdana" w:eastAsia="Calibri" w:hAnsi="Verdana"/>
                <w:i/>
                <w:lang w:eastAsia="en-US"/>
              </w:rPr>
              <w:t xml:space="preserve"> </w:t>
            </w:r>
            <w:r w:rsidRPr="00112463">
              <w:rPr>
                <w:rFonts w:ascii="Verdana" w:eastAsia="Calibri" w:hAnsi="Verdana"/>
                <w:i/>
                <w:lang w:eastAsia="en-US"/>
              </w:rPr>
              <w:t>En suma, no cabe duda de que los recicladores son sujetos de especial protección constitucional, por las condiciones de vulnerabilidad en que se encuentran y por las situaciones bajo las cuales ejercen su actividad, sin desconocer la importancia ambiental de su labor que beneficia al colectivo en general, así como a las generaciones futuras. Lo anterior es relevante</w:t>
            </w:r>
            <w:r>
              <w:rPr>
                <w:rFonts w:ascii="Verdana" w:eastAsia="Calibri" w:hAnsi="Verdana"/>
                <w:i/>
                <w:lang w:eastAsia="en-US"/>
              </w:rPr>
              <w:t xml:space="preserve"> (…)</w:t>
            </w:r>
            <w:r w:rsidRPr="00112463">
              <w:rPr>
                <w:rFonts w:ascii="Verdana" w:eastAsia="Calibri" w:hAnsi="Verdana"/>
                <w:i/>
                <w:lang w:eastAsia="en-US"/>
              </w:rPr>
              <w:t xml:space="preserve"> dicha condición genera consecuencias frente a dos postulados de la cláusula general de igualdad. Así, por un lado, repercute en el derecho a no ser discriminado, que de suyo también significa el derecho a no padecer un empeoramiento de la situación en que sobreviven, salvo que se satisfagan criterios de razonabilidad y de morigeración de los impactos adversos; y por lo otro, los convierte en beneficiarios de las denominadas acciones afirmativas, que tienen por finalidad incidir en las situaciones que generan las condiciones de desventaja, con el objeto de que puedan gozar de los derechos de que son titulares en </w:t>
            </w:r>
            <w:r>
              <w:rPr>
                <w:rFonts w:ascii="Verdana" w:eastAsia="Calibri" w:hAnsi="Verdana"/>
                <w:i/>
                <w:lang w:eastAsia="en-US"/>
              </w:rPr>
              <w:t>igualdad de condiciones (…)”.</w:t>
            </w:r>
          </w:p>
          <w:p w14:paraId="36F2CAF0" w14:textId="77777777" w:rsidR="00932753" w:rsidRDefault="00932753" w:rsidP="00B8624D">
            <w:pPr>
              <w:jc w:val="both"/>
              <w:rPr>
                <w:rFonts w:ascii="Verdana" w:eastAsia="Calibri" w:hAnsi="Verdana"/>
                <w:i/>
                <w:lang w:eastAsia="en-US"/>
              </w:rPr>
            </w:pPr>
          </w:p>
          <w:p w14:paraId="1B601E0D" w14:textId="77777777" w:rsidR="00B8624D" w:rsidRPr="00DB5DE6" w:rsidRDefault="00B000F1" w:rsidP="00B8624D">
            <w:pPr>
              <w:jc w:val="both"/>
              <w:rPr>
                <w:rFonts w:ascii="Verdana" w:hAnsi="Verdana" w:cs="Arial"/>
                <w:lang w:val="es-CO" w:eastAsia="es-CO"/>
              </w:rPr>
            </w:pPr>
            <w:r w:rsidRPr="00DB5DE6">
              <w:rPr>
                <w:rFonts w:ascii="Verdana" w:hAnsi="Verdana" w:cs="Arial"/>
                <w:lang w:val="es-CO" w:eastAsia="es-CO"/>
              </w:rPr>
              <w:t>L</w:t>
            </w:r>
            <w:r w:rsidR="00B8624D" w:rsidRPr="00DB5DE6">
              <w:rPr>
                <w:rFonts w:ascii="Verdana" w:hAnsi="Verdana" w:cs="Arial"/>
                <w:lang w:val="es-CO" w:eastAsia="es-CO"/>
              </w:rPr>
              <w:t>a sentencia C-493 de 2015, definió que el derecho a la vida digna tiene un carácter progresivo, en cuanto existen acciones de cumplimiento inmediato, de corto plazo y otras que requieren de un desarrollo progresivo:</w:t>
            </w:r>
          </w:p>
          <w:p w14:paraId="516D896D" w14:textId="77777777" w:rsidR="00B8624D" w:rsidRPr="00DB5DE6" w:rsidRDefault="00B8624D" w:rsidP="00B8624D">
            <w:pPr>
              <w:jc w:val="both"/>
              <w:rPr>
                <w:rFonts w:ascii="Verdana" w:hAnsi="Verdana" w:cs="Arial"/>
                <w:lang w:val="es-CO" w:eastAsia="es-CO"/>
              </w:rPr>
            </w:pPr>
          </w:p>
          <w:p w14:paraId="723DF6FB" w14:textId="77777777" w:rsidR="00B8624D" w:rsidRPr="00DB5DE6" w:rsidRDefault="00B8624D" w:rsidP="00B8624D">
            <w:pPr>
              <w:ind w:left="708"/>
              <w:jc w:val="both"/>
              <w:rPr>
                <w:rFonts w:ascii="Verdana" w:hAnsi="Verdana" w:cs="Arial"/>
                <w:i/>
                <w:iCs/>
                <w:lang w:val="es-CO" w:eastAsia="es-CO"/>
              </w:rPr>
            </w:pPr>
            <w:r w:rsidRPr="00DB5DE6">
              <w:rPr>
                <w:rFonts w:ascii="Verdana" w:hAnsi="Verdana" w:cs="Arial"/>
                <w:i/>
                <w:iCs/>
                <w:lang w:val="es-CO" w:eastAsia="es-CO"/>
              </w:rPr>
              <w:lastRenderedPageBreak/>
              <w:t xml:space="preserve">“para la Corte, </w:t>
            </w:r>
            <w:r w:rsidRPr="00DB5DE6">
              <w:rPr>
                <w:rFonts w:ascii="Verdana" w:hAnsi="Verdana" w:cs="Arial"/>
                <w:b/>
                <w:bCs/>
                <w:i/>
                <w:iCs/>
                <w:lang w:val="es-CO" w:eastAsia="es-CO"/>
              </w:rPr>
              <w:t>el derecho a la vivienda digna es de carácter progresivo y supone para el Estado la carga de brindar los medios que conduzcan a su materialización</w:t>
            </w:r>
            <w:r w:rsidRPr="00DB5DE6">
              <w:rPr>
                <w:rFonts w:ascii="Verdana" w:hAnsi="Verdana" w:cs="Arial"/>
                <w:i/>
                <w:iCs/>
                <w:lang w:val="es-CO" w:eastAsia="es-CO"/>
              </w:rPr>
              <w:t>. para cumplir con ese objetivo, las autoridades deben expedir los instrumentos legislativos que permitan la creación de un sistema coordinado entre las distintas entidades y que:</w:t>
            </w:r>
          </w:p>
          <w:p w14:paraId="4E38F9F6" w14:textId="77777777" w:rsidR="00B8624D" w:rsidRPr="00DB5DE6" w:rsidRDefault="00B8624D" w:rsidP="00B8624D">
            <w:pPr>
              <w:ind w:left="708"/>
              <w:jc w:val="both"/>
              <w:rPr>
                <w:rFonts w:ascii="Verdana" w:hAnsi="Verdana" w:cs="Arial"/>
                <w:i/>
                <w:iCs/>
                <w:lang w:val="es-CO" w:eastAsia="es-CO"/>
              </w:rPr>
            </w:pPr>
          </w:p>
          <w:p w14:paraId="7ADA3917" w14:textId="77777777" w:rsidR="00B8624D" w:rsidRPr="00DB5DE6" w:rsidRDefault="00B8624D" w:rsidP="00B8624D">
            <w:pPr>
              <w:ind w:left="708"/>
              <w:jc w:val="both"/>
              <w:rPr>
                <w:rFonts w:ascii="Verdana" w:hAnsi="Verdana" w:cs="Arial"/>
                <w:i/>
                <w:iCs/>
                <w:lang w:val="es-CO" w:eastAsia="es-CO"/>
              </w:rPr>
            </w:pPr>
            <w:r w:rsidRPr="00DB5DE6">
              <w:rPr>
                <w:rFonts w:ascii="Verdana" w:hAnsi="Verdana" w:cs="Arial"/>
                <w:i/>
                <w:iCs/>
                <w:lang w:val="es-CO" w:eastAsia="es-CO"/>
              </w:rPr>
              <w:t xml:space="preserve">“(…) de forma concatenada, haga uso eficiente de los recursos para garantizar que la población más vulnerable de la </w:t>
            </w:r>
            <w:proofErr w:type="gramStart"/>
            <w:r w:rsidRPr="00DB5DE6">
              <w:rPr>
                <w:rFonts w:ascii="Verdana" w:hAnsi="Verdana" w:cs="Arial"/>
                <w:i/>
                <w:iCs/>
                <w:lang w:val="es-CO" w:eastAsia="es-CO"/>
              </w:rPr>
              <w:t>sociedad,</w:t>
            </w:r>
            <w:proofErr w:type="gramEnd"/>
            <w:r w:rsidRPr="00DB5DE6">
              <w:rPr>
                <w:rFonts w:ascii="Verdana" w:hAnsi="Verdana" w:cs="Arial"/>
                <w:i/>
                <w:iCs/>
                <w:lang w:val="es-CO" w:eastAsia="es-CO"/>
              </w:rPr>
              <w:t xml:space="preserve"> pueda contar con las condiciones necesarias para acceder a una solución de vivienda digna de acuerdo con los lineamientos establecidos por los instrumentos internacionales incorporados en el ordenamiento jurídico colombiano”</w:t>
            </w:r>
          </w:p>
          <w:p w14:paraId="20CD28AF" w14:textId="77777777" w:rsidR="00B8624D" w:rsidRPr="00DB5DE6" w:rsidRDefault="00B8624D" w:rsidP="00B8624D">
            <w:pPr>
              <w:ind w:left="708"/>
              <w:jc w:val="both"/>
              <w:rPr>
                <w:rFonts w:ascii="Verdana" w:hAnsi="Verdana" w:cs="Arial"/>
                <w:i/>
                <w:iCs/>
                <w:lang w:val="es-CO" w:eastAsia="es-CO"/>
              </w:rPr>
            </w:pPr>
            <w:r w:rsidRPr="00DB5DE6">
              <w:rPr>
                <w:rFonts w:ascii="Verdana" w:hAnsi="Verdana" w:cs="Arial"/>
                <w:i/>
                <w:iCs/>
                <w:lang w:val="es-CO" w:eastAsia="es-CO"/>
              </w:rPr>
              <w:t> </w:t>
            </w:r>
          </w:p>
          <w:p w14:paraId="799E88D4" w14:textId="77777777" w:rsidR="00B8624D" w:rsidRPr="00DB5DE6" w:rsidRDefault="00B8624D" w:rsidP="00B8624D">
            <w:pPr>
              <w:ind w:left="708"/>
              <w:jc w:val="both"/>
              <w:rPr>
                <w:rFonts w:ascii="Verdana" w:hAnsi="Verdana" w:cs="Arial"/>
                <w:lang w:val="es-CO" w:eastAsia="es-CO"/>
              </w:rPr>
            </w:pPr>
            <w:r w:rsidRPr="00DB5DE6">
              <w:rPr>
                <w:rFonts w:ascii="Verdana" w:hAnsi="Verdana" w:cs="Arial"/>
                <w:i/>
                <w:iCs/>
                <w:lang w:val="es-CO" w:eastAsia="es-CO"/>
              </w:rPr>
              <w:t xml:space="preserve">(…) A partir de lo anterior, la Corte ha identificado que la garantía superior a la vivienda guarda estrecha relación con la dignidad humana y otros derechos fundamentales, como la vida, el mínimo vital, la salud, la educación y el acceso a los servicios del Estado. Estos no podrían ser eficaces si el individuo no contara con un lugar de habitación digno y adecuado para desarrollar su proyecto de vida. Con base en ello, el tribunal ha sostenido que la vivienda constituye un derecho fundamental autónomo. Sin embargo, </w:t>
            </w:r>
            <w:r w:rsidRPr="00DB5DE6">
              <w:rPr>
                <w:rFonts w:ascii="Verdana" w:hAnsi="Verdana" w:cs="Arial"/>
                <w:b/>
                <w:bCs/>
                <w:i/>
                <w:iCs/>
                <w:lang w:val="es-CO" w:eastAsia="es-CO"/>
              </w:rPr>
              <w:t>le corresponde al Estado fijar las condiciones para hacerlo efectivo de manera progresiva conforme a la disponibilidad de recursos y la capacidad humana</w:t>
            </w:r>
            <w:r w:rsidRPr="00DB5DE6">
              <w:rPr>
                <w:rFonts w:ascii="Verdana" w:hAnsi="Verdana" w:cs="Arial"/>
                <w:i/>
                <w:iCs/>
                <w:lang w:val="es-CO" w:eastAsia="es-CO"/>
              </w:rPr>
              <w:t>, de modo que se garanticen: “plenas condiciones de seguridad jurídica, disponibilidad, sostenibilidad, habitabilidad, asequibilidad, adecuación espacial y adecuación cultural”</w:t>
            </w:r>
            <w:r w:rsidRPr="00DB5DE6">
              <w:rPr>
                <w:rFonts w:ascii="Verdana" w:hAnsi="Verdana" w:cs="Arial"/>
                <w:lang w:val="es-CO" w:eastAsia="es-CO"/>
              </w:rPr>
              <w:t xml:space="preserve">. Negrita fuera de texto. </w:t>
            </w:r>
          </w:p>
          <w:p w14:paraId="51F42340" w14:textId="77777777" w:rsidR="00B8624D" w:rsidRPr="00DB5DE6" w:rsidRDefault="00B8624D" w:rsidP="00B8624D">
            <w:pPr>
              <w:jc w:val="both"/>
              <w:rPr>
                <w:rFonts w:ascii="Verdana" w:hAnsi="Verdana" w:cs="Arial"/>
                <w:lang w:val="es-CO" w:eastAsia="es-CO"/>
              </w:rPr>
            </w:pPr>
          </w:p>
          <w:p w14:paraId="1DF9405E" w14:textId="77777777" w:rsidR="008B48A8" w:rsidRPr="00DB5DE6" w:rsidRDefault="008B48A8" w:rsidP="008B48A8">
            <w:pPr>
              <w:jc w:val="both"/>
              <w:rPr>
                <w:rFonts w:ascii="Verdana" w:hAnsi="Verdana"/>
                <w:lang w:val="es-CO"/>
              </w:rPr>
            </w:pPr>
            <w:r w:rsidRPr="00DB5DE6">
              <w:rPr>
                <w:rFonts w:ascii="Verdana" w:hAnsi="Verdana"/>
                <w:lang w:val="es-CO"/>
              </w:rPr>
              <w:t xml:space="preserve">En los Autos de seguimiento </w:t>
            </w:r>
            <w:r w:rsidR="005F70FC">
              <w:rPr>
                <w:rFonts w:ascii="Verdana" w:hAnsi="Verdana"/>
                <w:lang w:val="es-CO"/>
              </w:rPr>
              <w:t xml:space="preserve">Nos. </w:t>
            </w:r>
            <w:r w:rsidRPr="00DB5DE6">
              <w:rPr>
                <w:rFonts w:ascii="Verdana" w:hAnsi="Verdana"/>
                <w:lang w:val="es-CO"/>
              </w:rPr>
              <w:t>373 de 2016 y 310 de 2023 de la Sentencia T</w:t>
            </w:r>
            <w:r w:rsidR="006767E2">
              <w:rPr>
                <w:rFonts w:ascii="Verdana" w:hAnsi="Verdana"/>
                <w:lang w:val="es-CO"/>
              </w:rPr>
              <w:t>-</w:t>
            </w:r>
            <w:r w:rsidRPr="00DB5DE6">
              <w:rPr>
                <w:rFonts w:ascii="Verdana" w:hAnsi="Verdana"/>
                <w:lang w:val="es-CO"/>
              </w:rPr>
              <w:t>025 de 2004, la Honorable Corte Constitucional identific</w:t>
            </w:r>
            <w:r w:rsidR="005F70FC">
              <w:rPr>
                <w:rFonts w:ascii="Verdana" w:hAnsi="Verdana"/>
                <w:lang w:val="es-CO"/>
              </w:rPr>
              <w:t>ó</w:t>
            </w:r>
            <w:r w:rsidRPr="00DB5DE6">
              <w:rPr>
                <w:rFonts w:ascii="Verdana" w:hAnsi="Verdana"/>
                <w:lang w:val="es-CO"/>
              </w:rPr>
              <w:t xml:space="preserve"> una serie de fallas estructurales para la superación del Estado de Cosas Inconstitucional – ECI en materia de acceso y garantía de derechos de la población en situación de Desplazamiento Forzado y de las víctimas en el país. </w:t>
            </w:r>
            <w:r w:rsidR="00E00E75">
              <w:rPr>
                <w:rFonts w:ascii="Verdana" w:hAnsi="Verdana"/>
                <w:lang w:val="es-CO"/>
              </w:rPr>
              <w:t>Al respecto</w:t>
            </w:r>
            <w:r w:rsidRPr="00DB5DE6">
              <w:rPr>
                <w:rFonts w:ascii="Verdana" w:hAnsi="Verdana"/>
                <w:lang w:val="es-CO"/>
              </w:rPr>
              <w:t>, solicit</w:t>
            </w:r>
            <w:r w:rsidR="005F70FC">
              <w:rPr>
                <w:rFonts w:ascii="Verdana" w:hAnsi="Verdana"/>
                <w:lang w:val="es-CO"/>
              </w:rPr>
              <w:t>ó</w:t>
            </w:r>
            <w:r w:rsidRPr="00DB5DE6">
              <w:rPr>
                <w:rFonts w:ascii="Verdana" w:hAnsi="Verdana"/>
                <w:lang w:val="es-CO"/>
              </w:rPr>
              <w:t xml:space="preserve"> al Gobierno nacional </w:t>
            </w:r>
            <w:r w:rsidR="005F70FC">
              <w:rPr>
                <w:rFonts w:ascii="Verdana" w:hAnsi="Verdana"/>
                <w:lang w:val="es-CO"/>
              </w:rPr>
              <w:t>la construcción de</w:t>
            </w:r>
            <w:r w:rsidRPr="00DB5DE6">
              <w:rPr>
                <w:rFonts w:ascii="Verdana" w:hAnsi="Verdana"/>
                <w:lang w:val="es-CO"/>
              </w:rPr>
              <w:t xml:space="preserve"> instrumentos de política pública que garanticen el acceso y goce efectivo de derechos de la población víctima del conflicto armado, entre los que se encuentra el acceso progresivo al derecho a la vivienda.</w:t>
            </w:r>
          </w:p>
          <w:p w14:paraId="7E27221F" w14:textId="77777777" w:rsidR="008B48A8" w:rsidRPr="00DB5DE6" w:rsidRDefault="008B48A8" w:rsidP="008B48A8">
            <w:pPr>
              <w:jc w:val="both"/>
              <w:rPr>
                <w:rFonts w:ascii="Verdana" w:hAnsi="Verdana"/>
                <w:lang w:val="es-CO"/>
              </w:rPr>
            </w:pPr>
          </w:p>
          <w:p w14:paraId="3E550682" w14:textId="77777777" w:rsidR="008B48A8" w:rsidRDefault="008B48A8" w:rsidP="008B48A8">
            <w:pPr>
              <w:jc w:val="both"/>
              <w:rPr>
                <w:rFonts w:ascii="Verdana" w:hAnsi="Verdana"/>
                <w:lang w:val="es-CO"/>
              </w:rPr>
            </w:pPr>
            <w:r w:rsidRPr="00DB5DE6">
              <w:rPr>
                <w:rFonts w:ascii="Verdana" w:hAnsi="Verdana"/>
                <w:lang w:val="es-CO"/>
              </w:rPr>
              <w:t>Por otro lado,</w:t>
            </w:r>
            <w:r w:rsidR="006767E2">
              <w:rPr>
                <w:rFonts w:ascii="Verdana" w:hAnsi="Verdana"/>
                <w:lang w:val="es-CO"/>
              </w:rPr>
              <w:t xml:space="preserve"> </w:t>
            </w:r>
            <w:r w:rsidRPr="00DB5DE6">
              <w:rPr>
                <w:rFonts w:ascii="Verdana" w:hAnsi="Verdana"/>
                <w:lang w:val="es-CO"/>
              </w:rPr>
              <w:t>la Honorable Corte Constitucional en la sentencia SU</w:t>
            </w:r>
            <w:r w:rsidR="006767E2">
              <w:rPr>
                <w:rFonts w:ascii="Verdana" w:hAnsi="Verdana"/>
                <w:lang w:val="es-CO"/>
              </w:rPr>
              <w:t>-</w:t>
            </w:r>
            <w:r w:rsidRPr="00DB5DE6">
              <w:rPr>
                <w:rFonts w:ascii="Verdana" w:hAnsi="Verdana"/>
                <w:lang w:val="es-CO"/>
              </w:rPr>
              <w:t>016 de 2021 señal</w:t>
            </w:r>
            <w:r w:rsidR="009D3C0D">
              <w:rPr>
                <w:rFonts w:ascii="Verdana" w:hAnsi="Verdana"/>
                <w:lang w:val="es-CO"/>
              </w:rPr>
              <w:t>ó</w:t>
            </w:r>
            <w:r w:rsidRPr="00DB5DE6">
              <w:rPr>
                <w:rFonts w:ascii="Verdana" w:hAnsi="Verdana"/>
                <w:lang w:val="es-CO"/>
              </w:rPr>
              <w:t xml:space="preserve"> que</w:t>
            </w:r>
            <w:r w:rsidR="006767E2">
              <w:rPr>
                <w:rFonts w:ascii="Verdana" w:hAnsi="Verdana"/>
                <w:lang w:val="es-CO"/>
              </w:rPr>
              <w:t xml:space="preserve">: </w:t>
            </w:r>
          </w:p>
          <w:p w14:paraId="5EE77DD2" w14:textId="77777777" w:rsidR="006767E2" w:rsidRPr="00DB5DE6" w:rsidRDefault="006767E2" w:rsidP="008B48A8">
            <w:pPr>
              <w:jc w:val="both"/>
              <w:rPr>
                <w:rFonts w:ascii="Verdana" w:hAnsi="Verdana"/>
                <w:lang w:val="es-CO"/>
              </w:rPr>
            </w:pPr>
          </w:p>
          <w:p w14:paraId="71D2BDE6" w14:textId="77777777" w:rsidR="008B48A8" w:rsidRPr="00DB5DE6" w:rsidRDefault="008B48A8" w:rsidP="006767E2">
            <w:pPr>
              <w:ind w:left="708"/>
              <w:jc w:val="both"/>
              <w:rPr>
                <w:rFonts w:ascii="Verdana" w:hAnsi="Verdana"/>
                <w:shd w:val="clear" w:color="auto" w:fill="FFFFFF"/>
                <w:lang w:val="es-CO"/>
              </w:rPr>
            </w:pPr>
            <w:r w:rsidRPr="00DB5DE6">
              <w:rPr>
                <w:rFonts w:ascii="Verdana" w:hAnsi="Verdana"/>
                <w:lang w:val="es-CO"/>
              </w:rPr>
              <w:t xml:space="preserve">“(…) </w:t>
            </w:r>
            <w:r w:rsidRPr="00DB5DE6">
              <w:rPr>
                <w:rFonts w:ascii="Verdana" w:hAnsi="Verdana"/>
                <w:i/>
                <w:lang w:val="es-CO"/>
              </w:rPr>
              <w:t>el derecho a la vivienda digna de las víctimas (…) es fundamental y merece una actuación reforzada de Estado para su protección y restablecimiento (…) Además, las autoridades tienen la obligación de prever soluciones de vivienda temporal o permanente de manera digna, crear planes y programas sociales para acceder a estas soluciones y proporcionar el debido acompañamiento para materializar esta prerrogativa</w:t>
            </w:r>
            <w:r w:rsidRPr="00DB5DE6">
              <w:rPr>
                <w:rFonts w:ascii="Verdana" w:hAnsi="Verdana"/>
                <w:shd w:val="clear" w:color="auto" w:fill="FFFFFF"/>
                <w:lang w:val="es-CO"/>
              </w:rPr>
              <w:t xml:space="preserve">”. </w:t>
            </w:r>
          </w:p>
          <w:p w14:paraId="3CCC0DE0" w14:textId="77777777" w:rsidR="008B48A8" w:rsidRPr="00DB5DE6" w:rsidRDefault="008B48A8" w:rsidP="008B48A8">
            <w:pPr>
              <w:jc w:val="both"/>
              <w:rPr>
                <w:rFonts w:ascii="Verdana" w:hAnsi="Verdana"/>
                <w:shd w:val="clear" w:color="auto" w:fill="FFFFFF"/>
                <w:lang w:val="es-CO"/>
              </w:rPr>
            </w:pPr>
          </w:p>
          <w:p w14:paraId="7B3D24CF" w14:textId="77777777" w:rsidR="008B48A8" w:rsidRPr="00DB5DE6" w:rsidRDefault="008B48A8" w:rsidP="008B48A8">
            <w:pPr>
              <w:jc w:val="both"/>
              <w:rPr>
                <w:rFonts w:ascii="Verdana" w:hAnsi="Verdana" w:cs="Arial"/>
                <w:lang w:val="es-CO" w:eastAsia="es-CO"/>
              </w:rPr>
            </w:pPr>
            <w:r w:rsidRPr="00DB5DE6">
              <w:rPr>
                <w:rFonts w:ascii="Verdana" w:hAnsi="Verdana"/>
                <w:lang w:val="es-CO"/>
              </w:rPr>
              <w:t xml:space="preserve">Adicionalmente, exhorta al Gobierno nacional a contar con una oferta institucional adecuada y </w:t>
            </w:r>
            <w:r w:rsidR="009D3C0D" w:rsidRPr="00DB5DE6">
              <w:rPr>
                <w:rFonts w:ascii="Verdana" w:hAnsi="Verdana"/>
                <w:lang w:val="es-CO"/>
              </w:rPr>
              <w:t>afín</w:t>
            </w:r>
            <w:r w:rsidRPr="00DB5DE6">
              <w:rPr>
                <w:rFonts w:ascii="Verdana" w:hAnsi="Verdana"/>
                <w:lang w:val="es-CO"/>
              </w:rPr>
              <w:t xml:space="preserve"> a las necesidades de la población víctima, principalmente de desplazamiento forzado y dirigida a la superación del Estado de Cosas Inconstitucional declarado en el marco de la Sentencia T</w:t>
            </w:r>
            <w:r w:rsidR="006767E2">
              <w:rPr>
                <w:rFonts w:ascii="Verdana" w:hAnsi="Verdana"/>
                <w:lang w:val="es-CO"/>
              </w:rPr>
              <w:t>-</w:t>
            </w:r>
            <w:r w:rsidRPr="00DB5DE6">
              <w:rPr>
                <w:rFonts w:ascii="Verdana" w:hAnsi="Verdana"/>
                <w:lang w:val="es-CO"/>
              </w:rPr>
              <w:t>025 de 2004.</w:t>
            </w:r>
          </w:p>
          <w:p w14:paraId="73BA229D" w14:textId="77777777" w:rsidR="00996050" w:rsidRPr="00DB5DE6" w:rsidRDefault="00996050" w:rsidP="00996050">
            <w:pPr>
              <w:jc w:val="both"/>
              <w:rPr>
                <w:rFonts w:ascii="Verdana" w:hAnsi="Verdana"/>
                <w:lang w:val="es-CO"/>
              </w:rPr>
            </w:pPr>
          </w:p>
          <w:p w14:paraId="46CEE655" w14:textId="308DEF22" w:rsidR="00996050" w:rsidRPr="00DB5DE6" w:rsidRDefault="00996050" w:rsidP="163BC4B9">
            <w:pPr>
              <w:jc w:val="both"/>
              <w:rPr>
                <w:rFonts w:ascii="Verdana" w:hAnsi="Verdana"/>
                <w:lang w:val="es-CO"/>
              </w:rPr>
            </w:pPr>
            <w:r w:rsidRPr="163BC4B9">
              <w:rPr>
                <w:rFonts w:ascii="Verdana" w:hAnsi="Verdana"/>
                <w:lang w:val="es-CO"/>
              </w:rPr>
              <w:t>Por otro lado, la sentencia SU</w:t>
            </w:r>
            <w:r w:rsidR="006767E2" w:rsidRPr="163BC4B9">
              <w:rPr>
                <w:rFonts w:ascii="Verdana" w:hAnsi="Verdana"/>
                <w:lang w:val="es-CO"/>
              </w:rPr>
              <w:t>-</w:t>
            </w:r>
            <w:r w:rsidRPr="163BC4B9">
              <w:rPr>
                <w:rFonts w:ascii="Verdana" w:hAnsi="Verdana"/>
                <w:lang w:val="es-CO"/>
              </w:rPr>
              <w:t>020 de 2022 declaró el Estado de Cosas Inconstitucional e</w:t>
            </w:r>
            <w:r w:rsidR="519D5EBD" w:rsidRPr="163BC4B9">
              <w:rPr>
                <w:rFonts w:ascii="Verdana" w:eastAsia="Verdana" w:hAnsi="Verdana" w:cs="Verdana"/>
                <w:lang w:val="es"/>
              </w:rPr>
              <w:t xml:space="preserve"> en materia de garantías de seguridad para la población firmante del Acuerdo de Paz entre el Gobierno nacional y las extintas FARC – EP, y solicitó al Gobierno nacional  promover y avanzar en la construcción y consolidación de una oferta pública que garantice la seguridad y vida de los y las firmantes y las condiciones mínimas</w:t>
            </w:r>
            <w:r w:rsidRPr="163BC4B9">
              <w:rPr>
                <w:rFonts w:ascii="Verdana" w:hAnsi="Verdana"/>
                <w:lang w:val="es-CO"/>
              </w:rPr>
              <w:t xml:space="preserve"> para el desarrollo de una </w:t>
            </w:r>
            <w:r w:rsidRPr="163BC4B9">
              <w:rPr>
                <w:rFonts w:ascii="Verdana" w:hAnsi="Verdana"/>
                <w:i/>
                <w:iCs/>
                <w:lang w:val="es-CO"/>
              </w:rPr>
              <w:t>reincorporación civil en condiciones de dignidad y con garantía de derechos</w:t>
            </w:r>
            <w:r w:rsidRPr="163BC4B9">
              <w:rPr>
                <w:rFonts w:ascii="Verdana" w:hAnsi="Verdana"/>
                <w:lang w:val="es-CO"/>
              </w:rPr>
              <w:t xml:space="preserve">. </w:t>
            </w:r>
          </w:p>
          <w:p w14:paraId="0A672A1E" w14:textId="77777777" w:rsidR="00996050" w:rsidRPr="00DB5DE6" w:rsidRDefault="00996050" w:rsidP="00996050">
            <w:pPr>
              <w:jc w:val="both"/>
              <w:rPr>
                <w:rFonts w:ascii="Verdana" w:hAnsi="Verdana"/>
                <w:lang w:val="es-CO"/>
              </w:rPr>
            </w:pPr>
          </w:p>
          <w:p w14:paraId="5FEDF07C" w14:textId="216751A0" w:rsidR="00F21112" w:rsidRDefault="00F21112" w:rsidP="163BC4B9">
            <w:pPr>
              <w:jc w:val="both"/>
              <w:rPr>
                <w:rFonts w:ascii="Verdana" w:hAnsi="Verdana"/>
                <w:lang w:val="es-CO"/>
              </w:rPr>
            </w:pPr>
            <w:r w:rsidRPr="163BC4B9">
              <w:rPr>
                <w:rFonts w:ascii="Verdana" w:hAnsi="Verdana"/>
                <w:lang w:val="es-CO"/>
              </w:rPr>
              <w:t xml:space="preserve">Específicamente, en el Auto No. 310 de 2023 de seguimiento de la Sentencia T-025 de 2004, la Corte Constitucional planteó la necesidad de establecer una orientación a la política pública dirigida a víctimas del conflicto armado, incluida la del sector de vivienda, con un enfoque de soluciones duraderas que permita el acceso progresivo al derecho a la vivienda por parte de las víctimas del conflicto armado. Por </w:t>
            </w:r>
            <w:r w:rsidRPr="163BC4B9">
              <w:rPr>
                <w:rFonts w:ascii="Verdana" w:hAnsi="Verdana"/>
                <w:lang w:val="es-CO"/>
              </w:rPr>
              <w:lastRenderedPageBreak/>
              <w:t xml:space="preserve">lo tanto, el Gobierno nacional es exhortado a ajustar la oferta institucional e incorporar acciones afirmativas que, de forma gradual y progresiva impacten a la población y que, desde el </w:t>
            </w:r>
            <w:r w:rsidRPr="163BC4B9">
              <w:rPr>
                <w:rFonts w:ascii="Verdana" w:hAnsi="Verdana"/>
                <w:i/>
                <w:iCs/>
                <w:lang w:val="es-CO"/>
              </w:rPr>
              <w:t>enfoque de soluciones duraderas</w:t>
            </w:r>
            <w:r w:rsidRPr="163BC4B9">
              <w:rPr>
                <w:rFonts w:ascii="Verdana" w:hAnsi="Verdana"/>
                <w:lang w:val="es-CO"/>
              </w:rPr>
              <w:t xml:space="preserve">, entre otros, conduzcan al acceso a la vivienda digna a la población víctima para la superación del Estado de Cosas Inconstitucional definido por la Corte Constitucional en la Sentencia T-025 de 2004. </w:t>
            </w:r>
          </w:p>
          <w:p w14:paraId="23A613D7" w14:textId="704EBE73" w:rsidR="163BC4B9" w:rsidRDefault="163BC4B9" w:rsidP="163BC4B9">
            <w:pPr>
              <w:jc w:val="both"/>
              <w:rPr>
                <w:rFonts w:ascii="Verdana" w:hAnsi="Verdana"/>
                <w:lang w:val="es-CO"/>
              </w:rPr>
            </w:pPr>
          </w:p>
          <w:p w14:paraId="46883719" w14:textId="315947F1" w:rsidR="00F21112" w:rsidRDefault="00F21112" w:rsidP="163BC4B9">
            <w:pPr>
              <w:jc w:val="both"/>
              <w:rPr>
                <w:rFonts w:ascii="Verdana" w:hAnsi="Verdana"/>
                <w:lang w:val="es-CO"/>
              </w:rPr>
            </w:pPr>
            <w:r w:rsidRPr="163BC4B9">
              <w:rPr>
                <w:rFonts w:ascii="Verdana" w:hAnsi="Verdana"/>
                <w:lang w:val="es-CO"/>
              </w:rPr>
              <w:t xml:space="preserve">En el marco del subcomponente de reintegración integral </w:t>
            </w:r>
            <w:r w:rsidR="62DC7E68" w:rsidRPr="163BC4B9">
              <w:rPr>
                <w:rFonts w:ascii="Verdana" w:eastAsia="Verdana" w:hAnsi="Verdana" w:cs="Verdana"/>
                <w:color w:val="000000" w:themeColor="text1"/>
                <w:lang w:val="es"/>
              </w:rPr>
              <w:t>del Acuerdo Final de Paz y en la Sentencia SU-020 de 2022, se establece la necesidad del Gobierno nacional de avanzar en acciones que permitan garantizar la seguridad y el goce efectivo de derechos de la población firmante del Acuerdo de las extintas FARC – EP y en proceso de reincorporación, entre las que se deben priorizar aquellas relacionadas con el acceso a programas de generación de ingresos y de acceso a tierra y vivienda.</w:t>
            </w:r>
          </w:p>
          <w:p w14:paraId="2DA21F5D" w14:textId="376ED552" w:rsidR="163BC4B9" w:rsidRDefault="163BC4B9" w:rsidP="163BC4B9">
            <w:pPr>
              <w:jc w:val="both"/>
              <w:rPr>
                <w:rFonts w:ascii="Verdana" w:eastAsia="Verdana" w:hAnsi="Verdana" w:cs="Verdana"/>
                <w:color w:val="000000" w:themeColor="text1"/>
                <w:lang w:val="es"/>
              </w:rPr>
            </w:pPr>
          </w:p>
          <w:p w14:paraId="511B2891" w14:textId="5431D227" w:rsidR="6CFCFD41" w:rsidRDefault="6CFCFD41" w:rsidP="163BC4B9">
            <w:pPr>
              <w:jc w:val="both"/>
              <w:rPr>
                <w:rFonts w:ascii="Verdana" w:hAnsi="Verdana"/>
                <w:lang w:val="es-CO"/>
              </w:rPr>
            </w:pPr>
            <w:r w:rsidRPr="163BC4B9">
              <w:rPr>
                <w:rFonts w:ascii="Verdana" w:hAnsi="Verdana"/>
                <w:lang w:val="es-CO"/>
              </w:rPr>
              <w:t xml:space="preserve">Teniendo en cuenta lo anterior, la honorable Corte Constitucional ordenó desde el Auto 826 de 2024 de seguimiento de la SU 020 de 2022 desarrollar una planeación e implementación de una política con enfoque diferencial, que considere las condiciones y situación de la población firmante del acuerdo de paz y en proceso de reincorporación. Por otra parte, solicitó al Gobierno nacional incluir un subcomponente de planeación denominado </w:t>
            </w:r>
            <w:r w:rsidRPr="163BC4B9">
              <w:rPr>
                <w:rFonts w:ascii="Verdana" w:hAnsi="Verdana"/>
                <w:i/>
                <w:iCs/>
                <w:lang w:val="es-CO"/>
              </w:rPr>
              <w:t>reincorporación integral</w:t>
            </w:r>
            <w:r w:rsidRPr="163BC4B9">
              <w:rPr>
                <w:rFonts w:ascii="Verdana" w:hAnsi="Verdana"/>
                <w:lang w:val="es-CO"/>
              </w:rPr>
              <w:t>, en que se deben establecer acciones que permitan garantizar la seguridad y el goce efectivo de derechos de la población firmante del Acuerdo de las extintas FARC – EP y en proceso de reincorporación, entre los que se encuentra el acceso progresivo al derecho a la vivienda.</w:t>
            </w:r>
          </w:p>
          <w:p w14:paraId="2E8BE37C" w14:textId="77777777" w:rsidR="00597FDD" w:rsidRDefault="00597FDD" w:rsidP="00F21112">
            <w:pPr>
              <w:jc w:val="both"/>
              <w:rPr>
                <w:rFonts w:ascii="Verdana" w:hAnsi="Verdana"/>
                <w:lang w:val="es-CO"/>
              </w:rPr>
            </w:pPr>
          </w:p>
          <w:p w14:paraId="676A04DA" w14:textId="4DBB7734" w:rsidR="00996050" w:rsidRPr="00DB5DE6" w:rsidRDefault="00597FDD" w:rsidP="163BC4B9">
            <w:pPr>
              <w:jc w:val="both"/>
              <w:rPr>
                <w:rFonts w:ascii="Verdana" w:hAnsi="Verdana" w:cs="Arial"/>
                <w:lang w:val="es-CO" w:eastAsia="es-CO"/>
              </w:rPr>
            </w:pPr>
            <w:r w:rsidRPr="163BC4B9">
              <w:rPr>
                <w:rFonts w:ascii="Verdana" w:hAnsi="Verdana" w:cs="Arial"/>
                <w:lang w:val="es-CO" w:eastAsia="es-CO"/>
              </w:rPr>
              <w:t>Desde la expedición de la Sentencia T-025 de 2004 y la Sentencia SU-020 de 2022, la Corte Constitucional ha venido presentando múltiples pronunciamientos frente a la necesidad del diseño y aplicación de programas, proyectos y políticas públicas con enfoque diferencial, que den cuenta que diversos sectores de la población tienen particularidades y características propias. </w:t>
            </w:r>
          </w:p>
          <w:p w14:paraId="69490DCA" w14:textId="77777777" w:rsidR="00996050" w:rsidRPr="00DB5DE6" w:rsidRDefault="00996050" w:rsidP="00996050">
            <w:pPr>
              <w:jc w:val="both"/>
              <w:rPr>
                <w:rFonts w:ascii="Verdana" w:hAnsi="Verdana"/>
                <w:lang w:val="es-CO"/>
              </w:rPr>
            </w:pPr>
          </w:p>
          <w:p w14:paraId="32A2DC1F" w14:textId="77777777" w:rsidR="00D05B67" w:rsidRPr="00DB5DE6" w:rsidRDefault="00D05B67" w:rsidP="0075705D">
            <w:pPr>
              <w:ind w:left="494" w:hanging="283"/>
              <w:jc w:val="both"/>
              <w:rPr>
                <w:rFonts w:ascii="Verdana" w:hAnsi="Verdana" w:cs="Arial"/>
                <w:b/>
                <w:bCs/>
                <w:lang w:val="es-CO" w:eastAsia="es-CO"/>
              </w:rPr>
            </w:pPr>
            <w:r w:rsidRPr="00DB5DE6">
              <w:rPr>
                <w:rFonts w:ascii="Verdana" w:hAnsi="Verdana" w:cs="Arial"/>
                <w:b/>
                <w:bCs/>
                <w:lang w:val="es-CO" w:eastAsia="es-CO"/>
              </w:rPr>
              <w:t>3.5 Circunstancias jurídicas adicionales</w:t>
            </w:r>
            <w:r w:rsidR="00FC4DD5" w:rsidRPr="00DB5DE6">
              <w:rPr>
                <w:rFonts w:ascii="Verdana" w:hAnsi="Verdana" w:cs="Arial"/>
                <w:b/>
                <w:bCs/>
                <w:lang w:val="es-CO" w:eastAsia="es-CO"/>
              </w:rPr>
              <w:t>.</w:t>
            </w:r>
            <w:r w:rsidRPr="00DB5DE6">
              <w:rPr>
                <w:rFonts w:ascii="Verdana" w:hAnsi="Verdana" w:cs="Arial"/>
                <w:b/>
                <w:bCs/>
                <w:lang w:val="es-CO" w:eastAsia="es-CO"/>
              </w:rPr>
              <w:t xml:space="preserve"> </w:t>
            </w:r>
          </w:p>
          <w:p w14:paraId="2CE34DA8" w14:textId="77777777" w:rsidR="00FC4DD5" w:rsidRPr="00DB5DE6" w:rsidRDefault="00FC4DD5" w:rsidP="0075705D">
            <w:pPr>
              <w:ind w:left="494" w:hanging="283"/>
              <w:jc w:val="both"/>
              <w:rPr>
                <w:rFonts w:ascii="Verdana" w:hAnsi="Verdana" w:cs="Arial"/>
                <w:lang w:val="es-CO" w:eastAsia="es-CO"/>
              </w:rPr>
            </w:pPr>
          </w:p>
          <w:p w14:paraId="2726E8F2" w14:textId="77777777" w:rsidR="00FC4DD5" w:rsidRPr="00DB5DE6" w:rsidRDefault="00DA26B8" w:rsidP="00DA26B8">
            <w:pPr>
              <w:jc w:val="both"/>
              <w:rPr>
                <w:rFonts w:ascii="Verdana" w:hAnsi="Verdana" w:cs="Arial"/>
                <w:lang w:val="es-CO" w:eastAsia="es-CO"/>
              </w:rPr>
            </w:pPr>
            <w:r w:rsidRPr="00DB5DE6">
              <w:rPr>
                <w:rFonts w:ascii="Verdana" w:hAnsi="Verdana" w:cs="Arial"/>
                <w:lang w:val="es-CO" w:eastAsia="es-CO"/>
              </w:rPr>
              <w:t>No se presentan condiciones jurídicas adicionales.</w:t>
            </w:r>
          </w:p>
          <w:p w14:paraId="1AC34743" w14:textId="77777777" w:rsidR="00511F4A" w:rsidRPr="00DB5DE6" w:rsidRDefault="00511F4A" w:rsidP="00DA26B8">
            <w:pPr>
              <w:jc w:val="both"/>
              <w:rPr>
                <w:rFonts w:ascii="Verdana" w:hAnsi="Verdana" w:cs="Arial"/>
                <w:lang w:val="es-CO" w:eastAsia="es-CO"/>
              </w:rPr>
            </w:pPr>
          </w:p>
          <w:p w14:paraId="5091836C" w14:textId="77777777" w:rsidR="00545FC9" w:rsidRPr="00DB5DE6" w:rsidRDefault="00511F4A" w:rsidP="00DA26B8">
            <w:pPr>
              <w:jc w:val="both"/>
              <w:rPr>
                <w:rFonts w:ascii="Verdana" w:hAnsi="Verdana" w:cs="Arial"/>
                <w:lang w:val="es-CO" w:eastAsia="es-CO"/>
              </w:rPr>
            </w:pPr>
            <w:r w:rsidRPr="00DB5DE6">
              <w:rPr>
                <w:rFonts w:ascii="Verdana" w:hAnsi="Verdana" w:cs="Arial"/>
                <w:lang w:val="es-CO" w:eastAsia="es-CO"/>
              </w:rPr>
              <w:t xml:space="preserve">El proyecto normativo y la presente memoria </w:t>
            </w:r>
            <w:r w:rsidR="00B8624D" w:rsidRPr="00DB5DE6">
              <w:rPr>
                <w:rFonts w:ascii="Verdana" w:hAnsi="Verdana" w:cs="Arial"/>
                <w:lang w:val="es-CO" w:eastAsia="es-CO"/>
              </w:rPr>
              <w:t>justificativa</w:t>
            </w:r>
            <w:r w:rsidRPr="00DB5DE6">
              <w:rPr>
                <w:rFonts w:ascii="Verdana" w:hAnsi="Verdana" w:cs="Arial"/>
                <w:lang w:val="es-CO" w:eastAsia="es-CO"/>
              </w:rPr>
              <w:t xml:space="preserve"> serán publicados en la página web del Ministerio de Vivienda, Ciudad y Territorio por un término de quince (15) días calendario</w:t>
            </w:r>
            <w:r w:rsidR="00545FC9" w:rsidRPr="00DB5DE6">
              <w:rPr>
                <w:rFonts w:ascii="Verdana" w:hAnsi="Verdana" w:cs="Arial"/>
                <w:lang w:val="es-CO" w:eastAsia="es-CO"/>
              </w:rPr>
              <w:t xml:space="preserve"> (contados a partir del día siguiente a la publicación)</w:t>
            </w:r>
            <w:r w:rsidRPr="00DB5DE6">
              <w:rPr>
                <w:rFonts w:ascii="Verdana" w:hAnsi="Verdana" w:cs="Arial"/>
                <w:lang w:val="es-CO" w:eastAsia="es-CO"/>
              </w:rPr>
              <w:t>, para comentarios y observaciones por parte de la ciudadanía.</w:t>
            </w:r>
          </w:p>
          <w:p w14:paraId="796B94E8" w14:textId="77777777" w:rsidR="00CF14E7" w:rsidRPr="00DB5DE6" w:rsidRDefault="00CF14E7" w:rsidP="0075705D">
            <w:pPr>
              <w:ind w:left="494" w:hanging="283"/>
              <w:jc w:val="both"/>
              <w:rPr>
                <w:rFonts w:ascii="Verdana" w:hAnsi="Verdana" w:cs="Arial"/>
                <w:lang w:val="es-CO" w:eastAsia="es-CO"/>
              </w:rPr>
            </w:pPr>
          </w:p>
          <w:p w14:paraId="2F3C7DD8" w14:textId="77777777" w:rsidR="00795C6B" w:rsidRPr="00DB5DE6" w:rsidRDefault="00795C6B" w:rsidP="00795C6B">
            <w:pPr>
              <w:pBdr>
                <w:top w:val="single" w:sz="4" w:space="1" w:color="auto"/>
                <w:left w:val="single" w:sz="4" w:space="4" w:color="auto"/>
                <w:bottom w:val="single" w:sz="4" w:space="1" w:color="auto"/>
                <w:right w:val="single" w:sz="4" w:space="4" w:color="auto"/>
              </w:pBdr>
              <w:jc w:val="both"/>
              <w:rPr>
                <w:rFonts w:ascii="Verdana" w:hAnsi="Verdana" w:cs="Arial"/>
                <w:lang w:val="es-CO" w:eastAsia="es-CO"/>
              </w:rPr>
            </w:pPr>
          </w:p>
        </w:tc>
      </w:tr>
      <w:tr w:rsidR="00DF60FD" w:rsidRPr="00DB5DE6" w14:paraId="32F68912" w14:textId="77777777" w:rsidTr="187EA5DE">
        <w:trPr>
          <w:trHeight w:val="300"/>
        </w:trPr>
        <w:tc>
          <w:tcPr>
            <w:tcW w:w="1077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765A1" w14:textId="77777777" w:rsidR="00843EFF" w:rsidRPr="00DB5DE6" w:rsidRDefault="00843EFF" w:rsidP="00A161B9">
            <w:pPr>
              <w:rPr>
                <w:rFonts w:ascii="Verdana" w:hAnsi="Verdana" w:cs="Arial"/>
                <w:b/>
                <w:color w:val="000000"/>
                <w:lang w:val="es-CO"/>
              </w:rPr>
            </w:pPr>
          </w:p>
          <w:p w14:paraId="7522B31E" w14:textId="77777777" w:rsidR="00795C6B" w:rsidRPr="006767E2" w:rsidRDefault="00DF60FD" w:rsidP="00342E90">
            <w:pPr>
              <w:numPr>
                <w:ilvl w:val="0"/>
                <w:numId w:val="3"/>
              </w:numPr>
              <w:ind w:left="494"/>
              <w:rPr>
                <w:rFonts w:ascii="Verdana" w:hAnsi="Verdana" w:cs="Arial"/>
                <w:b/>
                <w:color w:val="000000"/>
                <w:lang w:val="es-CO"/>
              </w:rPr>
            </w:pPr>
            <w:r w:rsidRPr="00DB5DE6">
              <w:rPr>
                <w:rFonts w:ascii="Verdana" w:hAnsi="Verdana" w:cs="Arial"/>
                <w:b/>
                <w:color w:val="000000"/>
                <w:lang w:val="es-CO"/>
              </w:rPr>
              <w:t xml:space="preserve">IMPACTO ECONÓMICO </w:t>
            </w:r>
            <w:r w:rsidR="00D05B67" w:rsidRPr="00DB5DE6">
              <w:rPr>
                <w:rFonts w:ascii="Verdana" w:hAnsi="Verdana" w:cs="Arial"/>
                <w:color w:val="000000"/>
                <w:lang w:val="es-CO"/>
              </w:rPr>
              <w:t>(Si se requiere)</w:t>
            </w:r>
          </w:p>
          <w:p w14:paraId="4F3E79BD" w14:textId="77777777" w:rsidR="006767E2" w:rsidRDefault="006767E2" w:rsidP="00C64C24">
            <w:pPr>
              <w:jc w:val="both"/>
              <w:rPr>
                <w:rFonts w:ascii="Verdana" w:hAnsi="Verdana" w:cs="Arial"/>
                <w:lang w:val="es-CO" w:eastAsia="es-CO"/>
              </w:rPr>
            </w:pPr>
          </w:p>
          <w:p w14:paraId="2AD11A9B" w14:textId="77777777" w:rsidR="00D50979" w:rsidRPr="006767E2" w:rsidRDefault="00C64C24" w:rsidP="00F21112">
            <w:pPr>
              <w:jc w:val="both"/>
              <w:rPr>
                <w:rFonts w:ascii="Verdana" w:hAnsi="Verdana" w:cs="Arial"/>
                <w:i/>
                <w:color w:val="808080"/>
                <w:lang w:val="es-CO"/>
              </w:rPr>
            </w:pPr>
            <w:r w:rsidRPr="00F16BFD">
              <w:rPr>
                <w:rFonts w:ascii="Verdana" w:hAnsi="Verdana" w:cs="Arial"/>
                <w:lang w:val="es-CO" w:eastAsia="es-CO"/>
              </w:rPr>
              <w:t xml:space="preserve">El presente proyecto </w:t>
            </w:r>
            <w:r w:rsidRPr="00F21112">
              <w:rPr>
                <w:rFonts w:ascii="Verdana" w:hAnsi="Verdana" w:cs="Arial"/>
                <w:lang w:val="es-CO" w:eastAsia="es-CO"/>
              </w:rPr>
              <w:t xml:space="preserve">normativo </w:t>
            </w:r>
            <w:r w:rsidRPr="00EF1349">
              <w:rPr>
                <w:rFonts w:ascii="Verdana" w:hAnsi="Verdana" w:cs="Arial"/>
                <w:lang w:val="es-CO" w:eastAsia="es-CO"/>
              </w:rPr>
              <w:t>no</w:t>
            </w:r>
            <w:r w:rsidRPr="00F16BFD">
              <w:rPr>
                <w:rFonts w:ascii="Verdana" w:hAnsi="Verdana" w:cs="Arial"/>
                <w:lang w:val="es-CO" w:eastAsia="es-CO"/>
              </w:rPr>
              <w:t xml:space="preserve"> tiene impacto económico; por cuanto, con </w:t>
            </w:r>
            <w:r w:rsidR="00DB220F" w:rsidRPr="00F16BFD">
              <w:rPr>
                <w:rFonts w:ascii="Verdana" w:hAnsi="Verdana" w:cs="Arial"/>
                <w:lang w:val="es-CO" w:eastAsia="es-CO"/>
              </w:rPr>
              <w:t>su</w:t>
            </w:r>
            <w:r w:rsidRPr="00F16BFD">
              <w:rPr>
                <w:rFonts w:ascii="Verdana" w:hAnsi="Verdana" w:cs="Arial"/>
                <w:lang w:val="es-CO" w:eastAsia="es-CO"/>
              </w:rPr>
              <w:t xml:space="preserve"> expedición</w:t>
            </w:r>
            <w:r w:rsidR="00E97135" w:rsidRPr="00F16BFD">
              <w:rPr>
                <w:rFonts w:ascii="Verdana" w:hAnsi="Verdana" w:cs="Arial"/>
                <w:lang w:val="es-CO" w:eastAsia="es-CO"/>
              </w:rPr>
              <w:t>,</w:t>
            </w:r>
            <w:r w:rsidRPr="00F16BFD">
              <w:rPr>
                <w:rFonts w:ascii="Verdana" w:hAnsi="Verdana" w:cs="Arial"/>
                <w:lang w:val="es-CO" w:eastAsia="es-CO"/>
              </w:rPr>
              <w:t xml:space="preserve"> se busca favorecer la disponibilidad de oferta de vivienda de interés social </w:t>
            </w:r>
            <w:r w:rsidR="00B000F1" w:rsidRPr="00F16BFD">
              <w:rPr>
                <w:rFonts w:ascii="Verdana" w:hAnsi="Verdana" w:cs="Arial"/>
                <w:lang w:val="es-CO" w:eastAsia="es-CO"/>
              </w:rPr>
              <w:t xml:space="preserve">usada </w:t>
            </w:r>
            <w:r w:rsidR="00DB220F" w:rsidRPr="00F16BFD">
              <w:rPr>
                <w:rFonts w:ascii="Verdana" w:hAnsi="Verdana" w:cs="Arial"/>
                <w:lang w:val="es-CO" w:eastAsia="es-CO"/>
              </w:rPr>
              <w:t xml:space="preserve">para los hogares </w:t>
            </w:r>
            <w:r w:rsidRPr="00F16BFD">
              <w:rPr>
                <w:rFonts w:ascii="Verdana" w:hAnsi="Verdana" w:cs="Arial"/>
                <w:lang w:val="es-CO" w:eastAsia="es-CO"/>
              </w:rPr>
              <w:t xml:space="preserve">que cumplan con los criterios señalados, </w:t>
            </w:r>
            <w:r w:rsidR="00F21112">
              <w:rPr>
                <w:rFonts w:ascii="Verdana" w:hAnsi="Verdana" w:cs="Arial"/>
                <w:lang w:val="es-CO" w:eastAsia="es-CO"/>
              </w:rPr>
              <w:t xml:space="preserve">y </w:t>
            </w:r>
            <w:r w:rsidR="00F21112" w:rsidRPr="00F21112">
              <w:rPr>
                <w:rFonts w:ascii="Verdana" w:hAnsi="Verdana" w:cs="Arial"/>
                <w:lang w:val="es-CO" w:eastAsia="es-CO"/>
              </w:rPr>
              <w:t>se mantienen los valores del subsidio familiar de vivienda, los cuales se asignan en concordancia con el marco de gasto de mediano plazo.</w:t>
            </w:r>
          </w:p>
        </w:tc>
      </w:tr>
      <w:tr w:rsidR="00DF60FD" w:rsidRPr="00DB5DE6" w14:paraId="1B12B1E0" w14:textId="77777777" w:rsidTr="187EA5DE">
        <w:trPr>
          <w:trHeight w:val="300"/>
        </w:trPr>
        <w:tc>
          <w:tcPr>
            <w:tcW w:w="1077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54C6F" w14:textId="77777777" w:rsidR="00843EFF" w:rsidRPr="00DB5DE6" w:rsidRDefault="00843EFF" w:rsidP="00A161B9">
            <w:pPr>
              <w:rPr>
                <w:rFonts w:ascii="Verdana" w:hAnsi="Verdana" w:cs="Arial"/>
                <w:b/>
                <w:color w:val="000000"/>
                <w:lang w:val="es-CO"/>
              </w:rPr>
            </w:pPr>
          </w:p>
          <w:p w14:paraId="7B821071" w14:textId="77777777" w:rsidR="00DF60FD" w:rsidRPr="00DB5DE6" w:rsidRDefault="00795C6B" w:rsidP="00342E90">
            <w:pPr>
              <w:numPr>
                <w:ilvl w:val="0"/>
                <w:numId w:val="3"/>
              </w:numPr>
              <w:ind w:left="494"/>
              <w:rPr>
                <w:rFonts w:ascii="Verdana" w:hAnsi="Verdana" w:cs="Arial"/>
                <w:b/>
                <w:color w:val="000000"/>
                <w:lang w:val="es-CO"/>
              </w:rPr>
            </w:pPr>
            <w:r w:rsidRPr="00DB5DE6">
              <w:rPr>
                <w:rFonts w:ascii="Verdana" w:hAnsi="Verdana" w:cs="Arial"/>
                <w:b/>
                <w:color w:val="000000"/>
                <w:lang w:val="es-CO"/>
              </w:rPr>
              <w:t xml:space="preserve">VIABILIDAD O </w:t>
            </w:r>
            <w:r w:rsidR="00DF60FD" w:rsidRPr="00DB5DE6">
              <w:rPr>
                <w:rFonts w:ascii="Verdana" w:hAnsi="Verdana" w:cs="Arial"/>
                <w:b/>
                <w:color w:val="000000"/>
                <w:lang w:val="es-CO"/>
              </w:rPr>
              <w:t xml:space="preserve">DISPONIBILIDAD PRESUPUESTAL </w:t>
            </w:r>
            <w:r w:rsidR="00D05B67" w:rsidRPr="00DB5DE6">
              <w:rPr>
                <w:rFonts w:ascii="Verdana" w:hAnsi="Verdana" w:cs="Arial"/>
                <w:color w:val="000000"/>
                <w:lang w:val="es-CO"/>
              </w:rPr>
              <w:t>(Si se requiere)</w:t>
            </w:r>
          </w:p>
          <w:p w14:paraId="47BDC240" w14:textId="77777777" w:rsidR="006767E2" w:rsidRDefault="006767E2" w:rsidP="00F44A2E">
            <w:pPr>
              <w:jc w:val="both"/>
              <w:rPr>
                <w:rFonts w:ascii="Verdana" w:hAnsi="Verdana"/>
                <w:lang w:val="es-CO" w:eastAsia="es-CO"/>
              </w:rPr>
            </w:pPr>
          </w:p>
          <w:p w14:paraId="55D1ED30" w14:textId="77777777" w:rsidR="00F44A2E" w:rsidRPr="00DB5DE6" w:rsidRDefault="00C64C24" w:rsidP="00F44A2E">
            <w:pPr>
              <w:jc w:val="both"/>
              <w:rPr>
                <w:rFonts w:ascii="Verdana" w:hAnsi="Verdana"/>
                <w:lang w:val="es-CO" w:eastAsia="es-CO"/>
              </w:rPr>
            </w:pPr>
            <w:r w:rsidRPr="006767E2">
              <w:rPr>
                <w:rFonts w:ascii="Verdana" w:hAnsi="Verdana"/>
                <w:lang w:val="es-CO" w:eastAsia="es-CO"/>
              </w:rPr>
              <w:t>El presente proyecto normativo no tiene impacto presupuestal distinto al establecido en el marco de gasto de mediano plazo del sector vivienda, ciudad y territorio.</w:t>
            </w:r>
          </w:p>
          <w:p w14:paraId="71851F67" w14:textId="77777777" w:rsidR="00696582" w:rsidRPr="00DB5DE6" w:rsidRDefault="00696582" w:rsidP="00F44A2E">
            <w:pPr>
              <w:jc w:val="both"/>
              <w:rPr>
                <w:rFonts w:ascii="Verdana" w:hAnsi="Verdana"/>
                <w:lang w:val="es-CO" w:eastAsia="es-CO"/>
              </w:rPr>
            </w:pPr>
          </w:p>
        </w:tc>
      </w:tr>
      <w:tr w:rsidR="00DF60FD" w:rsidRPr="00DB5DE6" w14:paraId="228F3075" w14:textId="77777777" w:rsidTr="187EA5DE">
        <w:trPr>
          <w:trHeight w:val="300"/>
        </w:trPr>
        <w:tc>
          <w:tcPr>
            <w:tcW w:w="10770" w:type="dxa"/>
            <w:gridSpan w:val="3"/>
            <w:tcBorders>
              <w:top w:val="single" w:sz="4" w:space="0" w:color="auto"/>
              <w:bottom w:val="single" w:sz="4" w:space="0" w:color="auto"/>
            </w:tcBorders>
            <w:shd w:val="clear" w:color="auto" w:fill="FFFFFF" w:themeFill="background1"/>
            <w:vAlign w:val="center"/>
          </w:tcPr>
          <w:p w14:paraId="373E90CD" w14:textId="77777777" w:rsidR="00DF60FD" w:rsidRPr="00DB5DE6" w:rsidRDefault="00DF60FD" w:rsidP="00342E90">
            <w:pPr>
              <w:numPr>
                <w:ilvl w:val="0"/>
                <w:numId w:val="3"/>
              </w:numPr>
              <w:ind w:left="494"/>
              <w:rPr>
                <w:rFonts w:ascii="Verdana" w:hAnsi="Verdana" w:cs="Arial"/>
                <w:b/>
                <w:color w:val="000000"/>
                <w:lang w:val="es-CO"/>
              </w:rPr>
            </w:pPr>
            <w:r w:rsidRPr="00DB5DE6">
              <w:rPr>
                <w:rFonts w:ascii="Verdana" w:hAnsi="Verdana" w:cs="Arial"/>
                <w:b/>
                <w:color w:val="000000"/>
                <w:lang w:val="es-CO"/>
              </w:rPr>
              <w:t xml:space="preserve"> IMPACTO MEDIOAMBIENTAL O SOBRE EL PATRIMONIO CULTURAL DE LA NACIÓN </w:t>
            </w:r>
            <w:r w:rsidR="00D05B67" w:rsidRPr="00DB5DE6">
              <w:rPr>
                <w:rFonts w:ascii="Verdana" w:hAnsi="Verdana" w:cs="Arial"/>
                <w:color w:val="000000"/>
                <w:lang w:val="es-CO"/>
              </w:rPr>
              <w:t>(Si se requiere)</w:t>
            </w:r>
          </w:p>
          <w:p w14:paraId="7645EBAD" w14:textId="77777777" w:rsidR="00C64C24" w:rsidRPr="00DB5DE6" w:rsidRDefault="00C64C24" w:rsidP="007A5F0F">
            <w:pPr>
              <w:jc w:val="both"/>
              <w:rPr>
                <w:rFonts w:ascii="Verdana" w:hAnsi="Verdana" w:cs="Arial"/>
                <w:i/>
                <w:color w:val="808080"/>
                <w:lang w:val="es-CO"/>
              </w:rPr>
            </w:pPr>
          </w:p>
          <w:p w14:paraId="736F3891" w14:textId="77777777" w:rsidR="00D05B67" w:rsidRPr="00DB5DE6" w:rsidRDefault="00BF2845" w:rsidP="00FA4A9E">
            <w:pPr>
              <w:jc w:val="both"/>
              <w:rPr>
                <w:rFonts w:ascii="Verdana" w:hAnsi="Verdana" w:cs="Arial"/>
                <w:b/>
                <w:color w:val="000000"/>
                <w:lang w:val="es-CO"/>
              </w:rPr>
            </w:pPr>
            <w:r w:rsidRPr="00DB5DE6">
              <w:rPr>
                <w:rFonts w:ascii="Verdana" w:hAnsi="Verdana" w:cs="Arial"/>
                <w:lang w:val="es-CO" w:eastAsia="es-CO"/>
              </w:rPr>
              <w:t xml:space="preserve">Las disposiciones contenidas en el proyecto </w:t>
            </w:r>
            <w:r w:rsidR="00690918" w:rsidRPr="00DB5DE6">
              <w:rPr>
                <w:rFonts w:ascii="Verdana" w:hAnsi="Verdana" w:cs="Arial"/>
                <w:lang w:val="es-CO" w:eastAsia="es-CO"/>
              </w:rPr>
              <w:t>normativo</w:t>
            </w:r>
            <w:r w:rsidRPr="00DB5DE6">
              <w:rPr>
                <w:rFonts w:ascii="Verdana" w:hAnsi="Verdana" w:cs="Arial"/>
                <w:lang w:val="es-CO" w:eastAsia="es-CO"/>
              </w:rPr>
              <w:t xml:space="preserve"> no </w:t>
            </w:r>
            <w:r w:rsidR="00690918" w:rsidRPr="00DB5DE6">
              <w:rPr>
                <w:rFonts w:ascii="Verdana" w:hAnsi="Verdana" w:cs="Arial"/>
                <w:lang w:val="es-CO" w:eastAsia="es-CO"/>
              </w:rPr>
              <w:t xml:space="preserve">generan impacto medioambiental o sobre el patrimonio cultural de la Nación. </w:t>
            </w:r>
          </w:p>
          <w:p w14:paraId="0CDA0219" w14:textId="77777777" w:rsidR="00696582" w:rsidRPr="00DB5DE6" w:rsidRDefault="00696582" w:rsidP="00FA4A9E">
            <w:pPr>
              <w:jc w:val="both"/>
              <w:rPr>
                <w:rFonts w:ascii="Verdana" w:hAnsi="Verdana" w:cs="Arial"/>
                <w:b/>
                <w:color w:val="000000"/>
                <w:lang w:val="es-CO"/>
              </w:rPr>
            </w:pPr>
          </w:p>
        </w:tc>
      </w:tr>
      <w:tr w:rsidR="00DF60FD" w:rsidRPr="00DB5DE6" w14:paraId="1C229E78" w14:textId="77777777" w:rsidTr="187EA5DE">
        <w:trPr>
          <w:trHeight w:val="300"/>
        </w:trPr>
        <w:tc>
          <w:tcPr>
            <w:tcW w:w="10770" w:type="dxa"/>
            <w:gridSpan w:val="3"/>
            <w:tcBorders>
              <w:top w:val="single" w:sz="4" w:space="0" w:color="auto"/>
              <w:bottom w:val="single" w:sz="4" w:space="0" w:color="auto"/>
            </w:tcBorders>
            <w:shd w:val="clear" w:color="auto" w:fill="FFFFFF" w:themeFill="background1"/>
            <w:vAlign w:val="center"/>
          </w:tcPr>
          <w:p w14:paraId="6A42B4E5" w14:textId="77777777" w:rsidR="00D05B67" w:rsidRPr="00DB5DE6" w:rsidRDefault="00D05B67" w:rsidP="00342E90">
            <w:pPr>
              <w:numPr>
                <w:ilvl w:val="0"/>
                <w:numId w:val="3"/>
              </w:numPr>
              <w:ind w:left="494"/>
              <w:rPr>
                <w:rFonts w:ascii="Verdana" w:hAnsi="Verdana" w:cs="Arial"/>
                <w:lang w:val="es-CO"/>
              </w:rPr>
            </w:pPr>
            <w:r w:rsidRPr="00DB5DE6">
              <w:rPr>
                <w:rFonts w:ascii="Verdana" w:hAnsi="Verdana" w:cs="Arial"/>
                <w:b/>
                <w:lang w:val="es-CO"/>
              </w:rPr>
              <w:lastRenderedPageBreak/>
              <w:t>ESTUDIOS TÉCNICOS QUE SUSTENTEN EL PROYECTO NORMATIVO</w:t>
            </w:r>
            <w:r w:rsidRPr="00DB5DE6">
              <w:rPr>
                <w:rFonts w:ascii="Verdana" w:hAnsi="Verdana" w:cs="Arial"/>
                <w:lang w:val="es-CO"/>
              </w:rPr>
              <w:t xml:space="preserve"> (Si cuenta con ellos)</w:t>
            </w:r>
            <w:r w:rsidR="00696582" w:rsidRPr="00DB5DE6">
              <w:rPr>
                <w:rFonts w:ascii="Verdana" w:hAnsi="Verdana" w:cs="Arial"/>
                <w:lang w:val="es-CO"/>
              </w:rPr>
              <w:t xml:space="preserve"> </w:t>
            </w:r>
          </w:p>
        </w:tc>
      </w:tr>
      <w:tr w:rsidR="00D06685" w:rsidRPr="00DB5DE6" w14:paraId="0C30F7A3" w14:textId="77777777" w:rsidTr="187EA5DE">
        <w:trPr>
          <w:trHeight w:val="300"/>
        </w:trPr>
        <w:tc>
          <w:tcPr>
            <w:tcW w:w="10770" w:type="dxa"/>
            <w:gridSpan w:val="3"/>
            <w:tcBorders>
              <w:top w:val="single" w:sz="4" w:space="0" w:color="auto"/>
              <w:bottom w:val="single" w:sz="4" w:space="0" w:color="auto"/>
            </w:tcBorders>
            <w:shd w:val="clear" w:color="auto" w:fill="FFFFFF" w:themeFill="background1"/>
            <w:vAlign w:val="center"/>
          </w:tcPr>
          <w:p w14:paraId="77261CEF" w14:textId="77777777" w:rsidR="00D06685" w:rsidRPr="006767E2" w:rsidRDefault="00D06685" w:rsidP="00D06685">
            <w:pPr>
              <w:rPr>
                <w:rFonts w:ascii="Verdana" w:hAnsi="Verdana" w:cs="Arial"/>
                <w:bCs/>
                <w:color w:val="000000"/>
                <w:highlight w:val="yellow"/>
                <w:lang w:val="es-CO"/>
              </w:rPr>
            </w:pPr>
            <w:r w:rsidRPr="00EF1349">
              <w:rPr>
                <w:rFonts w:ascii="Verdana" w:hAnsi="Verdana" w:cs="Arial"/>
                <w:lang w:val="es-CO"/>
              </w:rPr>
              <w:t>Los estudios técnicos fueron relacionados en el numeral 1</w:t>
            </w:r>
            <w:r w:rsidR="00AF7B02" w:rsidRPr="00EF1349">
              <w:rPr>
                <w:rFonts w:ascii="Verdana" w:hAnsi="Verdana" w:cs="Arial"/>
                <w:lang w:val="es-CO"/>
              </w:rPr>
              <w:t>.</w:t>
            </w:r>
          </w:p>
        </w:tc>
      </w:tr>
      <w:tr w:rsidR="00D06685" w:rsidRPr="00DB5DE6" w14:paraId="7A877A1C" w14:textId="77777777" w:rsidTr="187EA5DE">
        <w:trPr>
          <w:trHeight w:val="300"/>
        </w:trPr>
        <w:tc>
          <w:tcPr>
            <w:tcW w:w="10770" w:type="dxa"/>
            <w:gridSpan w:val="3"/>
            <w:tcBorders>
              <w:top w:val="single" w:sz="4" w:space="0" w:color="auto"/>
              <w:bottom w:val="single" w:sz="4" w:space="0" w:color="auto"/>
            </w:tcBorders>
            <w:shd w:val="clear" w:color="auto" w:fill="FFFFFF" w:themeFill="background1"/>
            <w:vAlign w:val="center"/>
          </w:tcPr>
          <w:p w14:paraId="4D98D09A" w14:textId="77777777" w:rsidR="00D06685" w:rsidRPr="00DB5DE6" w:rsidRDefault="00D06685" w:rsidP="00D06685">
            <w:pPr>
              <w:jc w:val="both"/>
              <w:rPr>
                <w:rFonts w:ascii="Verdana" w:hAnsi="Verdana" w:cs="Arial"/>
                <w:lang w:val="es-CO"/>
              </w:rPr>
            </w:pPr>
          </w:p>
        </w:tc>
      </w:tr>
      <w:tr w:rsidR="00D06685" w:rsidRPr="00DB5DE6" w14:paraId="3C907020" w14:textId="77777777" w:rsidTr="187EA5DE">
        <w:trPr>
          <w:trHeight w:val="300"/>
        </w:trPr>
        <w:tc>
          <w:tcPr>
            <w:tcW w:w="10770" w:type="dxa"/>
            <w:gridSpan w:val="3"/>
            <w:tcBorders>
              <w:top w:val="single" w:sz="4" w:space="0" w:color="auto"/>
              <w:bottom w:val="single" w:sz="4" w:space="0" w:color="auto"/>
            </w:tcBorders>
            <w:shd w:val="clear" w:color="auto" w:fill="FFFFFF" w:themeFill="background1"/>
            <w:vAlign w:val="center"/>
          </w:tcPr>
          <w:p w14:paraId="3A648007" w14:textId="77777777" w:rsidR="00D06685" w:rsidRPr="00DB5DE6" w:rsidRDefault="00D06685" w:rsidP="00D06685">
            <w:pPr>
              <w:rPr>
                <w:rFonts w:ascii="Verdana" w:hAnsi="Verdana" w:cs="Arial"/>
                <w:color w:val="996633"/>
                <w:lang w:val="es-CO"/>
              </w:rPr>
            </w:pPr>
          </w:p>
        </w:tc>
      </w:tr>
      <w:tr w:rsidR="00D06685" w:rsidRPr="00DB5DE6" w14:paraId="4BAB0F9B" w14:textId="77777777" w:rsidTr="187EA5DE">
        <w:trPr>
          <w:trHeight w:val="300"/>
        </w:trPr>
        <w:tc>
          <w:tcPr>
            <w:tcW w:w="10770" w:type="dxa"/>
            <w:gridSpan w:val="3"/>
            <w:tcBorders>
              <w:top w:val="single" w:sz="4" w:space="0" w:color="auto"/>
              <w:bottom w:val="single" w:sz="4" w:space="0" w:color="auto"/>
            </w:tcBorders>
            <w:shd w:val="clear" w:color="auto" w:fill="C5E9F3"/>
            <w:vAlign w:val="center"/>
          </w:tcPr>
          <w:p w14:paraId="0C2A3E77" w14:textId="77777777" w:rsidR="00D06685" w:rsidRPr="00DB5DE6" w:rsidRDefault="00D06685" w:rsidP="00D06685">
            <w:pPr>
              <w:jc w:val="center"/>
              <w:rPr>
                <w:rFonts w:ascii="Verdana" w:hAnsi="Verdana" w:cs="Arial"/>
                <w:lang w:val="es-CO"/>
              </w:rPr>
            </w:pPr>
            <w:r w:rsidRPr="00DB5DE6">
              <w:rPr>
                <w:rFonts w:ascii="Verdana" w:hAnsi="Verdana" w:cs="Arial"/>
                <w:b/>
                <w:lang w:val="es-CO"/>
              </w:rPr>
              <w:t>ANEXOS:</w:t>
            </w:r>
            <w:r w:rsidRPr="00DB5DE6">
              <w:rPr>
                <w:rFonts w:ascii="Verdana" w:hAnsi="Verdana" w:cs="Arial"/>
                <w:lang w:val="es-CO"/>
              </w:rPr>
              <w:t xml:space="preserve"> </w:t>
            </w:r>
          </w:p>
        </w:tc>
      </w:tr>
      <w:tr w:rsidR="00D06685" w:rsidRPr="00DB5DE6" w14:paraId="32931BC4" w14:textId="77777777" w:rsidTr="187EA5DE">
        <w:trPr>
          <w:trHeight w:val="300"/>
        </w:trPr>
        <w:tc>
          <w:tcPr>
            <w:tcW w:w="7180" w:type="dxa"/>
            <w:gridSpan w:val="2"/>
            <w:tcBorders>
              <w:top w:val="single" w:sz="4" w:space="0" w:color="auto"/>
              <w:bottom w:val="single" w:sz="4" w:space="0" w:color="auto"/>
              <w:right w:val="single" w:sz="4" w:space="0" w:color="auto"/>
            </w:tcBorders>
            <w:shd w:val="clear" w:color="auto" w:fill="FFFFFF" w:themeFill="background1"/>
            <w:vAlign w:val="center"/>
          </w:tcPr>
          <w:p w14:paraId="7C8285DF" w14:textId="77777777" w:rsidR="00D06685" w:rsidRPr="00DB5DE6" w:rsidRDefault="00D06685" w:rsidP="00D06685">
            <w:pPr>
              <w:jc w:val="both"/>
              <w:rPr>
                <w:rFonts w:ascii="Verdana" w:hAnsi="Verdana" w:cs="Arial"/>
                <w:lang w:val="es-CO"/>
              </w:rPr>
            </w:pPr>
            <w:r w:rsidRPr="00DB5DE6">
              <w:rPr>
                <w:rFonts w:ascii="Verdana" w:hAnsi="Verdana" w:cs="Arial"/>
                <w:lang w:val="es-CO"/>
              </w:rPr>
              <w:t xml:space="preserve">Certificación de cumplimiento de requisitos de consulta, publicidad y de incorporación en la agenda regulatoria </w:t>
            </w:r>
          </w:p>
          <w:p w14:paraId="3656B0AD" w14:textId="77777777" w:rsidR="00D06685" w:rsidRPr="00DB5DE6" w:rsidRDefault="00D06685" w:rsidP="00D06685">
            <w:pPr>
              <w:jc w:val="both"/>
              <w:rPr>
                <w:rFonts w:ascii="Verdana" w:hAnsi="Verdana" w:cs="Arial"/>
                <w:i/>
                <w:color w:val="808080"/>
                <w:lang w:val="es-CO"/>
              </w:rPr>
            </w:pPr>
            <w:r w:rsidRPr="00DB5DE6">
              <w:rPr>
                <w:rFonts w:ascii="Verdana" w:hAnsi="Verdana" w:cs="Arial"/>
                <w:i/>
                <w:color w:val="808080"/>
                <w:lang w:val="es-CO"/>
              </w:rPr>
              <w:t>(Firmada por el servidor público competente –entidad originadora)</w:t>
            </w:r>
          </w:p>
        </w:tc>
        <w:tc>
          <w:tcPr>
            <w:tcW w:w="3590" w:type="dxa"/>
            <w:tcBorders>
              <w:top w:val="single" w:sz="4" w:space="0" w:color="auto"/>
              <w:left w:val="single" w:sz="4" w:space="0" w:color="auto"/>
              <w:bottom w:val="single" w:sz="4" w:space="0" w:color="auto"/>
            </w:tcBorders>
            <w:shd w:val="clear" w:color="auto" w:fill="FFFFFF" w:themeFill="background1"/>
            <w:vAlign w:val="center"/>
          </w:tcPr>
          <w:p w14:paraId="36C4AFA5" w14:textId="77777777" w:rsidR="00D06685" w:rsidRPr="00DB5DE6" w:rsidRDefault="00F21112" w:rsidP="00D06685">
            <w:pPr>
              <w:jc w:val="both"/>
              <w:rPr>
                <w:rFonts w:ascii="Verdana" w:hAnsi="Verdana" w:cs="Arial"/>
                <w:i/>
                <w:color w:val="808080"/>
                <w:lang w:val="es-CO"/>
              </w:rPr>
            </w:pPr>
            <w:r>
              <w:rPr>
                <w:rFonts w:ascii="Verdana" w:hAnsi="Verdana" w:cs="Arial"/>
                <w:i/>
                <w:color w:val="808080"/>
                <w:lang w:val="es-CO"/>
              </w:rPr>
              <w:t>X</w:t>
            </w:r>
          </w:p>
        </w:tc>
      </w:tr>
      <w:tr w:rsidR="00D06685" w:rsidRPr="00DB5DE6" w14:paraId="4DB5C4BC" w14:textId="77777777" w:rsidTr="187EA5DE">
        <w:trPr>
          <w:trHeight w:val="300"/>
        </w:trPr>
        <w:tc>
          <w:tcPr>
            <w:tcW w:w="7180" w:type="dxa"/>
            <w:gridSpan w:val="2"/>
            <w:tcBorders>
              <w:top w:val="single" w:sz="4" w:space="0" w:color="auto"/>
              <w:bottom w:val="single" w:sz="4" w:space="0" w:color="auto"/>
              <w:right w:val="single" w:sz="4" w:space="0" w:color="auto"/>
            </w:tcBorders>
            <w:shd w:val="clear" w:color="auto" w:fill="FFFFFF" w:themeFill="background1"/>
            <w:vAlign w:val="center"/>
          </w:tcPr>
          <w:p w14:paraId="509D0B57" w14:textId="77777777" w:rsidR="00D06685" w:rsidRPr="00DB5DE6" w:rsidRDefault="00D06685" w:rsidP="00D06685">
            <w:pPr>
              <w:jc w:val="both"/>
              <w:rPr>
                <w:rFonts w:ascii="Verdana" w:hAnsi="Verdana" w:cs="Arial"/>
                <w:lang w:val="es-CO"/>
              </w:rPr>
            </w:pPr>
            <w:r w:rsidRPr="00DB5DE6">
              <w:rPr>
                <w:rFonts w:ascii="Verdana" w:hAnsi="Verdana" w:cs="Arial"/>
                <w:lang w:val="es-CO"/>
              </w:rPr>
              <w:t>Concepto(s) de Ministerio de Comercio, Industria y Turismo</w:t>
            </w:r>
          </w:p>
          <w:p w14:paraId="33C8D9FB" w14:textId="77777777" w:rsidR="00D06685" w:rsidRPr="00DB5DE6" w:rsidRDefault="00D06685" w:rsidP="00D06685">
            <w:pPr>
              <w:jc w:val="both"/>
              <w:rPr>
                <w:rFonts w:ascii="Verdana" w:hAnsi="Verdana" w:cs="Arial"/>
                <w:i/>
                <w:color w:val="808080"/>
                <w:lang w:val="es-CO"/>
              </w:rPr>
            </w:pPr>
            <w:r w:rsidRPr="00DB5DE6">
              <w:rPr>
                <w:rFonts w:ascii="Verdana" w:hAnsi="Verdana" w:cs="Arial"/>
                <w:i/>
                <w:color w:val="808080"/>
                <w:lang w:val="es-CO"/>
              </w:rPr>
              <w:t>(Cuando se trate de un proyecto de reglamento técnico o de procedimientos de evaluación de conformidad)</w:t>
            </w:r>
          </w:p>
        </w:tc>
        <w:tc>
          <w:tcPr>
            <w:tcW w:w="3590" w:type="dxa"/>
            <w:tcBorders>
              <w:top w:val="single" w:sz="4" w:space="0" w:color="auto"/>
              <w:left w:val="single" w:sz="4" w:space="0" w:color="auto"/>
              <w:bottom w:val="single" w:sz="4" w:space="0" w:color="auto"/>
            </w:tcBorders>
            <w:shd w:val="clear" w:color="auto" w:fill="FFFFFF" w:themeFill="background1"/>
            <w:vAlign w:val="center"/>
          </w:tcPr>
          <w:p w14:paraId="3B5F2FB3" w14:textId="77777777" w:rsidR="00D06685" w:rsidRPr="00DB5DE6" w:rsidRDefault="00F21112" w:rsidP="00D06685">
            <w:pPr>
              <w:jc w:val="both"/>
              <w:rPr>
                <w:rFonts w:ascii="Verdana" w:hAnsi="Verdana" w:cs="Arial"/>
                <w:lang w:val="es-CO"/>
              </w:rPr>
            </w:pPr>
            <w:r>
              <w:rPr>
                <w:rFonts w:ascii="Verdana" w:hAnsi="Verdana" w:cs="Arial"/>
                <w:i/>
                <w:color w:val="808080"/>
                <w:lang w:val="es-CO"/>
              </w:rPr>
              <w:t>NA</w:t>
            </w:r>
          </w:p>
        </w:tc>
      </w:tr>
      <w:tr w:rsidR="00D06685" w:rsidRPr="00DB5DE6" w14:paraId="1B7EF3ED" w14:textId="77777777" w:rsidTr="187EA5DE">
        <w:trPr>
          <w:trHeight w:val="300"/>
        </w:trPr>
        <w:tc>
          <w:tcPr>
            <w:tcW w:w="7180" w:type="dxa"/>
            <w:gridSpan w:val="2"/>
            <w:tcBorders>
              <w:top w:val="single" w:sz="4" w:space="0" w:color="auto"/>
              <w:bottom w:val="single" w:sz="4" w:space="0" w:color="auto"/>
              <w:right w:val="single" w:sz="4" w:space="0" w:color="auto"/>
            </w:tcBorders>
            <w:shd w:val="clear" w:color="auto" w:fill="FFFFFF" w:themeFill="background1"/>
            <w:vAlign w:val="center"/>
          </w:tcPr>
          <w:p w14:paraId="514950EA" w14:textId="77777777" w:rsidR="00D06685" w:rsidRPr="00DB5DE6" w:rsidRDefault="00D06685" w:rsidP="00D06685">
            <w:pPr>
              <w:jc w:val="both"/>
              <w:rPr>
                <w:rFonts w:ascii="Verdana" w:hAnsi="Verdana" w:cs="Arial"/>
                <w:lang w:val="es-CO"/>
              </w:rPr>
            </w:pPr>
            <w:r w:rsidRPr="00DB5DE6">
              <w:rPr>
                <w:rFonts w:ascii="Verdana" w:hAnsi="Verdana" w:cs="Arial"/>
                <w:lang w:val="es-CO"/>
              </w:rPr>
              <w:t xml:space="preserve">Informe de observaciones y respuestas </w:t>
            </w:r>
          </w:p>
          <w:p w14:paraId="04B1FB13" w14:textId="77777777" w:rsidR="00D06685" w:rsidRPr="00DB5DE6" w:rsidRDefault="00D06685" w:rsidP="00D06685">
            <w:pPr>
              <w:jc w:val="both"/>
              <w:rPr>
                <w:rFonts w:ascii="Verdana" w:hAnsi="Verdana" w:cs="Arial"/>
                <w:i/>
                <w:color w:val="808080"/>
                <w:lang w:val="es-CO"/>
              </w:rPr>
            </w:pPr>
            <w:r w:rsidRPr="00DB5DE6">
              <w:rPr>
                <w:rFonts w:ascii="Verdana" w:hAnsi="Verdana" w:cs="Arial"/>
                <w:i/>
                <w:color w:val="808080"/>
                <w:lang w:val="es-CO"/>
              </w:rPr>
              <w:t>(Análisis del informe con la evaluación de las observaciones de los ciudadanos y grupos de interés sobre el proyecto normativo)</w:t>
            </w:r>
          </w:p>
        </w:tc>
        <w:tc>
          <w:tcPr>
            <w:tcW w:w="3590" w:type="dxa"/>
            <w:tcBorders>
              <w:top w:val="single" w:sz="4" w:space="0" w:color="auto"/>
              <w:left w:val="single" w:sz="4" w:space="0" w:color="auto"/>
              <w:bottom w:val="single" w:sz="4" w:space="0" w:color="auto"/>
            </w:tcBorders>
            <w:shd w:val="clear" w:color="auto" w:fill="FFFFFF" w:themeFill="background1"/>
            <w:vAlign w:val="center"/>
          </w:tcPr>
          <w:p w14:paraId="3AF9C81E" w14:textId="77777777" w:rsidR="00D06685" w:rsidRPr="00DB5DE6" w:rsidRDefault="00F21112" w:rsidP="00D06685">
            <w:pPr>
              <w:jc w:val="both"/>
              <w:rPr>
                <w:rFonts w:ascii="Verdana" w:hAnsi="Verdana" w:cs="Arial"/>
                <w:lang w:val="es-CO"/>
              </w:rPr>
            </w:pPr>
            <w:r>
              <w:rPr>
                <w:rFonts w:ascii="Verdana" w:hAnsi="Verdana" w:cs="Arial"/>
                <w:i/>
                <w:color w:val="808080"/>
                <w:lang w:val="es-CO"/>
              </w:rPr>
              <w:t>X</w:t>
            </w:r>
          </w:p>
        </w:tc>
      </w:tr>
      <w:tr w:rsidR="00D06685" w:rsidRPr="00DB5DE6" w14:paraId="6D05D7A4" w14:textId="77777777" w:rsidTr="187EA5DE">
        <w:trPr>
          <w:trHeight w:val="300"/>
        </w:trPr>
        <w:tc>
          <w:tcPr>
            <w:tcW w:w="7180" w:type="dxa"/>
            <w:gridSpan w:val="2"/>
            <w:tcBorders>
              <w:top w:val="single" w:sz="4" w:space="0" w:color="auto"/>
              <w:bottom w:val="single" w:sz="4" w:space="0" w:color="auto"/>
              <w:right w:val="single" w:sz="4" w:space="0" w:color="auto"/>
            </w:tcBorders>
            <w:shd w:val="clear" w:color="auto" w:fill="FFFFFF" w:themeFill="background1"/>
            <w:vAlign w:val="center"/>
          </w:tcPr>
          <w:p w14:paraId="70609A72" w14:textId="77777777" w:rsidR="00D06685" w:rsidRPr="00DB5DE6" w:rsidRDefault="00D06685" w:rsidP="00D06685">
            <w:pPr>
              <w:jc w:val="both"/>
              <w:rPr>
                <w:rFonts w:ascii="Verdana" w:hAnsi="Verdana" w:cs="Arial"/>
                <w:lang w:val="es-CO"/>
              </w:rPr>
            </w:pPr>
            <w:r w:rsidRPr="00DB5DE6">
              <w:rPr>
                <w:rFonts w:ascii="Verdana" w:hAnsi="Verdana" w:cs="Arial"/>
                <w:lang w:val="es-CO"/>
              </w:rPr>
              <w:t>Concepto de Abogacía de la Competencia de la Superintendencia de Industria y Comercio</w:t>
            </w:r>
          </w:p>
          <w:p w14:paraId="4511EEF7" w14:textId="77777777" w:rsidR="00D06685" w:rsidRPr="00DB5DE6" w:rsidRDefault="00D06685" w:rsidP="00D06685">
            <w:pPr>
              <w:jc w:val="both"/>
              <w:rPr>
                <w:rFonts w:ascii="Verdana" w:hAnsi="Verdana" w:cs="Arial"/>
                <w:i/>
                <w:color w:val="808080"/>
                <w:lang w:val="es-CO"/>
              </w:rPr>
            </w:pPr>
            <w:r w:rsidRPr="00DB5DE6">
              <w:rPr>
                <w:rFonts w:ascii="Verdana" w:hAnsi="Verdana" w:cs="Arial"/>
                <w:i/>
                <w:color w:val="808080"/>
                <w:lang w:val="es-CO"/>
              </w:rPr>
              <w:t>(Cuando los proyectos normativos tengan incidencia en la libre competencia de los mercados)</w:t>
            </w:r>
          </w:p>
        </w:tc>
        <w:tc>
          <w:tcPr>
            <w:tcW w:w="3590" w:type="dxa"/>
            <w:tcBorders>
              <w:top w:val="single" w:sz="4" w:space="0" w:color="auto"/>
              <w:left w:val="single" w:sz="4" w:space="0" w:color="auto"/>
              <w:bottom w:val="single" w:sz="4" w:space="0" w:color="auto"/>
            </w:tcBorders>
            <w:shd w:val="clear" w:color="auto" w:fill="FFFFFF" w:themeFill="background1"/>
            <w:vAlign w:val="center"/>
          </w:tcPr>
          <w:p w14:paraId="5C0954C4" w14:textId="77777777" w:rsidR="00D06685" w:rsidRPr="00DB5DE6" w:rsidRDefault="00F21112" w:rsidP="00D06685">
            <w:pPr>
              <w:jc w:val="both"/>
              <w:rPr>
                <w:rFonts w:ascii="Verdana" w:hAnsi="Verdana" w:cs="Arial"/>
                <w:lang w:val="es-CO"/>
              </w:rPr>
            </w:pPr>
            <w:r>
              <w:rPr>
                <w:rFonts w:ascii="Verdana" w:hAnsi="Verdana" w:cs="Arial"/>
                <w:i/>
                <w:color w:val="808080"/>
                <w:lang w:val="es-CO"/>
              </w:rPr>
              <w:t>NA</w:t>
            </w:r>
          </w:p>
        </w:tc>
      </w:tr>
      <w:tr w:rsidR="00D06685" w:rsidRPr="00DB5DE6" w14:paraId="3F442390" w14:textId="77777777" w:rsidTr="187EA5DE">
        <w:trPr>
          <w:trHeight w:val="300"/>
        </w:trPr>
        <w:tc>
          <w:tcPr>
            <w:tcW w:w="7180" w:type="dxa"/>
            <w:gridSpan w:val="2"/>
            <w:tcBorders>
              <w:top w:val="single" w:sz="4" w:space="0" w:color="auto"/>
              <w:bottom w:val="single" w:sz="4" w:space="0" w:color="auto"/>
              <w:right w:val="single" w:sz="4" w:space="0" w:color="auto"/>
            </w:tcBorders>
            <w:shd w:val="clear" w:color="auto" w:fill="FFFFFF" w:themeFill="background1"/>
            <w:vAlign w:val="center"/>
          </w:tcPr>
          <w:p w14:paraId="142E92C3" w14:textId="77777777" w:rsidR="00D06685" w:rsidRPr="00DB5DE6" w:rsidRDefault="00D06685" w:rsidP="00D06685">
            <w:pPr>
              <w:jc w:val="both"/>
              <w:rPr>
                <w:rFonts w:ascii="Verdana" w:hAnsi="Verdana" w:cs="Arial"/>
                <w:lang w:val="es-CO"/>
              </w:rPr>
            </w:pPr>
            <w:r w:rsidRPr="00DB5DE6">
              <w:rPr>
                <w:rFonts w:ascii="Verdana" w:hAnsi="Verdana" w:cs="Arial"/>
                <w:lang w:val="es-CO"/>
              </w:rPr>
              <w:t>Concepto de aprobación nuevos trámites del Departamento Administrativo de la Función Pública</w:t>
            </w:r>
          </w:p>
          <w:p w14:paraId="59C0F0C5" w14:textId="77777777" w:rsidR="00D06685" w:rsidRPr="00DB5DE6" w:rsidRDefault="00D06685" w:rsidP="00D06685">
            <w:pPr>
              <w:jc w:val="both"/>
              <w:rPr>
                <w:rFonts w:ascii="Verdana" w:hAnsi="Verdana" w:cs="Arial"/>
                <w:lang w:val="es-CO"/>
              </w:rPr>
            </w:pPr>
            <w:r w:rsidRPr="00DB5DE6">
              <w:rPr>
                <w:rFonts w:ascii="Verdana" w:hAnsi="Verdana" w:cs="Arial"/>
                <w:i/>
                <w:color w:val="808080"/>
                <w:lang w:val="es-CO"/>
              </w:rPr>
              <w:t>(Cuando el proyecto normativo adopte o modifique un trámite)</w:t>
            </w:r>
          </w:p>
        </w:tc>
        <w:tc>
          <w:tcPr>
            <w:tcW w:w="3590" w:type="dxa"/>
            <w:tcBorders>
              <w:top w:val="single" w:sz="4" w:space="0" w:color="auto"/>
              <w:left w:val="single" w:sz="4" w:space="0" w:color="auto"/>
              <w:bottom w:val="single" w:sz="4" w:space="0" w:color="auto"/>
            </w:tcBorders>
            <w:shd w:val="clear" w:color="auto" w:fill="FFFFFF" w:themeFill="background1"/>
            <w:vAlign w:val="center"/>
          </w:tcPr>
          <w:p w14:paraId="59E19CAB" w14:textId="77777777" w:rsidR="00D06685" w:rsidRPr="00DB5DE6" w:rsidRDefault="00F21112" w:rsidP="00D06685">
            <w:pPr>
              <w:jc w:val="both"/>
              <w:rPr>
                <w:rFonts w:ascii="Verdana" w:hAnsi="Verdana" w:cs="Arial"/>
                <w:lang w:val="es-CO"/>
              </w:rPr>
            </w:pPr>
            <w:r>
              <w:rPr>
                <w:rFonts w:ascii="Verdana" w:hAnsi="Verdana" w:cs="Arial"/>
                <w:i/>
                <w:color w:val="808080"/>
                <w:lang w:val="es-CO"/>
              </w:rPr>
              <w:t>NA</w:t>
            </w:r>
          </w:p>
        </w:tc>
      </w:tr>
      <w:tr w:rsidR="00D06685" w:rsidRPr="00DB5DE6" w14:paraId="27E25ABA" w14:textId="77777777" w:rsidTr="187EA5DE">
        <w:trPr>
          <w:trHeight w:val="300"/>
        </w:trPr>
        <w:tc>
          <w:tcPr>
            <w:tcW w:w="7180" w:type="dxa"/>
            <w:gridSpan w:val="2"/>
            <w:tcBorders>
              <w:top w:val="single" w:sz="4" w:space="0" w:color="auto"/>
              <w:bottom w:val="single" w:sz="4" w:space="0" w:color="auto"/>
              <w:right w:val="single" w:sz="4" w:space="0" w:color="auto"/>
            </w:tcBorders>
            <w:shd w:val="clear" w:color="auto" w:fill="FFFFFF" w:themeFill="background1"/>
            <w:vAlign w:val="center"/>
          </w:tcPr>
          <w:p w14:paraId="3415242E" w14:textId="77777777" w:rsidR="00D06685" w:rsidRPr="00DB5DE6" w:rsidRDefault="00D06685" w:rsidP="00D06685">
            <w:pPr>
              <w:jc w:val="both"/>
              <w:rPr>
                <w:rFonts w:ascii="Verdana" w:hAnsi="Verdana" w:cs="Arial"/>
                <w:lang w:val="es-CO"/>
              </w:rPr>
            </w:pPr>
            <w:r w:rsidRPr="00DB5DE6">
              <w:rPr>
                <w:rFonts w:ascii="Verdana" w:hAnsi="Verdana" w:cs="Arial"/>
                <w:lang w:val="es-CO"/>
              </w:rPr>
              <w:t xml:space="preserve">Otro </w:t>
            </w:r>
          </w:p>
          <w:p w14:paraId="2A19BC86" w14:textId="77777777" w:rsidR="00D06685" w:rsidRPr="00DB5DE6" w:rsidRDefault="00D06685" w:rsidP="00D06685">
            <w:pPr>
              <w:jc w:val="both"/>
              <w:rPr>
                <w:rFonts w:ascii="Verdana" w:hAnsi="Verdana" w:cs="Arial"/>
                <w:lang w:val="es-CO"/>
              </w:rPr>
            </w:pPr>
            <w:r w:rsidRPr="00DB5DE6">
              <w:rPr>
                <w:rFonts w:ascii="Verdana" w:hAnsi="Verdana" w:cs="Arial"/>
                <w:i/>
                <w:color w:val="808080"/>
                <w:lang w:val="es-CO"/>
              </w:rPr>
              <w:t>(Cualquier otro aspecto que la entidad originadora de la norma considere relevante o de importancia)</w:t>
            </w:r>
          </w:p>
        </w:tc>
        <w:tc>
          <w:tcPr>
            <w:tcW w:w="3590" w:type="dxa"/>
            <w:tcBorders>
              <w:top w:val="single" w:sz="4" w:space="0" w:color="auto"/>
              <w:left w:val="single" w:sz="4" w:space="0" w:color="auto"/>
              <w:bottom w:val="single" w:sz="4" w:space="0" w:color="auto"/>
            </w:tcBorders>
            <w:shd w:val="clear" w:color="auto" w:fill="FFFFFF" w:themeFill="background1"/>
            <w:vAlign w:val="center"/>
          </w:tcPr>
          <w:p w14:paraId="386222EB" w14:textId="77777777" w:rsidR="00D06685" w:rsidRPr="00DB5DE6" w:rsidRDefault="00F21112" w:rsidP="00D06685">
            <w:pPr>
              <w:jc w:val="both"/>
              <w:rPr>
                <w:rFonts w:ascii="Verdana" w:hAnsi="Verdana" w:cs="Arial"/>
                <w:lang w:val="es-CO"/>
              </w:rPr>
            </w:pPr>
            <w:r>
              <w:rPr>
                <w:rFonts w:ascii="Verdana" w:hAnsi="Verdana" w:cs="Arial"/>
                <w:i/>
                <w:color w:val="808080"/>
                <w:lang w:val="es-CO"/>
              </w:rPr>
              <w:t>NA</w:t>
            </w:r>
          </w:p>
        </w:tc>
      </w:tr>
    </w:tbl>
    <w:p w14:paraId="31BF64BE" w14:textId="77777777" w:rsidR="00301DC2" w:rsidRPr="00DB5DE6" w:rsidRDefault="00301DC2" w:rsidP="00587695">
      <w:pPr>
        <w:ind w:right="-377"/>
        <w:jc w:val="both"/>
        <w:rPr>
          <w:rFonts w:ascii="Verdana" w:hAnsi="Verdana" w:cs="Arial"/>
          <w:lang w:val="es-CO"/>
        </w:rPr>
      </w:pPr>
    </w:p>
    <w:p w14:paraId="16889854" w14:textId="77777777" w:rsidR="00B66D03" w:rsidRPr="00DB5DE6" w:rsidRDefault="000B30A6" w:rsidP="00EF1349">
      <w:pPr>
        <w:ind w:left="-851" w:right="-377" w:firstLine="142"/>
        <w:jc w:val="both"/>
        <w:rPr>
          <w:rFonts w:ascii="Verdana" w:hAnsi="Verdana" w:cs="Arial"/>
          <w:b/>
          <w:lang w:val="es-CO"/>
        </w:rPr>
      </w:pPr>
      <w:r w:rsidRPr="00DB5DE6">
        <w:rPr>
          <w:rFonts w:ascii="Verdana" w:hAnsi="Verdana" w:cs="Arial"/>
          <w:b/>
          <w:lang w:val="es-CO"/>
        </w:rPr>
        <w:t>Aprobó</w:t>
      </w:r>
      <w:r w:rsidR="00CB4D37" w:rsidRPr="00DB5DE6">
        <w:rPr>
          <w:rFonts w:ascii="Verdana" w:hAnsi="Verdana" w:cs="Arial"/>
          <w:b/>
          <w:lang w:val="es-CO"/>
        </w:rPr>
        <w:t>:</w:t>
      </w:r>
    </w:p>
    <w:p w14:paraId="1148970D" w14:textId="77777777" w:rsidR="00F21112" w:rsidRPr="00143748" w:rsidRDefault="00F21112" w:rsidP="00EF1349">
      <w:pPr>
        <w:ind w:left="-851" w:right="-377" w:firstLine="142"/>
        <w:jc w:val="both"/>
        <w:rPr>
          <w:rFonts w:ascii="Verdana" w:hAnsi="Verdana" w:cs="Arial"/>
          <w:b/>
        </w:rPr>
      </w:pPr>
    </w:p>
    <w:p w14:paraId="28D77A9B" w14:textId="77777777" w:rsidR="00F21112" w:rsidRPr="00143748" w:rsidRDefault="00F21112" w:rsidP="00EF1349">
      <w:pPr>
        <w:ind w:left="-851" w:right="-377" w:firstLine="142"/>
        <w:jc w:val="both"/>
        <w:rPr>
          <w:rFonts w:ascii="Verdana" w:hAnsi="Verdana" w:cs="Arial"/>
          <w:b/>
        </w:rPr>
      </w:pPr>
    </w:p>
    <w:p w14:paraId="6D875E94" w14:textId="77777777" w:rsidR="00F21112" w:rsidRPr="00143748" w:rsidRDefault="00F21112" w:rsidP="00EF1349">
      <w:pPr>
        <w:ind w:left="-851" w:right="-377" w:firstLine="142"/>
        <w:jc w:val="both"/>
        <w:rPr>
          <w:rFonts w:ascii="Verdana" w:hAnsi="Verdana" w:cs="Arial"/>
          <w:b/>
        </w:rPr>
      </w:pPr>
    </w:p>
    <w:p w14:paraId="7D443E89" w14:textId="77777777" w:rsidR="00F21112" w:rsidRPr="00143748" w:rsidRDefault="00F21112" w:rsidP="00EF1349">
      <w:pPr>
        <w:ind w:left="-851" w:right="-377" w:firstLine="142"/>
        <w:jc w:val="both"/>
        <w:rPr>
          <w:rFonts w:ascii="Verdana" w:hAnsi="Verdana" w:cs="Arial"/>
          <w:b/>
        </w:rPr>
      </w:pPr>
      <w:r w:rsidRPr="00143748">
        <w:rPr>
          <w:rFonts w:ascii="Verdana" w:hAnsi="Verdana" w:cs="Arial"/>
          <w:b/>
        </w:rPr>
        <w:t>_________________________                    ___________________________</w:t>
      </w:r>
    </w:p>
    <w:p w14:paraId="3E2007D4" w14:textId="77777777" w:rsidR="00F21112" w:rsidRPr="00143748" w:rsidRDefault="00F21112" w:rsidP="00EF1349">
      <w:pPr>
        <w:ind w:left="-851" w:right="-377" w:firstLine="142"/>
        <w:rPr>
          <w:rFonts w:ascii="Verdana" w:hAnsi="Verdana" w:cs="Arial"/>
          <w:b/>
        </w:rPr>
      </w:pPr>
      <w:r w:rsidRPr="00143748">
        <w:rPr>
          <w:rFonts w:ascii="Verdana" w:hAnsi="Verdana" w:cs="Arial"/>
          <w:b/>
          <w:bCs/>
        </w:rPr>
        <w:t xml:space="preserve">NELSON ALIRIO MUÑOZ LEGUIZAMÓN         </w:t>
      </w:r>
      <w:r>
        <w:rPr>
          <w:rFonts w:ascii="Verdana" w:hAnsi="Verdana" w:cs="Arial"/>
          <w:b/>
          <w:bCs/>
        </w:rPr>
        <w:t>JOSÉ ALEJANDRO BAYONA CHAPARRO</w:t>
      </w:r>
    </w:p>
    <w:p w14:paraId="6DD925CE" w14:textId="77777777" w:rsidR="00F21112" w:rsidRPr="00143748" w:rsidRDefault="00F21112" w:rsidP="00EF1349">
      <w:pPr>
        <w:ind w:left="-851" w:right="-377" w:firstLine="142"/>
        <w:rPr>
          <w:rFonts w:ascii="Verdana" w:hAnsi="Verdana" w:cs="Arial"/>
          <w:b/>
        </w:rPr>
      </w:pPr>
      <w:r w:rsidRPr="00143748">
        <w:rPr>
          <w:rFonts w:ascii="Verdana" w:hAnsi="Verdana" w:cs="Arial"/>
          <w:bCs/>
        </w:rPr>
        <w:t xml:space="preserve">Jefe Oficina Asesora Jurídica      </w:t>
      </w:r>
      <w:r>
        <w:rPr>
          <w:rFonts w:ascii="Verdana" w:hAnsi="Verdana" w:cs="Arial"/>
          <w:bCs/>
        </w:rPr>
        <w:t xml:space="preserve">                       </w:t>
      </w:r>
      <w:proofErr w:type="gramStart"/>
      <w:r>
        <w:rPr>
          <w:rFonts w:ascii="Verdana" w:hAnsi="Verdana" w:cs="Arial"/>
          <w:bCs/>
        </w:rPr>
        <w:t>Director</w:t>
      </w:r>
      <w:proofErr w:type="gramEnd"/>
      <w:r w:rsidRPr="00143748">
        <w:rPr>
          <w:rFonts w:ascii="Verdana" w:hAnsi="Verdana" w:cs="Arial"/>
          <w:bCs/>
        </w:rPr>
        <w:t xml:space="preserve"> del Sistema Habitacional</w:t>
      </w:r>
    </w:p>
    <w:p w14:paraId="3E8C4F37" w14:textId="77777777" w:rsidR="00F21112" w:rsidRPr="00143748" w:rsidRDefault="00F21112" w:rsidP="00EF1349">
      <w:pPr>
        <w:ind w:left="-851" w:right="-377" w:firstLine="142"/>
        <w:jc w:val="both"/>
        <w:rPr>
          <w:rFonts w:ascii="Verdana" w:hAnsi="Verdana" w:cs="Arial"/>
          <w:b/>
        </w:rPr>
      </w:pPr>
      <w:r w:rsidRPr="00143748">
        <w:rPr>
          <w:rFonts w:ascii="Verdana" w:hAnsi="Verdana" w:cs="Arial"/>
          <w:bCs/>
        </w:rPr>
        <w:t>Ministerio de Vivienda, Ciudad y Territorio         Ministerio de Vivienda, Ciudad y Territorio</w:t>
      </w:r>
    </w:p>
    <w:p w14:paraId="27C7C2BB" w14:textId="77777777" w:rsidR="00F21112" w:rsidRPr="00143748" w:rsidRDefault="00F21112" w:rsidP="00EF1349">
      <w:pPr>
        <w:ind w:left="-851" w:firstLine="142"/>
        <w:rPr>
          <w:rFonts w:ascii="Verdana" w:hAnsi="Verdana" w:cs="Arial"/>
          <w:b/>
        </w:rPr>
      </w:pPr>
    </w:p>
    <w:p w14:paraId="358639EE" w14:textId="77777777" w:rsidR="006779DA" w:rsidRPr="00DB5DE6" w:rsidRDefault="006779DA" w:rsidP="00EF1349">
      <w:pPr>
        <w:pStyle w:val="ColorfulList-Accent11"/>
        <w:ind w:left="-851" w:firstLine="142"/>
        <w:jc w:val="both"/>
        <w:rPr>
          <w:rFonts w:ascii="Verdana" w:hAnsi="Verdana" w:cs="Arial"/>
          <w:b/>
          <w:sz w:val="20"/>
          <w:szCs w:val="20"/>
        </w:rPr>
      </w:pPr>
    </w:p>
    <w:sectPr w:rsidR="006779DA" w:rsidRPr="00DB5DE6" w:rsidSect="005C5B57">
      <w:headerReference w:type="default" r:id="rId16"/>
      <w:footerReference w:type="default" r:id="rId17"/>
      <w:headerReference w:type="first" r:id="rId18"/>
      <w:footerReference w:type="first" r:id="rId19"/>
      <w:type w:val="continuous"/>
      <w:pgSz w:w="12240" w:h="15840" w:code="1"/>
      <w:pgMar w:top="1701" w:right="1418" w:bottom="1701" w:left="1418" w:header="709"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BDED1" w14:textId="77777777" w:rsidR="00E02F10" w:rsidRDefault="00E02F10">
      <w:r>
        <w:separator/>
      </w:r>
    </w:p>
  </w:endnote>
  <w:endnote w:type="continuationSeparator" w:id="0">
    <w:p w14:paraId="1CEDCE1A" w14:textId="77777777" w:rsidR="00E02F10" w:rsidRDefault="00E02F10">
      <w:r>
        <w:continuationSeparator/>
      </w:r>
    </w:p>
  </w:endnote>
  <w:endnote w:type="continuationNotice" w:id="1">
    <w:p w14:paraId="5FE7AD2A" w14:textId="77777777" w:rsidR="00E02F10" w:rsidRDefault="00E02F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MT">
    <w:altName w:val="Arial"/>
    <w:charset w:val="00"/>
    <w:family w:val="roman"/>
    <w:pitch w:val="default"/>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B724C" w14:textId="77777777" w:rsidR="009E1F7D" w:rsidRPr="00764AA0" w:rsidRDefault="009E1F7D" w:rsidP="00E166C0">
    <w:pPr>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 xml:space="preserve"> </w:t>
    </w:r>
  </w:p>
  <w:p w14:paraId="7C1C9C5B" w14:textId="77777777" w:rsidR="009E1F7D" w:rsidRPr="00764AA0" w:rsidRDefault="009E1F7D" w:rsidP="00E166C0">
    <w:pPr>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70A74B96" w14:textId="263B5AD8" w:rsidR="009E1F7D" w:rsidRPr="00F600DB" w:rsidRDefault="009E1F7D" w:rsidP="00E166C0">
    <w:pPr>
      <w:pStyle w:val="Piedepgina"/>
      <w:rPr>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 xml:space="preserve">                                                                                      </w:t>
    </w:r>
    <w:r w:rsidRPr="00F600DB">
      <w:rPr>
        <w:sz w:val="16"/>
        <w:szCs w:val="16"/>
      </w:rPr>
      <w:t xml:space="preserve">Página </w:t>
    </w:r>
    <w:r w:rsidRPr="00F600DB">
      <w:rPr>
        <w:b/>
        <w:bCs/>
        <w:sz w:val="16"/>
        <w:szCs w:val="16"/>
      </w:rPr>
      <w:fldChar w:fldCharType="begin"/>
    </w:r>
    <w:r w:rsidRPr="00F600DB">
      <w:rPr>
        <w:b/>
        <w:bCs/>
        <w:sz w:val="16"/>
        <w:szCs w:val="16"/>
      </w:rPr>
      <w:instrText>PAGE</w:instrText>
    </w:r>
    <w:r w:rsidRPr="00F600DB">
      <w:rPr>
        <w:b/>
        <w:bCs/>
        <w:sz w:val="16"/>
        <w:szCs w:val="16"/>
      </w:rPr>
      <w:fldChar w:fldCharType="separate"/>
    </w:r>
    <w:r w:rsidR="00824DBF">
      <w:rPr>
        <w:b/>
        <w:bCs/>
        <w:noProof/>
        <w:sz w:val="16"/>
        <w:szCs w:val="16"/>
      </w:rPr>
      <w:t>21</w:t>
    </w:r>
    <w:r w:rsidRPr="00F600DB">
      <w:rPr>
        <w:b/>
        <w:bCs/>
        <w:sz w:val="16"/>
        <w:szCs w:val="16"/>
      </w:rPr>
      <w:fldChar w:fldCharType="end"/>
    </w:r>
    <w:r w:rsidRPr="00F600DB">
      <w:rPr>
        <w:sz w:val="16"/>
        <w:szCs w:val="16"/>
      </w:rPr>
      <w:t xml:space="preserve"> de </w:t>
    </w:r>
    <w:r w:rsidRPr="00F600DB">
      <w:rPr>
        <w:b/>
        <w:bCs/>
        <w:sz w:val="16"/>
        <w:szCs w:val="16"/>
      </w:rPr>
      <w:fldChar w:fldCharType="begin"/>
    </w:r>
    <w:r w:rsidRPr="00F600DB">
      <w:rPr>
        <w:b/>
        <w:bCs/>
        <w:sz w:val="16"/>
        <w:szCs w:val="16"/>
      </w:rPr>
      <w:instrText>NUMPAGES</w:instrText>
    </w:r>
    <w:r w:rsidRPr="00F600DB">
      <w:rPr>
        <w:b/>
        <w:bCs/>
        <w:sz w:val="16"/>
        <w:szCs w:val="16"/>
      </w:rPr>
      <w:fldChar w:fldCharType="separate"/>
    </w:r>
    <w:r w:rsidR="00824DBF">
      <w:rPr>
        <w:b/>
        <w:bCs/>
        <w:noProof/>
        <w:sz w:val="16"/>
        <w:szCs w:val="16"/>
      </w:rPr>
      <w:t>26</w:t>
    </w:r>
    <w:r w:rsidRPr="00F600DB">
      <w:rPr>
        <w:b/>
        <w:bCs/>
        <w:sz w:val="16"/>
        <w:szCs w:val="16"/>
      </w:rPr>
      <w:fldChar w:fldCharType="end"/>
    </w:r>
  </w:p>
  <w:p w14:paraId="5D0BB57F" w14:textId="77777777" w:rsidR="009E1F7D" w:rsidRPr="0084294E" w:rsidRDefault="009E1F7D" w:rsidP="00FA4A9E">
    <w:pPr>
      <w:pStyle w:val="Piedepgina"/>
      <w:jc w:val="center"/>
      <w:rPr>
        <w:sz w:val="18"/>
        <w:szCs w:val="18"/>
        <w:lang w:val="es-C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DFD8F" w14:textId="02B4B0EE" w:rsidR="009E1F7D" w:rsidRPr="00764AA0" w:rsidRDefault="009E1F7D" w:rsidP="00E166C0">
    <w:pPr>
      <w:jc w:val="both"/>
      <w:rPr>
        <w:rFonts w:ascii="Verdana" w:hAnsi="Verdana"/>
        <w:b/>
        <w:bCs/>
        <w:sz w:val="16"/>
        <w:szCs w:val="16"/>
      </w:rPr>
    </w:pPr>
    <w:r>
      <w:rPr>
        <w:noProof/>
        <w:lang w:val="en-US" w:eastAsia="en-US"/>
      </w:rPr>
      <mc:AlternateContent>
        <mc:Choice Requires="wps">
          <w:drawing>
            <wp:anchor distT="0" distB="0" distL="114300" distR="114300" simplePos="0" relativeHeight="251658245" behindDoc="0" locked="0" layoutInCell="1" allowOverlap="1" wp14:anchorId="09E8E975" wp14:editId="3EACB551">
              <wp:simplePos x="0" y="0"/>
              <wp:positionH relativeFrom="margin">
                <wp:posOffset>801370</wp:posOffset>
              </wp:positionH>
              <wp:positionV relativeFrom="paragraph">
                <wp:posOffset>8990965</wp:posOffset>
              </wp:positionV>
              <wp:extent cx="6029325" cy="752475"/>
              <wp:effectExtent l="0" t="0" r="0" b="0"/>
              <wp:wrapNone/>
              <wp:docPr id="2064154775"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9325" cy="752475"/>
                      </a:xfrm>
                      <a:prstGeom prst="rect">
                        <a:avLst/>
                      </a:prstGeom>
                      <a:noFill/>
                      <a:ln w="6350">
                        <a:noFill/>
                      </a:ln>
                    </wps:spPr>
                    <wps:txbx>
                      <w:txbxContent>
                        <w:p w14:paraId="09F4C0A7" w14:textId="77777777" w:rsidR="009E1F7D" w:rsidRPr="00764AA0" w:rsidRDefault="009E1F7D" w:rsidP="00E166C0">
                          <w:pPr>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0D8F72F4" w14:textId="77777777" w:rsidR="009E1F7D" w:rsidRDefault="009E1F7D" w:rsidP="00E166C0">
                          <w:pPr>
                            <w:jc w:val="both"/>
                            <w:rPr>
                              <w:rFonts w:ascii="Verdana" w:hAnsi="Verdana"/>
                              <w:b/>
                              <w:bCs/>
                              <w:sz w:val="16"/>
                              <w:szCs w:val="16"/>
                            </w:rPr>
                          </w:pPr>
                        </w:p>
                        <w:p w14:paraId="5339BB87" w14:textId="77777777" w:rsidR="009E1F7D" w:rsidRPr="00764AA0" w:rsidRDefault="009E1F7D" w:rsidP="00E166C0">
                          <w:pPr>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 xml:space="preserve"> </w:t>
                          </w:r>
                        </w:p>
                        <w:p w14:paraId="68DC0F6B" w14:textId="77777777" w:rsidR="009E1F7D" w:rsidRPr="00764AA0" w:rsidRDefault="009E1F7D" w:rsidP="00E166C0">
                          <w:pPr>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5D4872DB" w14:textId="77777777" w:rsidR="009E1F7D" w:rsidRPr="00764AA0" w:rsidRDefault="009E1F7D" w:rsidP="00E166C0">
                          <w:pPr>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3F6B267B" w14:textId="77777777" w:rsidR="009E1F7D" w:rsidRPr="00764AA0" w:rsidRDefault="009E1F7D" w:rsidP="00E166C0">
                          <w:pPr>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margin">
                <wp14:pctHeight>0</wp14:pctHeight>
              </wp14:sizeRelV>
            </wp:anchor>
          </w:drawing>
        </mc:Choice>
        <mc:Fallback xmlns:a="http://schemas.openxmlformats.org/drawingml/2006/main">
          <w:pict w14:anchorId="76606B16">
            <v:shapetype id="_x0000_t202" coordsize="21600,21600" o:spt="202" path="m,l,21600r21600,l21600,xe" w14:anchorId="09E8E975">
              <v:stroke joinstyle="miter"/>
              <v:path gradientshapeok="t" o:connecttype="rect"/>
            </v:shapetype>
            <v:shape id="Cuadro de texto 7" style="position:absolute;left:0;text-align:left;margin-left:63.1pt;margin-top:707.95pt;width:474.75pt;height:59.2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">
              <v:textbox>
                <w:txbxContent>
                  <w:p w:rsidRPr="00764AA0" w:rsidR="009E1F7D" w:rsidP="00E166C0" w:rsidRDefault="009E1F7D" w14:paraId="3D546B89" w14:textId="77777777">
                    <w:pPr>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rsidR="009E1F7D" w:rsidP="00E166C0" w:rsidRDefault="009E1F7D" w14:paraId="672A6659" w14:textId="77777777">
                    <w:pPr>
                      <w:jc w:val="both"/>
                      <w:rPr>
                        <w:rFonts w:ascii="Verdana" w:hAnsi="Verdana"/>
                        <w:b/>
                        <w:bCs/>
                        <w:sz w:val="16"/>
                        <w:szCs w:val="16"/>
                      </w:rPr>
                    </w:pPr>
                  </w:p>
                  <w:p w:rsidRPr="00764AA0" w:rsidR="009E1F7D" w:rsidP="00E166C0" w:rsidRDefault="009E1F7D" w14:paraId="00C2D7D7" w14:textId="77777777">
                    <w:pPr>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 xml:space="preserve"> </w:t>
                    </w:r>
                  </w:p>
                  <w:p w:rsidRPr="00764AA0" w:rsidR="009E1F7D" w:rsidP="00E166C0" w:rsidRDefault="009E1F7D" w14:paraId="45373E77" w14:textId="77777777">
                    <w:pPr>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 xml:space="preserve">   </w:t>
                    </w:r>
                  </w:p>
                  <w:p w:rsidRPr="00764AA0" w:rsidR="009E1F7D" w:rsidP="00E166C0" w:rsidRDefault="009E1F7D" w14:paraId="71216304" w14:textId="77777777">
                    <w:pPr>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 xml:space="preserve">   </w:t>
                    </w:r>
                  </w:p>
                  <w:p w:rsidRPr="00764AA0" w:rsidR="009E1F7D" w:rsidP="00E166C0" w:rsidRDefault="009E1F7D" w14:paraId="38B3AD24" w14:textId="77777777">
                    <w:pPr>
                      <w:ind w:firstLine="2400" w:firstLineChars="15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r>
      <w:rPr>
        <w:noProof/>
        <w:lang w:val="en-US" w:eastAsia="en-US"/>
      </w:rPr>
      <mc:AlternateContent>
        <mc:Choice Requires="wps">
          <w:drawing>
            <wp:anchor distT="0" distB="0" distL="114300" distR="114300" simplePos="0" relativeHeight="251658244" behindDoc="0" locked="0" layoutInCell="1" allowOverlap="1" wp14:anchorId="4750E194" wp14:editId="14FEDF17">
              <wp:simplePos x="0" y="0"/>
              <wp:positionH relativeFrom="margin">
                <wp:posOffset>801370</wp:posOffset>
              </wp:positionH>
              <wp:positionV relativeFrom="paragraph">
                <wp:posOffset>8990965</wp:posOffset>
              </wp:positionV>
              <wp:extent cx="6029325" cy="752475"/>
              <wp:effectExtent l="0" t="0" r="0" b="0"/>
              <wp:wrapNone/>
              <wp:docPr id="1771589319"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9325" cy="752475"/>
                      </a:xfrm>
                      <a:prstGeom prst="rect">
                        <a:avLst/>
                      </a:prstGeom>
                      <a:noFill/>
                      <a:ln w="6350">
                        <a:noFill/>
                      </a:ln>
                    </wps:spPr>
                    <wps:txbx>
                      <w:txbxContent>
                        <w:p w14:paraId="5B84F708" w14:textId="77777777" w:rsidR="009E1F7D" w:rsidRPr="00764AA0" w:rsidRDefault="009E1F7D" w:rsidP="00E166C0">
                          <w:pPr>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1705C4D3" w14:textId="77777777" w:rsidR="009E1F7D" w:rsidRDefault="009E1F7D" w:rsidP="00E166C0">
                          <w:pPr>
                            <w:jc w:val="both"/>
                            <w:rPr>
                              <w:rFonts w:ascii="Verdana" w:hAnsi="Verdana"/>
                              <w:b/>
                              <w:bCs/>
                              <w:sz w:val="16"/>
                              <w:szCs w:val="16"/>
                            </w:rPr>
                          </w:pPr>
                        </w:p>
                        <w:p w14:paraId="535CA11A" w14:textId="77777777" w:rsidR="009E1F7D" w:rsidRPr="00764AA0" w:rsidRDefault="009E1F7D" w:rsidP="00E166C0">
                          <w:pPr>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 xml:space="preserve"> </w:t>
                          </w:r>
                        </w:p>
                        <w:p w14:paraId="239D431B" w14:textId="77777777" w:rsidR="009E1F7D" w:rsidRPr="00764AA0" w:rsidRDefault="009E1F7D" w:rsidP="00E166C0">
                          <w:pPr>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6324226C" w14:textId="77777777" w:rsidR="009E1F7D" w:rsidRPr="00764AA0" w:rsidRDefault="009E1F7D" w:rsidP="00E166C0">
                          <w:pPr>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7C496B3D" w14:textId="77777777" w:rsidR="009E1F7D" w:rsidRPr="00764AA0" w:rsidRDefault="009E1F7D" w:rsidP="00E166C0">
                          <w:pPr>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margin">
                <wp14:pctHeight>0</wp14:pctHeight>
              </wp14:sizeRelV>
            </wp:anchor>
          </w:drawing>
        </mc:Choice>
        <mc:Fallback xmlns:a="http://schemas.openxmlformats.org/drawingml/2006/main">
          <w:pict w14:anchorId="108623C8">
            <v:shape id="Cuadro de texto 5" style="position:absolute;left:0;text-align:left;margin-left:63.1pt;margin-top:707.95pt;width:474.75pt;height:59.2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" w14:anchorId="4750E194">
              <v:textbox>
                <w:txbxContent>
                  <w:p w:rsidRPr="00764AA0" w:rsidR="009E1F7D" w:rsidP="00E166C0" w:rsidRDefault="009E1F7D" w14:paraId="253A0F43" w14:textId="77777777">
                    <w:pPr>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rsidR="009E1F7D" w:rsidP="00E166C0" w:rsidRDefault="009E1F7D" w14:paraId="0A37501D" w14:textId="77777777">
                    <w:pPr>
                      <w:jc w:val="both"/>
                      <w:rPr>
                        <w:rFonts w:ascii="Verdana" w:hAnsi="Verdana"/>
                        <w:b/>
                        <w:bCs/>
                        <w:sz w:val="16"/>
                        <w:szCs w:val="16"/>
                      </w:rPr>
                    </w:pPr>
                  </w:p>
                  <w:p w:rsidRPr="00764AA0" w:rsidR="009E1F7D" w:rsidP="00E166C0" w:rsidRDefault="009E1F7D" w14:paraId="3F95F2FE" w14:textId="77777777">
                    <w:pPr>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 xml:space="preserve"> </w:t>
                    </w:r>
                  </w:p>
                  <w:p w:rsidRPr="00764AA0" w:rsidR="009E1F7D" w:rsidP="00E166C0" w:rsidRDefault="009E1F7D" w14:paraId="73D3F697" w14:textId="77777777">
                    <w:pPr>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 xml:space="preserve">   </w:t>
                    </w:r>
                  </w:p>
                  <w:p w:rsidRPr="00764AA0" w:rsidR="009E1F7D" w:rsidP="00E166C0" w:rsidRDefault="009E1F7D" w14:paraId="741FD7C5" w14:textId="77777777">
                    <w:pPr>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 xml:space="preserve">   </w:t>
                    </w:r>
                  </w:p>
                  <w:p w:rsidRPr="00764AA0" w:rsidR="009E1F7D" w:rsidP="00E166C0" w:rsidRDefault="009E1F7D" w14:paraId="761C41D6" w14:textId="77777777">
                    <w:pPr>
                      <w:ind w:firstLine="2400" w:firstLineChars="15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r>
      <w:rPr>
        <w:noProof/>
        <w:lang w:val="en-US" w:eastAsia="en-US"/>
      </w:rPr>
      <mc:AlternateContent>
        <mc:Choice Requires="wps">
          <w:drawing>
            <wp:anchor distT="0" distB="0" distL="114300" distR="114300" simplePos="0" relativeHeight="251658243" behindDoc="0" locked="0" layoutInCell="1" allowOverlap="1" wp14:anchorId="04EACDD3" wp14:editId="0B21E93E">
              <wp:simplePos x="0" y="0"/>
              <wp:positionH relativeFrom="margin">
                <wp:posOffset>801370</wp:posOffset>
              </wp:positionH>
              <wp:positionV relativeFrom="paragraph">
                <wp:posOffset>8990965</wp:posOffset>
              </wp:positionV>
              <wp:extent cx="6029325" cy="752475"/>
              <wp:effectExtent l="0" t="0" r="0" b="0"/>
              <wp:wrapNone/>
              <wp:docPr id="69726996"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9325" cy="752475"/>
                      </a:xfrm>
                      <a:prstGeom prst="rect">
                        <a:avLst/>
                      </a:prstGeom>
                      <a:noFill/>
                      <a:ln w="6350">
                        <a:noFill/>
                      </a:ln>
                    </wps:spPr>
                    <wps:txbx>
                      <w:txbxContent>
                        <w:p w14:paraId="57C073F3" w14:textId="77777777" w:rsidR="009E1F7D" w:rsidRPr="00764AA0" w:rsidRDefault="009E1F7D" w:rsidP="00951384">
                          <w:pPr>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0D2D08F2" w14:textId="77777777" w:rsidR="009E1F7D" w:rsidRDefault="009E1F7D" w:rsidP="00951384">
                          <w:pPr>
                            <w:jc w:val="both"/>
                            <w:rPr>
                              <w:rFonts w:ascii="Verdana" w:hAnsi="Verdana"/>
                              <w:b/>
                              <w:bCs/>
                              <w:sz w:val="16"/>
                              <w:szCs w:val="16"/>
                            </w:rPr>
                          </w:pPr>
                        </w:p>
                        <w:p w14:paraId="13BCF353" w14:textId="77777777" w:rsidR="009E1F7D" w:rsidRPr="00764AA0" w:rsidRDefault="009E1F7D" w:rsidP="00951384">
                          <w:pPr>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 xml:space="preserve"> </w:t>
                          </w:r>
                        </w:p>
                        <w:p w14:paraId="52CF6E99" w14:textId="77777777" w:rsidR="009E1F7D" w:rsidRPr="00764AA0" w:rsidRDefault="009E1F7D" w:rsidP="00951384">
                          <w:pPr>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7AD2CD4D" w14:textId="77777777" w:rsidR="009E1F7D" w:rsidRPr="00764AA0" w:rsidRDefault="009E1F7D" w:rsidP="00951384">
                          <w:pPr>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041B0E7E" w14:textId="77777777" w:rsidR="009E1F7D" w:rsidRPr="00764AA0" w:rsidRDefault="009E1F7D" w:rsidP="00951384">
                          <w:pPr>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margin">
                <wp14:pctHeight>0</wp14:pctHeight>
              </wp14:sizeRelV>
            </wp:anchor>
          </w:drawing>
        </mc:Choice>
        <mc:Fallback xmlns:a="http://schemas.openxmlformats.org/drawingml/2006/main">
          <w:pict w14:anchorId="567D9A5A">
            <v:shape id="Cuadro de texto 3" style="position:absolute;left:0;text-align:left;margin-left:63.1pt;margin-top:707.95pt;width:474.75pt;height:59.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" w14:anchorId="04EACDD3">
              <v:textbox>
                <w:txbxContent>
                  <w:p w:rsidRPr="00764AA0" w:rsidR="009E1F7D" w:rsidP="00951384" w:rsidRDefault="009E1F7D" w14:paraId="726CFE64" w14:textId="77777777">
                    <w:pPr>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rsidR="009E1F7D" w:rsidP="00951384" w:rsidRDefault="009E1F7D" w14:paraId="5DAB6C7B" w14:textId="77777777">
                    <w:pPr>
                      <w:jc w:val="both"/>
                      <w:rPr>
                        <w:rFonts w:ascii="Verdana" w:hAnsi="Verdana"/>
                        <w:b/>
                        <w:bCs/>
                        <w:sz w:val="16"/>
                        <w:szCs w:val="16"/>
                      </w:rPr>
                    </w:pPr>
                  </w:p>
                  <w:p w:rsidRPr="00764AA0" w:rsidR="009E1F7D" w:rsidP="00951384" w:rsidRDefault="009E1F7D" w14:paraId="46259941" w14:textId="77777777">
                    <w:pPr>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 xml:space="preserve"> </w:t>
                    </w:r>
                  </w:p>
                  <w:p w:rsidRPr="00764AA0" w:rsidR="009E1F7D" w:rsidP="00951384" w:rsidRDefault="009E1F7D" w14:paraId="55D54425" w14:textId="77777777">
                    <w:pPr>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 xml:space="preserve">   </w:t>
                    </w:r>
                  </w:p>
                  <w:p w:rsidRPr="00764AA0" w:rsidR="009E1F7D" w:rsidP="00951384" w:rsidRDefault="009E1F7D" w14:paraId="5C829230" w14:textId="77777777">
                    <w:pPr>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 xml:space="preserve">   </w:t>
                    </w:r>
                  </w:p>
                  <w:p w:rsidRPr="00764AA0" w:rsidR="009E1F7D" w:rsidP="00951384" w:rsidRDefault="009E1F7D" w14:paraId="42C9E53B" w14:textId="77777777">
                    <w:pPr>
                      <w:ind w:firstLine="2400" w:firstLineChars="15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 xml:space="preserve"> </w:t>
    </w:r>
  </w:p>
  <w:p w14:paraId="74A54D2F" w14:textId="77777777" w:rsidR="009E1F7D" w:rsidRPr="00764AA0" w:rsidRDefault="009E1F7D" w:rsidP="00E166C0">
    <w:pPr>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048EF632" w14:textId="5CB03C4D" w:rsidR="009E1F7D" w:rsidRPr="009E0B82" w:rsidRDefault="009E1F7D" w:rsidP="00E166C0">
    <w:pPr>
      <w:pStyle w:val="Piedepgina"/>
      <w:tabs>
        <w:tab w:val="left" w:pos="1728"/>
        <w:tab w:val="right" w:pos="8838"/>
      </w:tabs>
      <w:rPr>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sz w:val="16"/>
        <w:szCs w:val="16"/>
      </w:rPr>
      <w:tab/>
    </w:r>
    <w:r>
      <w:rPr>
        <w:sz w:val="16"/>
        <w:szCs w:val="16"/>
      </w:rPr>
      <w:tab/>
    </w:r>
    <w:r>
      <w:rPr>
        <w:noProof/>
        <w:lang w:val="en-US" w:eastAsia="en-US"/>
      </w:rPr>
      <mc:AlternateContent>
        <mc:Choice Requires="wps">
          <w:drawing>
            <wp:anchor distT="0" distB="0" distL="114300" distR="114300" simplePos="0" relativeHeight="251658242" behindDoc="0" locked="0" layoutInCell="1" allowOverlap="1" wp14:anchorId="3EE6D013" wp14:editId="2E95CE7D">
              <wp:simplePos x="0" y="0"/>
              <wp:positionH relativeFrom="margin">
                <wp:posOffset>801370</wp:posOffset>
              </wp:positionH>
              <wp:positionV relativeFrom="paragraph">
                <wp:posOffset>8990965</wp:posOffset>
              </wp:positionV>
              <wp:extent cx="6029325" cy="752475"/>
              <wp:effectExtent l="0" t="0" r="0" b="0"/>
              <wp:wrapNone/>
              <wp:docPr id="1617522102"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9325" cy="752475"/>
                      </a:xfrm>
                      <a:prstGeom prst="rect">
                        <a:avLst/>
                      </a:prstGeom>
                      <a:noFill/>
                      <a:ln w="6350">
                        <a:noFill/>
                      </a:ln>
                    </wps:spPr>
                    <wps:txbx>
                      <w:txbxContent>
                        <w:p w14:paraId="4B837970" w14:textId="77777777" w:rsidR="009E1F7D" w:rsidRPr="00764AA0" w:rsidRDefault="009E1F7D" w:rsidP="00951384">
                          <w:pPr>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0DD695E2" w14:textId="77777777" w:rsidR="009E1F7D" w:rsidRDefault="009E1F7D" w:rsidP="00951384">
                          <w:pPr>
                            <w:jc w:val="both"/>
                            <w:rPr>
                              <w:rFonts w:ascii="Verdana" w:hAnsi="Verdana"/>
                              <w:b/>
                              <w:bCs/>
                              <w:sz w:val="16"/>
                              <w:szCs w:val="16"/>
                            </w:rPr>
                          </w:pPr>
                        </w:p>
                        <w:p w14:paraId="7C40AA8E" w14:textId="77777777" w:rsidR="009E1F7D" w:rsidRPr="00764AA0" w:rsidRDefault="009E1F7D" w:rsidP="00951384">
                          <w:pPr>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 xml:space="preserve"> </w:t>
                          </w:r>
                        </w:p>
                        <w:p w14:paraId="57DC1746" w14:textId="77777777" w:rsidR="009E1F7D" w:rsidRPr="00764AA0" w:rsidRDefault="009E1F7D" w:rsidP="00951384">
                          <w:pPr>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3175C4DA" w14:textId="77777777" w:rsidR="009E1F7D" w:rsidRPr="00764AA0" w:rsidRDefault="009E1F7D" w:rsidP="00951384">
                          <w:pPr>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0E0DB2AB" w14:textId="77777777" w:rsidR="009E1F7D" w:rsidRPr="00764AA0" w:rsidRDefault="009E1F7D" w:rsidP="00951384">
                          <w:pPr>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margin">
                <wp14:pctHeight>0</wp14:pctHeight>
              </wp14:sizeRelV>
            </wp:anchor>
          </w:drawing>
        </mc:Choice>
        <mc:Fallback xmlns:a="http://schemas.openxmlformats.org/drawingml/2006/main">
          <w:pict w14:anchorId="051CF042">
            <v:shape id="Cuadro de texto 1" style="position:absolute;margin-left:63.1pt;margin-top:707.95pt;width:474.75pt;height:59.2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" w14:anchorId="3EE6D013">
              <v:textbox>
                <w:txbxContent>
                  <w:p w:rsidRPr="00764AA0" w:rsidR="009E1F7D" w:rsidP="00951384" w:rsidRDefault="009E1F7D" w14:paraId="40F6035B" w14:textId="77777777">
                    <w:pPr>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rsidR="009E1F7D" w:rsidP="00951384" w:rsidRDefault="009E1F7D" w14:paraId="02EB378F" w14:textId="77777777">
                    <w:pPr>
                      <w:jc w:val="both"/>
                      <w:rPr>
                        <w:rFonts w:ascii="Verdana" w:hAnsi="Verdana"/>
                        <w:b/>
                        <w:bCs/>
                        <w:sz w:val="16"/>
                        <w:szCs w:val="16"/>
                      </w:rPr>
                    </w:pPr>
                  </w:p>
                  <w:p w:rsidRPr="00764AA0" w:rsidR="009E1F7D" w:rsidP="00951384" w:rsidRDefault="009E1F7D" w14:paraId="4B57EDC8" w14:textId="77777777">
                    <w:pPr>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 xml:space="preserve"> </w:t>
                    </w:r>
                  </w:p>
                  <w:p w:rsidRPr="00764AA0" w:rsidR="009E1F7D" w:rsidP="00951384" w:rsidRDefault="009E1F7D" w14:paraId="6118A054" w14:textId="77777777">
                    <w:pPr>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 xml:space="preserve">   </w:t>
                    </w:r>
                  </w:p>
                  <w:p w:rsidRPr="00764AA0" w:rsidR="009E1F7D" w:rsidP="00951384" w:rsidRDefault="009E1F7D" w14:paraId="6EB329B6" w14:textId="77777777">
                    <w:pPr>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 xml:space="preserve">   </w:t>
                    </w:r>
                  </w:p>
                  <w:p w:rsidRPr="00764AA0" w:rsidR="009E1F7D" w:rsidP="00951384" w:rsidRDefault="009E1F7D" w14:paraId="3E2EFF10" w14:textId="77777777">
                    <w:pPr>
                      <w:ind w:firstLine="2400" w:firstLineChars="15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r w:rsidRPr="009E0B82">
      <w:rPr>
        <w:sz w:val="16"/>
        <w:szCs w:val="16"/>
      </w:rPr>
      <w:t xml:space="preserve">Página </w:t>
    </w:r>
    <w:r w:rsidRPr="009E0B82">
      <w:rPr>
        <w:sz w:val="16"/>
        <w:szCs w:val="16"/>
      </w:rPr>
      <w:fldChar w:fldCharType="begin"/>
    </w:r>
    <w:r w:rsidRPr="009E0B82">
      <w:rPr>
        <w:sz w:val="16"/>
        <w:szCs w:val="16"/>
      </w:rPr>
      <w:instrText>PAGE</w:instrText>
    </w:r>
    <w:r w:rsidRPr="009E0B82">
      <w:rPr>
        <w:sz w:val="16"/>
        <w:szCs w:val="16"/>
      </w:rPr>
      <w:fldChar w:fldCharType="separate"/>
    </w:r>
    <w:r w:rsidR="00824DBF">
      <w:rPr>
        <w:noProof/>
        <w:sz w:val="16"/>
        <w:szCs w:val="16"/>
      </w:rPr>
      <w:t>1</w:t>
    </w:r>
    <w:r w:rsidRPr="009E0B82">
      <w:rPr>
        <w:sz w:val="16"/>
        <w:szCs w:val="16"/>
      </w:rPr>
      <w:fldChar w:fldCharType="end"/>
    </w:r>
    <w:r w:rsidRPr="009E0B82">
      <w:rPr>
        <w:sz w:val="16"/>
        <w:szCs w:val="16"/>
      </w:rPr>
      <w:t xml:space="preserve"> de </w:t>
    </w:r>
    <w:r w:rsidRPr="009E0B82">
      <w:rPr>
        <w:sz w:val="16"/>
        <w:szCs w:val="16"/>
      </w:rPr>
      <w:fldChar w:fldCharType="begin"/>
    </w:r>
    <w:r w:rsidRPr="009E0B82">
      <w:rPr>
        <w:sz w:val="16"/>
        <w:szCs w:val="16"/>
      </w:rPr>
      <w:instrText>NUMPAGES</w:instrText>
    </w:r>
    <w:r w:rsidRPr="009E0B82">
      <w:rPr>
        <w:sz w:val="16"/>
        <w:szCs w:val="16"/>
      </w:rPr>
      <w:fldChar w:fldCharType="separate"/>
    </w:r>
    <w:r w:rsidR="00824DBF">
      <w:rPr>
        <w:noProof/>
        <w:sz w:val="16"/>
        <w:szCs w:val="16"/>
      </w:rPr>
      <w:t>26</w:t>
    </w:r>
    <w:r w:rsidRPr="009E0B82">
      <w:rPr>
        <w:sz w:val="16"/>
        <w:szCs w:val="16"/>
      </w:rPr>
      <w:fldChar w:fldCharType="end"/>
    </w:r>
  </w:p>
  <w:p w14:paraId="7B8781DA" w14:textId="77777777" w:rsidR="009E1F7D" w:rsidRDefault="009E1F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F9C37" w14:textId="77777777" w:rsidR="00E02F10" w:rsidRDefault="00E02F10">
      <w:r>
        <w:separator/>
      </w:r>
    </w:p>
  </w:footnote>
  <w:footnote w:type="continuationSeparator" w:id="0">
    <w:p w14:paraId="35F190ED" w14:textId="77777777" w:rsidR="00E02F10" w:rsidRDefault="00E02F10">
      <w:r>
        <w:continuationSeparator/>
      </w:r>
    </w:p>
  </w:footnote>
  <w:footnote w:type="continuationNotice" w:id="1">
    <w:p w14:paraId="49A1F7D8" w14:textId="77777777" w:rsidR="00E02F10" w:rsidRDefault="00E02F10"/>
  </w:footnote>
  <w:footnote w:id="2">
    <w:p w14:paraId="37C93A20" w14:textId="77777777" w:rsidR="009E1F7D" w:rsidRPr="001A1F1A" w:rsidRDefault="009E1F7D" w:rsidP="00A87C29">
      <w:pPr>
        <w:pStyle w:val="Textonotapie"/>
        <w:ind w:left="-567"/>
        <w:rPr>
          <w:lang w:val="es-MX"/>
        </w:rPr>
      </w:pPr>
      <w:r>
        <w:rPr>
          <w:rStyle w:val="Refdenotaalpie"/>
        </w:rPr>
        <w:footnoteRef/>
      </w:r>
      <w:r w:rsidRPr="001A1F1A">
        <w:rPr>
          <w:lang w:val="es-MX"/>
        </w:rPr>
        <w:t xml:space="preserve"> </w:t>
      </w:r>
      <w:r w:rsidRPr="001A1F1A">
        <w:rPr>
          <w:rFonts w:ascii="Verdana" w:hAnsi="Verdana"/>
          <w:sz w:val="18"/>
          <w:szCs w:val="18"/>
          <w:lang w:val="es-MX"/>
        </w:rPr>
        <w:t xml:space="preserve">Para </w:t>
      </w:r>
      <w:proofErr w:type="gramStart"/>
      <w:r w:rsidRPr="001A1F1A">
        <w:rPr>
          <w:rFonts w:ascii="Verdana" w:hAnsi="Verdana"/>
          <w:sz w:val="18"/>
          <w:szCs w:val="18"/>
          <w:lang w:val="es-MX"/>
        </w:rPr>
        <w:t xml:space="preserve">mayor </w:t>
      </w:r>
      <w:r w:rsidRPr="00DB5DE6">
        <w:rPr>
          <w:rFonts w:ascii="Verdana" w:hAnsi="Verdana"/>
          <w:sz w:val="18"/>
          <w:szCs w:val="18"/>
          <w:lang w:val="es-CO"/>
        </w:rPr>
        <w:t>información</w:t>
      </w:r>
      <w:proofErr w:type="gramEnd"/>
      <w:r w:rsidRPr="00DB5DE6">
        <w:rPr>
          <w:rFonts w:ascii="Verdana" w:hAnsi="Verdana"/>
          <w:sz w:val="18"/>
          <w:szCs w:val="18"/>
          <w:lang w:val="es-CO"/>
        </w:rPr>
        <w:t xml:space="preserve"> ver en</w:t>
      </w:r>
      <w:r w:rsidRPr="001A1F1A">
        <w:rPr>
          <w:rFonts w:ascii="Verdana" w:hAnsi="Verdana"/>
          <w:sz w:val="18"/>
          <w:szCs w:val="18"/>
          <w:lang w:val="es-MX"/>
        </w:rPr>
        <w:t xml:space="preserve">: </w:t>
      </w:r>
      <w:hyperlink r:id="rId1" w:history="1">
        <w:r w:rsidRPr="001A1F1A">
          <w:rPr>
            <w:rStyle w:val="Hipervnculo"/>
            <w:rFonts w:ascii="Verdana" w:hAnsi="Verdana"/>
            <w:sz w:val="18"/>
            <w:szCs w:val="18"/>
            <w:lang w:val="es-MX"/>
          </w:rPr>
          <w:t>https://www.unidadvictimas.gov.co/registro-unico-de-victimas-ruv/</w:t>
        </w:r>
      </w:hyperlink>
      <w:r w:rsidRPr="001A1F1A">
        <w:rPr>
          <w:lang w:val="es-MX"/>
        </w:rPr>
        <w:t xml:space="preserve"> </w:t>
      </w:r>
    </w:p>
  </w:footnote>
  <w:footnote w:id="3">
    <w:p w14:paraId="69851B7A" w14:textId="77777777" w:rsidR="009E1F7D" w:rsidRDefault="009E1F7D" w:rsidP="59973FD1">
      <w:pPr>
        <w:pStyle w:val="Textonotapie"/>
        <w:rPr>
          <w:rFonts w:ascii="Verdana" w:hAnsi="Verdana"/>
          <w:sz w:val="18"/>
          <w:szCs w:val="18"/>
          <w:lang w:val="es-CO"/>
        </w:rPr>
      </w:pPr>
      <w:r w:rsidRPr="59973FD1">
        <w:rPr>
          <w:rStyle w:val="Refdenotaalpie"/>
          <w:rFonts w:ascii="Verdana" w:hAnsi="Verdana"/>
          <w:sz w:val="18"/>
          <w:szCs w:val="18"/>
          <w:lang w:val="es-CO"/>
        </w:rPr>
        <w:footnoteRef/>
      </w:r>
      <w:r w:rsidRPr="59973FD1">
        <w:rPr>
          <w:rFonts w:ascii="Verdana" w:hAnsi="Verdana"/>
          <w:sz w:val="18"/>
          <w:szCs w:val="18"/>
          <w:lang w:val="es-CO"/>
        </w:rPr>
        <w:t xml:space="preserve"> Para </w:t>
      </w:r>
      <w:proofErr w:type="gramStart"/>
      <w:r w:rsidRPr="59973FD1">
        <w:rPr>
          <w:rFonts w:ascii="Verdana" w:hAnsi="Verdana"/>
          <w:sz w:val="18"/>
          <w:szCs w:val="18"/>
          <w:lang w:val="es-CO"/>
        </w:rPr>
        <w:t>mayor información</w:t>
      </w:r>
      <w:proofErr w:type="gramEnd"/>
      <w:r w:rsidRPr="59973FD1">
        <w:rPr>
          <w:rFonts w:ascii="Verdana" w:hAnsi="Verdana"/>
          <w:sz w:val="18"/>
          <w:szCs w:val="18"/>
          <w:lang w:val="es-CO"/>
        </w:rPr>
        <w:t xml:space="preserve"> ver en: </w:t>
      </w:r>
      <w:r>
        <w:fldChar w:fldCharType="begin"/>
      </w:r>
      <w:r w:rsidRPr="00557E01">
        <w:rPr>
          <w:lang w:val="es-CO"/>
        </w:rPr>
        <w:instrText>HYPERLINK "https://vgv.unidadvictimas.gov.co/" \h</w:instrText>
      </w:r>
      <w:r>
        <w:fldChar w:fldCharType="separate"/>
      </w:r>
      <w:r w:rsidRPr="59973FD1">
        <w:rPr>
          <w:rStyle w:val="Hipervnculo"/>
          <w:rFonts w:ascii="Verdana" w:hAnsi="Verdana"/>
          <w:sz w:val="18"/>
          <w:szCs w:val="18"/>
          <w:lang w:val="es-CO"/>
        </w:rPr>
        <w:t>https://vgv.unidadvictimas.gov.co/</w:t>
      </w:r>
      <w:r>
        <w:rPr>
          <w:rStyle w:val="Hipervnculo"/>
          <w:rFonts w:ascii="Verdana" w:hAnsi="Verdana"/>
          <w:sz w:val="18"/>
          <w:szCs w:val="18"/>
          <w:lang w:val="es-CO"/>
        </w:rPr>
        <w:fldChar w:fldCharType="end"/>
      </w:r>
      <w:r w:rsidRPr="59973FD1">
        <w:rPr>
          <w:rFonts w:ascii="Verdana" w:hAnsi="Verdana"/>
          <w:sz w:val="18"/>
          <w:szCs w:val="18"/>
          <w:lang w:val="es-CO"/>
        </w:rPr>
        <w:t xml:space="preserve"> </w:t>
      </w:r>
    </w:p>
  </w:footnote>
  <w:footnote w:id="4">
    <w:p w14:paraId="319CC330" w14:textId="77777777" w:rsidR="009E1F7D" w:rsidRDefault="009E1F7D" w:rsidP="59973FD1">
      <w:pPr>
        <w:pStyle w:val="Textonotapie"/>
        <w:rPr>
          <w:rFonts w:ascii="Verdana" w:hAnsi="Verdana"/>
          <w:sz w:val="18"/>
          <w:szCs w:val="18"/>
          <w:lang w:val="es-CO"/>
        </w:rPr>
      </w:pPr>
      <w:r w:rsidRPr="59973FD1">
        <w:rPr>
          <w:rStyle w:val="Refdenotaalpie"/>
          <w:rFonts w:ascii="Verdana" w:hAnsi="Verdana"/>
          <w:sz w:val="18"/>
          <w:szCs w:val="18"/>
          <w:lang w:val="es-CO"/>
        </w:rPr>
        <w:footnoteRef/>
      </w:r>
      <w:r w:rsidRPr="59973FD1">
        <w:rPr>
          <w:rFonts w:ascii="Verdana" w:hAnsi="Verdana"/>
          <w:sz w:val="18"/>
          <w:szCs w:val="18"/>
          <w:lang w:val="es-CO"/>
        </w:rPr>
        <w:t xml:space="preserve"> UARIV. Informe de resultados de cálculo de déficit habitacional población víctima de desplazamiento forzado. 2023.</w:t>
      </w:r>
    </w:p>
  </w:footnote>
  <w:footnote w:id="5">
    <w:p w14:paraId="024657D6" w14:textId="77777777" w:rsidR="009E1F7D" w:rsidRDefault="009E1F7D" w:rsidP="59973FD1">
      <w:pPr>
        <w:pStyle w:val="Textonotapie"/>
        <w:rPr>
          <w:rFonts w:ascii="Verdana" w:hAnsi="Verdana"/>
          <w:sz w:val="18"/>
          <w:szCs w:val="18"/>
          <w:lang w:val="es-CO"/>
        </w:rPr>
      </w:pPr>
      <w:r w:rsidRPr="59973FD1">
        <w:rPr>
          <w:rStyle w:val="Refdenotaalpie"/>
          <w:rFonts w:ascii="Verdana" w:hAnsi="Verdana"/>
          <w:sz w:val="18"/>
          <w:szCs w:val="18"/>
          <w:lang w:val="es-CO"/>
        </w:rPr>
        <w:footnoteRef/>
      </w:r>
      <w:r w:rsidRPr="59973FD1">
        <w:rPr>
          <w:rFonts w:ascii="Verdana" w:hAnsi="Verdana"/>
          <w:sz w:val="18"/>
          <w:szCs w:val="18"/>
          <w:lang w:val="es-CO"/>
        </w:rPr>
        <w:t xml:space="preserve"> Ibidem. </w:t>
      </w:r>
    </w:p>
  </w:footnote>
  <w:footnote w:id="6">
    <w:p w14:paraId="3FDEF562" w14:textId="77777777" w:rsidR="009E1F7D" w:rsidRDefault="009E1F7D" w:rsidP="59973FD1">
      <w:pPr>
        <w:pStyle w:val="Textonotapie"/>
        <w:rPr>
          <w:rFonts w:ascii="Verdana" w:hAnsi="Verdana"/>
          <w:sz w:val="18"/>
          <w:szCs w:val="18"/>
          <w:lang w:val="es-CO"/>
        </w:rPr>
      </w:pPr>
      <w:r w:rsidRPr="59973FD1">
        <w:rPr>
          <w:rStyle w:val="Refdenotaalpie"/>
          <w:rFonts w:ascii="Verdana" w:hAnsi="Verdana"/>
          <w:sz w:val="18"/>
          <w:szCs w:val="18"/>
          <w:lang w:val="es-CO"/>
        </w:rPr>
        <w:footnoteRef/>
      </w:r>
      <w:r w:rsidRPr="59973FD1">
        <w:rPr>
          <w:rFonts w:ascii="Verdana" w:hAnsi="Verdana"/>
          <w:sz w:val="18"/>
          <w:szCs w:val="18"/>
          <w:lang w:val="es-CO"/>
        </w:rPr>
        <w:t xml:space="preserve"> Ibidem.</w:t>
      </w:r>
    </w:p>
  </w:footnote>
  <w:footnote w:id="7">
    <w:p w14:paraId="3DC7B391" w14:textId="77777777" w:rsidR="009E1F7D" w:rsidRPr="00DB5DE6" w:rsidRDefault="009E1F7D" w:rsidP="00B00CAA">
      <w:pPr>
        <w:pStyle w:val="Textonotapie"/>
        <w:rPr>
          <w:rFonts w:ascii="Verdana" w:hAnsi="Verdana" w:cs="Arial"/>
          <w:sz w:val="18"/>
          <w:szCs w:val="18"/>
          <w:lang w:val="es-CO"/>
        </w:rPr>
      </w:pPr>
      <w:r w:rsidRPr="009F775B">
        <w:rPr>
          <w:rStyle w:val="Refdenotaalpie"/>
          <w:rFonts w:ascii="Arial" w:hAnsi="Arial" w:cs="Arial"/>
          <w:sz w:val="16"/>
          <w:szCs w:val="16"/>
        </w:rPr>
        <w:footnoteRef/>
      </w:r>
      <w:r w:rsidRPr="001A1F1A">
        <w:rPr>
          <w:rFonts w:ascii="Arial" w:hAnsi="Arial" w:cs="Arial"/>
          <w:sz w:val="16"/>
          <w:szCs w:val="16"/>
          <w:lang w:val="es-MX"/>
        </w:rPr>
        <w:t xml:space="preserve"> </w:t>
      </w:r>
      <w:r w:rsidRPr="001A1F1A">
        <w:rPr>
          <w:rFonts w:ascii="Verdana" w:hAnsi="Verdana" w:cs="Arial"/>
          <w:sz w:val="18"/>
          <w:szCs w:val="18"/>
          <w:lang w:val="es-MX"/>
        </w:rPr>
        <w:t xml:space="preserve">ARN. 2024. </w:t>
      </w:r>
      <w:r w:rsidRPr="00DB5DE6">
        <w:rPr>
          <w:rFonts w:ascii="Verdana" w:hAnsi="Verdana" w:cs="Arial"/>
          <w:sz w:val="18"/>
          <w:szCs w:val="18"/>
          <w:lang w:val="es-CO"/>
        </w:rPr>
        <w:t xml:space="preserve">Documento de necesidades de vivienda para la reincorporación. </w:t>
      </w:r>
    </w:p>
  </w:footnote>
  <w:footnote w:id="8">
    <w:p w14:paraId="3140A8A1" w14:textId="77777777" w:rsidR="009E1F7D" w:rsidRPr="00DB5DE6" w:rsidRDefault="009E1F7D" w:rsidP="00B00CAA">
      <w:pPr>
        <w:pStyle w:val="Textonotapie"/>
        <w:rPr>
          <w:rFonts w:ascii="Verdana" w:hAnsi="Verdana" w:cs="Arial"/>
          <w:sz w:val="18"/>
          <w:szCs w:val="18"/>
          <w:lang w:val="es-CO"/>
        </w:rPr>
      </w:pPr>
      <w:r w:rsidRPr="00DB5DE6">
        <w:rPr>
          <w:rStyle w:val="Refdenotaalpie"/>
          <w:rFonts w:ascii="Verdana" w:hAnsi="Verdana" w:cs="Arial"/>
          <w:sz w:val="18"/>
          <w:szCs w:val="18"/>
          <w:lang w:val="es-CO"/>
        </w:rPr>
        <w:footnoteRef/>
      </w:r>
      <w:r w:rsidRPr="00DB5DE6">
        <w:rPr>
          <w:rFonts w:ascii="Verdana" w:hAnsi="Verdana" w:cs="Arial"/>
          <w:sz w:val="18"/>
          <w:szCs w:val="18"/>
          <w:lang w:val="es-CO"/>
        </w:rPr>
        <w:t xml:space="preserve"> Ibidem. </w:t>
      </w:r>
    </w:p>
  </w:footnote>
  <w:footnote w:id="9">
    <w:p w14:paraId="1891F1FF" w14:textId="77777777" w:rsidR="009E1F7D" w:rsidRPr="00DB5DE6" w:rsidRDefault="009E1F7D" w:rsidP="00B00CAA">
      <w:pPr>
        <w:pStyle w:val="Textonotapie"/>
        <w:rPr>
          <w:rFonts w:ascii="Verdana" w:hAnsi="Verdana"/>
          <w:sz w:val="18"/>
          <w:szCs w:val="18"/>
          <w:lang w:val="es-CO"/>
        </w:rPr>
      </w:pPr>
      <w:r w:rsidRPr="00DB5DE6">
        <w:rPr>
          <w:rStyle w:val="Refdenotaalpie"/>
          <w:rFonts w:ascii="Verdana" w:hAnsi="Verdana" w:cs="Arial"/>
          <w:sz w:val="18"/>
          <w:szCs w:val="18"/>
          <w:lang w:val="es-CO"/>
        </w:rPr>
        <w:footnoteRef/>
      </w:r>
      <w:r w:rsidRPr="00DB5DE6">
        <w:rPr>
          <w:rFonts w:ascii="Verdana" w:hAnsi="Verdana" w:cs="Arial"/>
          <w:sz w:val="18"/>
          <w:szCs w:val="18"/>
          <w:lang w:val="es-CO"/>
        </w:rPr>
        <w:t xml:space="preserve"> Ibidem</w:t>
      </w:r>
      <w:r w:rsidRPr="00DB5DE6">
        <w:rPr>
          <w:rFonts w:ascii="Verdana" w:hAnsi="Verdana"/>
          <w:sz w:val="18"/>
          <w:szCs w:val="18"/>
          <w:lang w:val="es-CO"/>
        </w:rPr>
        <w:t xml:space="preserve">. </w:t>
      </w:r>
    </w:p>
  </w:footnote>
  <w:footnote w:id="10">
    <w:p w14:paraId="4A3C0930" w14:textId="0850437C" w:rsidR="009E1F7D" w:rsidRDefault="009E1F7D" w:rsidP="388D4128">
      <w:pPr>
        <w:rPr>
          <w:rFonts w:eastAsia="Arial" w:cs="Arial"/>
        </w:rPr>
      </w:pPr>
      <w:r>
        <w:footnoteRef/>
      </w:r>
      <w:r>
        <w:t xml:space="preserve"> </w:t>
      </w:r>
      <w:r w:rsidRPr="163BC4B9">
        <w:rPr>
          <w:rFonts w:ascii="Verdana" w:eastAsia="Verdana" w:hAnsi="Verdana" w:cs="Verdana"/>
          <w:i/>
          <w:iCs/>
          <w:sz w:val="16"/>
          <w:szCs w:val="16"/>
        </w:rPr>
        <w:t>De acuerdo con el informe sectorial SSPD (2022) corresponde a miembros únicos sin contar con el número de veces que este pueda estar registrado en SUI como miembro</w:t>
      </w:r>
    </w:p>
  </w:footnote>
  <w:footnote w:id="11">
    <w:p w14:paraId="4398C00E" w14:textId="00262EBE" w:rsidR="009E1F7D" w:rsidRDefault="009E1F7D" w:rsidP="09400DC1">
      <w:pPr>
        <w:rPr>
          <w:rFonts w:ascii="Verdana" w:eastAsia="Verdana" w:hAnsi="Verdana" w:cs="Verdana"/>
          <w:lang w:val="es-MX"/>
        </w:rPr>
      </w:pPr>
      <w:r>
        <w:footnoteRef/>
      </w:r>
      <w:r>
        <w:t xml:space="preserve">  También, se pueden considerar otras providencias de la Corte Constitucional que establecen la situación de vulnerabilidad de este grupo poblacional, tales como las sentencias T - 724 de 2003 y T </w:t>
      </w:r>
      <w:proofErr w:type="gramStart"/>
      <w:r>
        <w:t>-  291</w:t>
      </w:r>
      <w:proofErr w:type="gramEnd"/>
      <w:r>
        <w:t xml:space="preserve"> de 2009 y los Autos </w:t>
      </w:r>
      <w:r w:rsidRPr="09400DC1">
        <w:rPr>
          <w:rFonts w:ascii="Verdana" w:eastAsia="Verdana" w:hAnsi="Verdana" w:cs="Verdana"/>
          <w:lang w:val="es-MX"/>
        </w:rPr>
        <w:t>183 de 2011, 189 de 2011; 275 de 2011; 366 de 2014; 118 de 2014 y 587 de 2015</w:t>
      </w:r>
    </w:p>
  </w:footnote>
  <w:footnote w:id="12">
    <w:p w14:paraId="4A1790EB" w14:textId="38B16BE2" w:rsidR="009E1F7D" w:rsidRDefault="009E1F7D" w:rsidP="388D4128">
      <w:r>
        <w:footnoteRef/>
      </w:r>
      <w:r>
        <w:t xml:space="preserve"> El reciclador de oficio en Bogotá (2022) 2da edición, disponible en https://www.uaesp.gov.co/sites/default/files/micrositios/aprovechamiento/el_reciclador_de_oficio/El_Reciclador_de_Oficio_en_Bogota_2_edicion_2022.pdf</w:t>
      </w:r>
    </w:p>
  </w:footnote>
  <w:footnote w:id="13">
    <w:p w14:paraId="1A46E05D" w14:textId="41663A1E" w:rsidR="009E1F7D" w:rsidRDefault="009E1F7D">
      <w:r>
        <w:footnoteRef/>
      </w:r>
      <w:r>
        <w:t xml:space="preserve"> El reciclador de oficio en Bogotá (2022) 2da edición, disponible en https://www.uaesp.gov.co/sites/default/files/micrositios/aprovechamiento/el_reciclador_de_oficio/El_Reciclador_de_Oficio_en_Bogota_2_edicion_2022.pdf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F50D1" w14:textId="327A994E" w:rsidR="009E1F7D" w:rsidRDefault="009E1F7D">
    <w:pPr>
      <w:pStyle w:val="Encabezado"/>
    </w:pPr>
    <w:r>
      <w:rPr>
        <w:noProof/>
        <w:lang w:val="en-US" w:eastAsia="en-US"/>
      </w:rPr>
      <w:drawing>
        <wp:anchor distT="0" distB="0" distL="114300" distR="114300" simplePos="0" relativeHeight="251658241" behindDoc="1" locked="0" layoutInCell="1" allowOverlap="1" wp14:anchorId="5D63443C" wp14:editId="733424F4">
          <wp:simplePos x="0" y="0"/>
          <wp:positionH relativeFrom="page">
            <wp:posOffset>15240</wp:posOffset>
          </wp:positionH>
          <wp:positionV relativeFrom="paragraph">
            <wp:posOffset>-744220</wp:posOffset>
          </wp:positionV>
          <wp:extent cx="7757160" cy="9441180"/>
          <wp:effectExtent l="0" t="0" r="0" b="0"/>
          <wp:wrapNone/>
          <wp:docPr id="13" name="Imagen 1615993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1599328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7160" cy="94411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B799F" w14:textId="17F8980D" w:rsidR="009E1F7D" w:rsidRDefault="009E1F7D" w:rsidP="006512F3">
    <w:pPr>
      <w:pStyle w:val="Encabezado"/>
      <w:rPr>
        <w:noProof/>
      </w:rPr>
    </w:pPr>
    <w:r>
      <w:rPr>
        <w:noProof/>
        <w:lang w:val="en-US" w:eastAsia="en-US"/>
      </w:rPr>
      <w:drawing>
        <wp:anchor distT="0" distB="0" distL="114300" distR="114300" simplePos="0" relativeHeight="251658240" behindDoc="1" locked="0" layoutInCell="1" allowOverlap="1" wp14:anchorId="443D977A" wp14:editId="408DB8D5">
          <wp:simplePos x="0" y="0"/>
          <wp:positionH relativeFrom="page">
            <wp:posOffset>0</wp:posOffset>
          </wp:positionH>
          <wp:positionV relativeFrom="paragraph">
            <wp:posOffset>-691515</wp:posOffset>
          </wp:positionV>
          <wp:extent cx="7757160" cy="9088120"/>
          <wp:effectExtent l="0" t="0" r="0" b="0"/>
          <wp:wrapNone/>
          <wp:docPr id="12" name="Imagen 1615993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1599328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7160" cy="9088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C5CA9C" w14:textId="77777777" w:rsidR="009E1F7D" w:rsidRDefault="009E1F7D" w:rsidP="006512F3">
    <w:pPr>
      <w:pStyle w:val="Encabezado"/>
      <w:rPr>
        <w:noProof/>
      </w:rPr>
    </w:pPr>
  </w:p>
  <w:p w14:paraId="1DFABAA2" w14:textId="77777777" w:rsidR="009E1F7D" w:rsidRDefault="009E1F7D" w:rsidP="006512F3">
    <w:pPr>
      <w:pStyle w:val="Encabezado"/>
      <w:rPr>
        <w:noProof/>
      </w:rPr>
    </w:pPr>
  </w:p>
  <w:p w14:paraId="36D6AB59" w14:textId="77777777" w:rsidR="009E1F7D" w:rsidRPr="006512F3" w:rsidRDefault="009E1F7D" w:rsidP="007A213E">
    <w:pPr>
      <w:pStyle w:val="TableParagraph"/>
      <w:spacing w:before="89" w:line="237" w:lineRule="auto"/>
      <w:ind w:right="57"/>
      <w:jc w:val="center"/>
      <w:rPr>
        <w:rFonts w:ascii="Verdana" w:hAnsi="Verdana"/>
      </w:rPr>
    </w:pPr>
  </w:p>
</w:hdr>
</file>

<file path=word/intelligence2.xml><?xml version="1.0" encoding="utf-8"?>
<int2:intelligence xmlns:int2="http://schemas.microsoft.com/office/intelligence/2020/intelligence" xmlns:oel="http://schemas.microsoft.com/office/2019/extlst">
  <int2:observations>
    <int2:textHash int2:hashCode="pvd6DZQT9HljRA" int2:id="mwMpi4n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C5A6E"/>
    <w:multiLevelType w:val="hybridMultilevel"/>
    <w:tmpl w:val="F5C06414"/>
    <w:lvl w:ilvl="0" w:tplc="B7EC9000">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7FB736C"/>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C8D575C"/>
    <w:multiLevelType w:val="hybridMultilevel"/>
    <w:tmpl w:val="F0904962"/>
    <w:lvl w:ilvl="0" w:tplc="9976B69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FF10626"/>
    <w:multiLevelType w:val="hybridMultilevel"/>
    <w:tmpl w:val="FFFFFFFF"/>
    <w:lvl w:ilvl="0" w:tplc="989E5B08">
      <w:start w:val="1"/>
      <w:numFmt w:val="lowerLetter"/>
      <w:lvlText w:val="%1."/>
      <w:lvlJc w:val="left"/>
      <w:pPr>
        <w:ind w:left="720" w:hanging="360"/>
      </w:pPr>
    </w:lvl>
    <w:lvl w:ilvl="1" w:tplc="980A2ED0">
      <w:start w:val="1"/>
      <w:numFmt w:val="lowerLetter"/>
      <w:lvlText w:val="%2."/>
      <w:lvlJc w:val="left"/>
      <w:pPr>
        <w:ind w:left="1440" w:hanging="360"/>
      </w:pPr>
    </w:lvl>
    <w:lvl w:ilvl="2" w:tplc="6002AB46">
      <w:start w:val="1"/>
      <w:numFmt w:val="lowerRoman"/>
      <w:lvlText w:val="%3."/>
      <w:lvlJc w:val="right"/>
      <w:pPr>
        <w:ind w:left="2160" w:hanging="180"/>
      </w:pPr>
    </w:lvl>
    <w:lvl w:ilvl="3" w:tplc="3D4840CC">
      <w:start w:val="1"/>
      <w:numFmt w:val="decimal"/>
      <w:lvlText w:val="%4."/>
      <w:lvlJc w:val="left"/>
      <w:pPr>
        <w:ind w:left="2880" w:hanging="360"/>
      </w:pPr>
    </w:lvl>
    <w:lvl w:ilvl="4" w:tplc="51BAABBA">
      <w:start w:val="1"/>
      <w:numFmt w:val="lowerLetter"/>
      <w:lvlText w:val="%5."/>
      <w:lvlJc w:val="left"/>
      <w:pPr>
        <w:ind w:left="3600" w:hanging="360"/>
      </w:pPr>
    </w:lvl>
    <w:lvl w:ilvl="5" w:tplc="6A3E535A">
      <w:start w:val="1"/>
      <w:numFmt w:val="lowerRoman"/>
      <w:lvlText w:val="%6."/>
      <w:lvlJc w:val="right"/>
      <w:pPr>
        <w:ind w:left="4320" w:hanging="180"/>
      </w:pPr>
    </w:lvl>
    <w:lvl w:ilvl="6" w:tplc="28326D54">
      <w:start w:val="1"/>
      <w:numFmt w:val="decimal"/>
      <w:lvlText w:val="%7."/>
      <w:lvlJc w:val="left"/>
      <w:pPr>
        <w:ind w:left="5040" w:hanging="360"/>
      </w:pPr>
    </w:lvl>
    <w:lvl w:ilvl="7" w:tplc="C720B990">
      <w:start w:val="1"/>
      <w:numFmt w:val="lowerLetter"/>
      <w:lvlText w:val="%8."/>
      <w:lvlJc w:val="left"/>
      <w:pPr>
        <w:ind w:left="5760" w:hanging="360"/>
      </w:pPr>
    </w:lvl>
    <w:lvl w:ilvl="8" w:tplc="43D6FD6A">
      <w:start w:val="1"/>
      <w:numFmt w:val="lowerRoman"/>
      <w:lvlText w:val="%9."/>
      <w:lvlJc w:val="right"/>
      <w:pPr>
        <w:ind w:left="6480" w:hanging="180"/>
      </w:pPr>
    </w:lvl>
  </w:abstractNum>
  <w:abstractNum w:abstractNumId="4" w15:restartNumberingAfterBreak="0">
    <w:nsid w:val="5C6C5E68"/>
    <w:multiLevelType w:val="hybridMultilevel"/>
    <w:tmpl w:val="6E148B78"/>
    <w:lvl w:ilvl="0" w:tplc="C2D4CC2C">
      <w:start w:val="1"/>
      <w:numFmt w:val="decimal"/>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96241C6"/>
    <w:multiLevelType w:val="hybridMultilevel"/>
    <w:tmpl w:val="2F3C6798"/>
    <w:lvl w:ilvl="0" w:tplc="BA1A1F4A">
      <w:start w:val="1"/>
      <w:numFmt w:val="bullet"/>
      <w:lvlText w:val=""/>
      <w:lvlJc w:val="left"/>
      <w:pPr>
        <w:ind w:left="720" w:hanging="360"/>
      </w:pPr>
      <w:rPr>
        <w:rFonts w:ascii="Symbol" w:hAnsi="Symbol" w:hint="default"/>
      </w:rPr>
    </w:lvl>
    <w:lvl w:ilvl="1" w:tplc="D9A4E6CA">
      <w:start w:val="1"/>
      <w:numFmt w:val="bullet"/>
      <w:lvlText w:val="o"/>
      <w:lvlJc w:val="left"/>
      <w:pPr>
        <w:ind w:left="1440" w:hanging="360"/>
      </w:pPr>
      <w:rPr>
        <w:rFonts w:ascii="Courier New" w:hAnsi="Courier New" w:hint="default"/>
      </w:rPr>
    </w:lvl>
    <w:lvl w:ilvl="2" w:tplc="8A80E856">
      <w:start w:val="1"/>
      <w:numFmt w:val="bullet"/>
      <w:lvlText w:val=""/>
      <w:lvlJc w:val="left"/>
      <w:pPr>
        <w:ind w:left="2160" w:hanging="360"/>
      </w:pPr>
      <w:rPr>
        <w:rFonts w:ascii="Wingdings" w:hAnsi="Wingdings" w:hint="default"/>
      </w:rPr>
    </w:lvl>
    <w:lvl w:ilvl="3" w:tplc="C734C844">
      <w:start w:val="1"/>
      <w:numFmt w:val="bullet"/>
      <w:lvlText w:val=""/>
      <w:lvlJc w:val="left"/>
      <w:pPr>
        <w:ind w:left="2880" w:hanging="360"/>
      </w:pPr>
      <w:rPr>
        <w:rFonts w:ascii="Symbol" w:hAnsi="Symbol" w:hint="default"/>
      </w:rPr>
    </w:lvl>
    <w:lvl w:ilvl="4" w:tplc="7B6C4ECA">
      <w:start w:val="1"/>
      <w:numFmt w:val="bullet"/>
      <w:lvlText w:val="o"/>
      <w:lvlJc w:val="left"/>
      <w:pPr>
        <w:ind w:left="3600" w:hanging="360"/>
      </w:pPr>
      <w:rPr>
        <w:rFonts w:ascii="Courier New" w:hAnsi="Courier New" w:hint="default"/>
      </w:rPr>
    </w:lvl>
    <w:lvl w:ilvl="5" w:tplc="F0EE9776">
      <w:start w:val="1"/>
      <w:numFmt w:val="bullet"/>
      <w:lvlText w:val=""/>
      <w:lvlJc w:val="left"/>
      <w:pPr>
        <w:ind w:left="4320" w:hanging="360"/>
      </w:pPr>
      <w:rPr>
        <w:rFonts w:ascii="Wingdings" w:hAnsi="Wingdings" w:hint="default"/>
      </w:rPr>
    </w:lvl>
    <w:lvl w:ilvl="6" w:tplc="FF06539C">
      <w:start w:val="1"/>
      <w:numFmt w:val="bullet"/>
      <w:lvlText w:val=""/>
      <w:lvlJc w:val="left"/>
      <w:pPr>
        <w:ind w:left="5040" w:hanging="360"/>
      </w:pPr>
      <w:rPr>
        <w:rFonts w:ascii="Symbol" w:hAnsi="Symbol" w:hint="default"/>
      </w:rPr>
    </w:lvl>
    <w:lvl w:ilvl="7" w:tplc="F8AEBAC6">
      <w:start w:val="1"/>
      <w:numFmt w:val="bullet"/>
      <w:lvlText w:val="o"/>
      <w:lvlJc w:val="left"/>
      <w:pPr>
        <w:ind w:left="5760" w:hanging="360"/>
      </w:pPr>
      <w:rPr>
        <w:rFonts w:ascii="Courier New" w:hAnsi="Courier New" w:hint="default"/>
      </w:rPr>
    </w:lvl>
    <w:lvl w:ilvl="8" w:tplc="C8144E8C">
      <w:start w:val="1"/>
      <w:numFmt w:val="bullet"/>
      <w:lvlText w:val=""/>
      <w:lvlJc w:val="left"/>
      <w:pPr>
        <w:ind w:left="6480" w:hanging="360"/>
      </w:pPr>
      <w:rPr>
        <w:rFonts w:ascii="Wingdings" w:hAnsi="Wingdings" w:hint="default"/>
      </w:rPr>
    </w:lvl>
  </w:abstractNum>
  <w:abstractNum w:abstractNumId="6" w15:restartNumberingAfterBreak="0">
    <w:nsid w:val="6988676C"/>
    <w:multiLevelType w:val="hybridMultilevel"/>
    <w:tmpl w:val="3976BEA2"/>
    <w:lvl w:ilvl="0" w:tplc="6002AB46">
      <w:start w:val="1"/>
      <w:numFmt w:val="lowerRoman"/>
      <w:lvlText w:val="%1."/>
      <w:lvlJc w:val="right"/>
      <w:pPr>
        <w:ind w:left="720" w:hanging="360"/>
      </w:pPr>
      <w:rPr>
        <w:rFonts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571230244">
    <w:abstractNumId w:val="5"/>
  </w:num>
  <w:num w:numId="2" w16cid:durableId="438262566">
    <w:abstractNumId w:val="3"/>
  </w:num>
  <w:num w:numId="3" w16cid:durableId="1961110435">
    <w:abstractNumId w:val="2"/>
  </w:num>
  <w:num w:numId="4" w16cid:durableId="1117069428">
    <w:abstractNumId w:val="0"/>
  </w:num>
  <w:num w:numId="5" w16cid:durableId="1709645738">
    <w:abstractNumId w:val="4"/>
  </w:num>
  <w:num w:numId="6" w16cid:durableId="1987783163">
    <w:abstractNumId w:val="6"/>
  </w:num>
  <w:num w:numId="7" w16cid:durableId="1483429096">
    <w:abstractNumId w:val="1"/>
  </w:num>
  <w:num w:numId="8" w16cid:durableId="20471720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27569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45016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06694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661928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89361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980"/>
    <w:rsid w:val="000026E7"/>
    <w:rsid w:val="00002A53"/>
    <w:rsid w:val="00003423"/>
    <w:rsid w:val="00003489"/>
    <w:rsid w:val="00003D24"/>
    <w:rsid w:val="000055FE"/>
    <w:rsid w:val="00006F83"/>
    <w:rsid w:val="00007F07"/>
    <w:rsid w:val="00013C42"/>
    <w:rsid w:val="00014D67"/>
    <w:rsid w:val="0001641C"/>
    <w:rsid w:val="00016A94"/>
    <w:rsid w:val="00021FCC"/>
    <w:rsid w:val="00024F34"/>
    <w:rsid w:val="0002546A"/>
    <w:rsid w:val="00032CBF"/>
    <w:rsid w:val="0004205E"/>
    <w:rsid w:val="000420D6"/>
    <w:rsid w:val="00047479"/>
    <w:rsid w:val="00047A6E"/>
    <w:rsid w:val="00047C5A"/>
    <w:rsid w:val="00050524"/>
    <w:rsid w:val="00050CE2"/>
    <w:rsid w:val="00051131"/>
    <w:rsid w:val="000522D3"/>
    <w:rsid w:val="00053084"/>
    <w:rsid w:val="000530DC"/>
    <w:rsid w:val="00063578"/>
    <w:rsid w:val="00066463"/>
    <w:rsid w:val="00076260"/>
    <w:rsid w:val="0007636F"/>
    <w:rsid w:val="00080A7D"/>
    <w:rsid w:val="00081CEE"/>
    <w:rsid w:val="000827B0"/>
    <w:rsid w:val="00084B49"/>
    <w:rsid w:val="00084DBE"/>
    <w:rsid w:val="00086B16"/>
    <w:rsid w:val="00092669"/>
    <w:rsid w:val="00092C0A"/>
    <w:rsid w:val="00094D9F"/>
    <w:rsid w:val="000A2B79"/>
    <w:rsid w:val="000A327F"/>
    <w:rsid w:val="000A35DA"/>
    <w:rsid w:val="000A3E34"/>
    <w:rsid w:val="000B1EAF"/>
    <w:rsid w:val="000B30A6"/>
    <w:rsid w:val="000B39C5"/>
    <w:rsid w:val="000B50F1"/>
    <w:rsid w:val="000C41BE"/>
    <w:rsid w:val="000C4CF8"/>
    <w:rsid w:val="000C614C"/>
    <w:rsid w:val="000C6C52"/>
    <w:rsid w:val="000D1904"/>
    <w:rsid w:val="000D21FC"/>
    <w:rsid w:val="000D2DA8"/>
    <w:rsid w:val="000D47CE"/>
    <w:rsid w:val="000D512E"/>
    <w:rsid w:val="000E0152"/>
    <w:rsid w:val="000E0A40"/>
    <w:rsid w:val="000E0D0C"/>
    <w:rsid w:val="000E3122"/>
    <w:rsid w:val="000E370D"/>
    <w:rsid w:val="000E65A4"/>
    <w:rsid w:val="000F1737"/>
    <w:rsid w:val="000F7BF7"/>
    <w:rsid w:val="00105440"/>
    <w:rsid w:val="00105533"/>
    <w:rsid w:val="001072FB"/>
    <w:rsid w:val="001104DD"/>
    <w:rsid w:val="00113512"/>
    <w:rsid w:val="00115945"/>
    <w:rsid w:val="00115E5F"/>
    <w:rsid w:val="00116659"/>
    <w:rsid w:val="001175AA"/>
    <w:rsid w:val="0012181C"/>
    <w:rsid w:val="00121887"/>
    <w:rsid w:val="0012299B"/>
    <w:rsid w:val="00124070"/>
    <w:rsid w:val="00125A3A"/>
    <w:rsid w:val="00126916"/>
    <w:rsid w:val="00126980"/>
    <w:rsid w:val="00126ED2"/>
    <w:rsid w:val="001303DD"/>
    <w:rsid w:val="00132770"/>
    <w:rsid w:val="0013287D"/>
    <w:rsid w:val="00132EC5"/>
    <w:rsid w:val="001348DA"/>
    <w:rsid w:val="00135A42"/>
    <w:rsid w:val="001365B5"/>
    <w:rsid w:val="00136CD0"/>
    <w:rsid w:val="0013737F"/>
    <w:rsid w:val="00141F34"/>
    <w:rsid w:val="00142BF2"/>
    <w:rsid w:val="00143102"/>
    <w:rsid w:val="001447C1"/>
    <w:rsid w:val="00144CF7"/>
    <w:rsid w:val="00145BCA"/>
    <w:rsid w:val="00145D31"/>
    <w:rsid w:val="0014797B"/>
    <w:rsid w:val="0015216F"/>
    <w:rsid w:val="00153523"/>
    <w:rsid w:val="001536F2"/>
    <w:rsid w:val="0015647C"/>
    <w:rsid w:val="00157729"/>
    <w:rsid w:val="0016262D"/>
    <w:rsid w:val="00162E2C"/>
    <w:rsid w:val="00164587"/>
    <w:rsid w:val="001665A3"/>
    <w:rsid w:val="001743EF"/>
    <w:rsid w:val="00174A31"/>
    <w:rsid w:val="00176233"/>
    <w:rsid w:val="001771AD"/>
    <w:rsid w:val="00177232"/>
    <w:rsid w:val="00187186"/>
    <w:rsid w:val="00187649"/>
    <w:rsid w:val="00194165"/>
    <w:rsid w:val="001959CC"/>
    <w:rsid w:val="001978EB"/>
    <w:rsid w:val="001A1F1A"/>
    <w:rsid w:val="001A2A2C"/>
    <w:rsid w:val="001A2AF1"/>
    <w:rsid w:val="001A4702"/>
    <w:rsid w:val="001A68F5"/>
    <w:rsid w:val="001B2FCE"/>
    <w:rsid w:val="001B64CF"/>
    <w:rsid w:val="001C013E"/>
    <w:rsid w:val="001C1AD7"/>
    <w:rsid w:val="001D1743"/>
    <w:rsid w:val="001D17CF"/>
    <w:rsid w:val="001D5FBB"/>
    <w:rsid w:val="001D7FFE"/>
    <w:rsid w:val="001DCF57"/>
    <w:rsid w:val="001E2438"/>
    <w:rsid w:val="001E2543"/>
    <w:rsid w:val="001E6C60"/>
    <w:rsid w:val="001F238A"/>
    <w:rsid w:val="001F4F75"/>
    <w:rsid w:val="00202AE9"/>
    <w:rsid w:val="00204C90"/>
    <w:rsid w:val="00213ADA"/>
    <w:rsid w:val="002150AB"/>
    <w:rsid w:val="00216D73"/>
    <w:rsid w:val="002171A2"/>
    <w:rsid w:val="0021722E"/>
    <w:rsid w:val="002217D1"/>
    <w:rsid w:val="00222C4E"/>
    <w:rsid w:val="00223159"/>
    <w:rsid w:val="0022417B"/>
    <w:rsid w:val="002264B8"/>
    <w:rsid w:val="00231FB3"/>
    <w:rsid w:val="00234843"/>
    <w:rsid w:val="00234F39"/>
    <w:rsid w:val="00235361"/>
    <w:rsid w:val="00235ADF"/>
    <w:rsid w:val="00236F62"/>
    <w:rsid w:val="00237D76"/>
    <w:rsid w:val="002402DF"/>
    <w:rsid w:val="0025004B"/>
    <w:rsid w:val="0025037B"/>
    <w:rsid w:val="00251FCE"/>
    <w:rsid w:val="00252F13"/>
    <w:rsid w:val="00254313"/>
    <w:rsid w:val="00260047"/>
    <w:rsid w:val="00263660"/>
    <w:rsid w:val="0026513E"/>
    <w:rsid w:val="00266DB6"/>
    <w:rsid w:val="002729A5"/>
    <w:rsid w:val="00275E72"/>
    <w:rsid w:val="0027633B"/>
    <w:rsid w:val="00276C08"/>
    <w:rsid w:val="00280BD3"/>
    <w:rsid w:val="00281536"/>
    <w:rsid w:val="002862C1"/>
    <w:rsid w:val="00286449"/>
    <w:rsid w:val="00287EC3"/>
    <w:rsid w:val="00293F29"/>
    <w:rsid w:val="002941D1"/>
    <w:rsid w:val="00297E57"/>
    <w:rsid w:val="002A23CF"/>
    <w:rsid w:val="002A2A12"/>
    <w:rsid w:val="002A2A77"/>
    <w:rsid w:val="002B3C60"/>
    <w:rsid w:val="002C05D0"/>
    <w:rsid w:val="002C6429"/>
    <w:rsid w:val="002D096D"/>
    <w:rsid w:val="002D11FE"/>
    <w:rsid w:val="002D2CB2"/>
    <w:rsid w:val="002D35EC"/>
    <w:rsid w:val="002D3FE3"/>
    <w:rsid w:val="002D5E8B"/>
    <w:rsid w:val="002D6BFF"/>
    <w:rsid w:val="002E4A97"/>
    <w:rsid w:val="002E71C4"/>
    <w:rsid w:val="002F226A"/>
    <w:rsid w:val="002F27FB"/>
    <w:rsid w:val="00300A95"/>
    <w:rsid w:val="00301DC2"/>
    <w:rsid w:val="00304286"/>
    <w:rsid w:val="003043EB"/>
    <w:rsid w:val="003059A9"/>
    <w:rsid w:val="00306D49"/>
    <w:rsid w:val="003227FD"/>
    <w:rsid w:val="00325A55"/>
    <w:rsid w:val="00325B3C"/>
    <w:rsid w:val="003272EA"/>
    <w:rsid w:val="003302E2"/>
    <w:rsid w:val="003322A8"/>
    <w:rsid w:val="003343DB"/>
    <w:rsid w:val="00334B6F"/>
    <w:rsid w:val="00336655"/>
    <w:rsid w:val="00336A59"/>
    <w:rsid w:val="00342B3C"/>
    <w:rsid w:val="00342E90"/>
    <w:rsid w:val="00345B35"/>
    <w:rsid w:val="00346554"/>
    <w:rsid w:val="00346B64"/>
    <w:rsid w:val="00346F98"/>
    <w:rsid w:val="003503EB"/>
    <w:rsid w:val="00350767"/>
    <w:rsid w:val="00350E4B"/>
    <w:rsid w:val="00352EB1"/>
    <w:rsid w:val="003533A1"/>
    <w:rsid w:val="003629C7"/>
    <w:rsid w:val="0036440C"/>
    <w:rsid w:val="003651C8"/>
    <w:rsid w:val="003651DE"/>
    <w:rsid w:val="0036703A"/>
    <w:rsid w:val="00367CB8"/>
    <w:rsid w:val="003711C0"/>
    <w:rsid w:val="00373197"/>
    <w:rsid w:val="00380B3A"/>
    <w:rsid w:val="0038390A"/>
    <w:rsid w:val="00391AB4"/>
    <w:rsid w:val="00393AC6"/>
    <w:rsid w:val="0039474A"/>
    <w:rsid w:val="00394E57"/>
    <w:rsid w:val="0039795A"/>
    <w:rsid w:val="003A004E"/>
    <w:rsid w:val="003A0BBF"/>
    <w:rsid w:val="003A114E"/>
    <w:rsid w:val="003A1ACB"/>
    <w:rsid w:val="003A3C08"/>
    <w:rsid w:val="003A60C1"/>
    <w:rsid w:val="003A6449"/>
    <w:rsid w:val="003A73D2"/>
    <w:rsid w:val="003B1063"/>
    <w:rsid w:val="003B2913"/>
    <w:rsid w:val="003B2C19"/>
    <w:rsid w:val="003B3981"/>
    <w:rsid w:val="003B3F46"/>
    <w:rsid w:val="003B4DDE"/>
    <w:rsid w:val="003B5F2E"/>
    <w:rsid w:val="003B625C"/>
    <w:rsid w:val="003C0C28"/>
    <w:rsid w:val="003C0F32"/>
    <w:rsid w:val="003C62CC"/>
    <w:rsid w:val="003C6CAC"/>
    <w:rsid w:val="003D10A7"/>
    <w:rsid w:val="003D2266"/>
    <w:rsid w:val="003D3516"/>
    <w:rsid w:val="003D4341"/>
    <w:rsid w:val="003D4688"/>
    <w:rsid w:val="003E0873"/>
    <w:rsid w:val="003E1394"/>
    <w:rsid w:val="003E1516"/>
    <w:rsid w:val="003E2772"/>
    <w:rsid w:val="003E582F"/>
    <w:rsid w:val="003F3861"/>
    <w:rsid w:val="00400B9D"/>
    <w:rsid w:val="00401B11"/>
    <w:rsid w:val="00401B59"/>
    <w:rsid w:val="00402C0E"/>
    <w:rsid w:val="00402C60"/>
    <w:rsid w:val="00405C3A"/>
    <w:rsid w:val="00405CE5"/>
    <w:rsid w:val="0041604F"/>
    <w:rsid w:val="00426CF0"/>
    <w:rsid w:val="00427DD9"/>
    <w:rsid w:val="004312B2"/>
    <w:rsid w:val="004317DB"/>
    <w:rsid w:val="00432C5C"/>
    <w:rsid w:val="00437C19"/>
    <w:rsid w:val="00445F6E"/>
    <w:rsid w:val="0045180C"/>
    <w:rsid w:val="00453DEB"/>
    <w:rsid w:val="00461D1F"/>
    <w:rsid w:val="00464449"/>
    <w:rsid w:val="00466D0D"/>
    <w:rsid w:val="00470148"/>
    <w:rsid w:val="00470526"/>
    <w:rsid w:val="004719CD"/>
    <w:rsid w:val="004730B5"/>
    <w:rsid w:val="00473406"/>
    <w:rsid w:val="0048050B"/>
    <w:rsid w:val="00483931"/>
    <w:rsid w:val="004848A4"/>
    <w:rsid w:val="00494CE1"/>
    <w:rsid w:val="00496D40"/>
    <w:rsid w:val="004A0755"/>
    <w:rsid w:val="004A3A1F"/>
    <w:rsid w:val="004A6BE3"/>
    <w:rsid w:val="004A792F"/>
    <w:rsid w:val="004B078F"/>
    <w:rsid w:val="004B3D83"/>
    <w:rsid w:val="004B6F5C"/>
    <w:rsid w:val="004C30BF"/>
    <w:rsid w:val="004C4371"/>
    <w:rsid w:val="004C7D38"/>
    <w:rsid w:val="004D0D86"/>
    <w:rsid w:val="004D10C6"/>
    <w:rsid w:val="004D2643"/>
    <w:rsid w:val="004D294E"/>
    <w:rsid w:val="004D2D82"/>
    <w:rsid w:val="004D3D03"/>
    <w:rsid w:val="004D4586"/>
    <w:rsid w:val="004D5FE8"/>
    <w:rsid w:val="004D6329"/>
    <w:rsid w:val="004E034B"/>
    <w:rsid w:val="004E17FC"/>
    <w:rsid w:val="004E1A39"/>
    <w:rsid w:val="004E1EBB"/>
    <w:rsid w:val="004E230C"/>
    <w:rsid w:val="004E274E"/>
    <w:rsid w:val="004E2857"/>
    <w:rsid w:val="004E3667"/>
    <w:rsid w:val="004E4437"/>
    <w:rsid w:val="004E517F"/>
    <w:rsid w:val="004F3193"/>
    <w:rsid w:val="004F5E42"/>
    <w:rsid w:val="004F778E"/>
    <w:rsid w:val="004F7A38"/>
    <w:rsid w:val="0050148F"/>
    <w:rsid w:val="00502F91"/>
    <w:rsid w:val="00503F05"/>
    <w:rsid w:val="00511F4A"/>
    <w:rsid w:val="0051353D"/>
    <w:rsid w:val="005176B5"/>
    <w:rsid w:val="00520AAA"/>
    <w:rsid w:val="00520B2A"/>
    <w:rsid w:val="0052226D"/>
    <w:rsid w:val="00532662"/>
    <w:rsid w:val="00533287"/>
    <w:rsid w:val="005338E4"/>
    <w:rsid w:val="00535679"/>
    <w:rsid w:val="00537520"/>
    <w:rsid w:val="0053DE5F"/>
    <w:rsid w:val="0054286C"/>
    <w:rsid w:val="00543BB6"/>
    <w:rsid w:val="00543E5A"/>
    <w:rsid w:val="00545A32"/>
    <w:rsid w:val="00545FC9"/>
    <w:rsid w:val="0054645F"/>
    <w:rsid w:val="005515A9"/>
    <w:rsid w:val="00553E97"/>
    <w:rsid w:val="00557E01"/>
    <w:rsid w:val="005616ED"/>
    <w:rsid w:val="00561B1A"/>
    <w:rsid w:val="005629D0"/>
    <w:rsid w:val="00564A4E"/>
    <w:rsid w:val="00567C21"/>
    <w:rsid w:val="00575DD2"/>
    <w:rsid w:val="00576518"/>
    <w:rsid w:val="005815B6"/>
    <w:rsid w:val="00584E85"/>
    <w:rsid w:val="0058524C"/>
    <w:rsid w:val="005871DA"/>
    <w:rsid w:val="00587695"/>
    <w:rsid w:val="0059054D"/>
    <w:rsid w:val="0059316B"/>
    <w:rsid w:val="005949A8"/>
    <w:rsid w:val="00597FDD"/>
    <w:rsid w:val="005A077D"/>
    <w:rsid w:val="005A297D"/>
    <w:rsid w:val="005A4320"/>
    <w:rsid w:val="005A498D"/>
    <w:rsid w:val="005A737F"/>
    <w:rsid w:val="005B0209"/>
    <w:rsid w:val="005C0AA8"/>
    <w:rsid w:val="005C19CA"/>
    <w:rsid w:val="005C1F3C"/>
    <w:rsid w:val="005C4522"/>
    <w:rsid w:val="005C4BB7"/>
    <w:rsid w:val="005C5B57"/>
    <w:rsid w:val="005D2878"/>
    <w:rsid w:val="005D2EA8"/>
    <w:rsid w:val="005D49BF"/>
    <w:rsid w:val="005D7B67"/>
    <w:rsid w:val="005E13AA"/>
    <w:rsid w:val="005E168B"/>
    <w:rsid w:val="005E5E0A"/>
    <w:rsid w:val="005F30C3"/>
    <w:rsid w:val="005F6BF6"/>
    <w:rsid w:val="005F70FC"/>
    <w:rsid w:val="005F7863"/>
    <w:rsid w:val="006004EB"/>
    <w:rsid w:val="00602413"/>
    <w:rsid w:val="00602B7F"/>
    <w:rsid w:val="0060353B"/>
    <w:rsid w:val="00606C2E"/>
    <w:rsid w:val="00611087"/>
    <w:rsid w:val="00611150"/>
    <w:rsid w:val="006125C8"/>
    <w:rsid w:val="006142A6"/>
    <w:rsid w:val="00615A38"/>
    <w:rsid w:val="0062085D"/>
    <w:rsid w:val="00620876"/>
    <w:rsid w:val="0062088D"/>
    <w:rsid w:val="00620D65"/>
    <w:rsid w:val="00622E11"/>
    <w:rsid w:val="00624FD0"/>
    <w:rsid w:val="00630C5E"/>
    <w:rsid w:val="006315B4"/>
    <w:rsid w:val="00634A61"/>
    <w:rsid w:val="006359EB"/>
    <w:rsid w:val="00635AC3"/>
    <w:rsid w:val="00636FFB"/>
    <w:rsid w:val="00637EBD"/>
    <w:rsid w:val="006503C0"/>
    <w:rsid w:val="006512F3"/>
    <w:rsid w:val="00653070"/>
    <w:rsid w:val="0065357B"/>
    <w:rsid w:val="00654CCF"/>
    <w:rsid w:val="00656E21"/>
    <w:rsid w:val="00665F82"/>
    <w:rsid w:val="006667B4"/>
    <w:rsid w:val="006713AD"/>
    <w:rsid w:val="0067186C"/>
    <w:rsid w:val="00671919"/>
    <w:rsid w:val="00671E11"/>
    <w:rsid w:val="0067652D"/>
    <w:rsid w:val="006767E2"/>
    <w:rsid w:val="006779DA"/>
    <w:rsid w:val="006820F0"/>
    <w:rsid w:val="0068524E"/>
    <w:rsid w:val="00687DDF"/>
    <w:rsid w:val="00687EB3"/>
    <w:rsid w:val="00690918"/>
    <w:rsid w:val="00692980"/>
    <w:rsid w:val="0069308B"/>
    <w:rsid w:val="00693210"/>
    <w:rsid w:val="00693246"/>
    <w:rsid w:val="0069347D"/>
    <w:rsid w:val="0069506F"/>
    <w:rsid w:val="00696582"/>
    <w:rsid w:val="006A1DBB"/>
    <w:rsid w:val="006A2951"/>
    <w:rsid w:val="006A3B1C"/>
    <w:rsid w:val="006A4A46"/>
    <w:rsid w:val="006A4A49"/>
    <w:rsid w:val="006A56D1"/>
    <w:rsid w:val="006A5907"/>
    <w:rsid w:val="006B4E40"/>
    <w:rsid w:val="006B7C73"/>
    <w:rsid w:val="006B7D2C"/>
    <w:rsid w:val="006C103A"/>
    <w:rsid w:val="006C4E6A"/>
    <w:rsid w:val="006C50E8"/>
    <w:rsid w:val="006C68A3"/>
    <w:rsid w:val="006D0A4B"/>
    <w:rsid w:val="006D464D"/>
    <w:rsid w:val="006E0B2B"/>
    <w:rsid w:val="006E6F11"/>
    <w:rsid w:val="006F0B6B"/>
    <w:rsid w:val="006F1094"/>
    <w:rsid w:val="006F1226"/>
    <w:rsid w:val="006F144D"/>
    <w:rsid w:val="006F461B"/>
    <w:rsid w:val="006F5D47"/>
    <w:rsid w:val="006F622C"/>
    <w:rsid w:val="00700FF6"/>
    <w:rsid w:val="00704D44"/>
    <w:rsid w:val="00711153"/>
    <w:rsid w:val="00711517"/>
    <w:rsid w:val="00714F4F"/>
    <w:rsid w:val="00715A68"/>
    <w:rsid w:val="00715DD5"/>
    <w:rsid w:val="00715ECF"/>
    <w:rsid w:val="0071761D"/>
    <w:rsid w:val="00717A04"/>
    <w:rsid w:val="00717BFE"/>
    <w:rsid w:val="00720245"/>
    <w:rsid w:val="007208C5"/>
    <w:rsid w:val="00721145"/>
    <w:rsid w:val="007238A4"/>
    <w:rsid w:val="00725BB4"/>
    <w:rsid w:val="00726641"/>
    <w:rsid w:val="0073180A"/>
    <w:rsid w:val="00732997"/>
    <w:rsid w:val="007336C3"/>
    <w:rsid w:val="00735033"/>
    <w:rsid w:val="007378CB"/>
    <w:rsid w:val="00744F17"/>
    <w:rsid w:val="0074739D"/>
    <w:rsid w:val="00750870"/>
    <w:rsid w:val="00755442"/>
    <w:rsid w:val="00755D92"/>
    <w:rsid w:val="00756485"/>
    <w:rsid w:val="00756639"/>
    <w:rsid w:val="0075705D"/>
    <w:rsid w:val="00760D15"/>
    <w:rsid w:val="007626E1"/>
    <w:rsid w:val="00766ECE"/>
    <w:rsid w:val="00767F65"/>
    <w:rsid w:val="00770D6C"/>
    <w:rsid w:val="00775FA7"/>
    <w:rsid w:val="007814FA"/>
    <w:rsid w:val="00783515"/>
    <w:rsid w:val="00787C94"/>
    <w:rsid w:val="00791BCB"/>
    <w:rsid w:val="007921BD"/>
    <w:rsid w:val="00792EA6"/>
    <w:rsid w:val="00793A02"/>
    <w:rsid w:val="00795C6B"/>
    <w:rsid w:val="007A1566"/>
    <w:rsid w:val="007A213E"/>
    <w:rsid w:val="007A3995"/>
    <w:rsid w:val="007A4042"/>
    <w:rsid w:val="007A5168"/>
    <w:rsid w:val="007A57A8"/>
    <w:rsid w:val="007A5AC5"/>
    <w:rsid w:val="007A5DC2"/>
    <w:rsid w:val="007A5F0F"/>
    <w:rsid w:val="007A7E18"/>
    <w:rsid w:val="007B185E"/>
    <w:rsid w:val="007B622D"/>
    <w:rsid w:val="007B7177"/>
    <w:rsid w:val="007C05F9"/>
    <w:rsid w:val="007C1457"/>
    <w:rsid w:val="007C4288"/>
    <w:rsid w:val="007C484E"/>
    <w:rsid w:val="007C5293"/>
    <w:rsid w:val="007C5A0B"/>
    <w:rsid w:val="007C6F14"/>
    <w:rsid w:val="007D1249"/>
    <w:rsid w:val="007D2918"/>
    <w:rsid w:val="007D4853"/>
    <w:rsid w:val="007D57C4"/>
    <w:rsid w:val="007E0429"/>
    <w:rsid w:val="007E26FB"/>
    <w:rsid w:val="007E41DE"/>
    <w:rsid w:val="007E4CE3"/>
    <w:rsid w:val="007E67D7"/>
    <w:rsid w:val="007F2B1F"/>
    <w:rsid w:val="007F5F50"/>
    <w:rsid w:val="00802F7A"/>
    <w:rsid w:val="00806A1C"/>
    <w:rsid w:val="0080773A"/>
    <w:rsid w:val="00816A23"/>
    <w:rsid w:val="008173F3"/>
    <w:rsid w:val="0082117C"/>
    <w:rsid w:val="008227B0"/>
    <w:rsid w:val="008227E9"/>
    <w:rsid w:val="00824DBF"/>
    <w:rsid w:val="008252C5"/>
    <w:rsid w:val="00831860"/>
    <w:rsid w:val="00832F2D"/>
    <w:rsid w:val="00833BF9"/>
    <w:rsid w:val="0083431F"/>
    <w:rsid w:val="00836C6A"/>
    <w:rsid w:val="00840E97"/>
    <w:rsid w:val="00840F83"/>
    <w:rsid w:val="00841C9F"/>
    <w:rsid w:val="0084294E"/>
    <w:rsid w:val="00843EFF"/>
    <w:rsid w:val="008442A5"/>
    <w:rsid w:val="00847096"/>
    <w:rsid w:val="008477A9"/>
    <w:rsid w:val="00851298"/>
    <w:rsid w:val="0085416A"/>
    <w:rsid w:val="008567A7"/>
    <w:rsid w:val="00856979"/>
    <w:rsid w:val="00856B0F"/>
    <w:rsid w:val="00870C2E"/>
    <w:rsid w:val="0087186A"/>
    <w:rsid w:val="00872C56"/>
    <w:rsid w:val="0087360F"/>
    <w:rsid w:val="0087384B"/>
    <w:rsid w:val="00874F67"/>
    <w:rsid w:val="00876AC2"/>
    <w:rsid w:val="00882AC2"/>
    <w:rsid w:val="008838AB"/>
    <w:rsid w:val="00883F43"/>
    <w:rsid w:val="00884C98"/>
    <w:rsid w:val="00884CE2"/>
    <w:rsid w:val="00885E7D"/>
    <w:rsid w:val="0089363F"/>
    <w:rsid w:val="0089430C"/>
    <w:rsid w:val="00894D05"/>
    <w:rsid w:val="00896ED8"/>
    <w:rsid w:val="0089718A"/>
    <w:rsid w:val="008A05A5"/>
    <w:rsid w:val="008A209D"/>
    <w:rsid w:val="008A2436"/>
    <w:rsid w:val="008A261D"/>
    <w:rsid w:val="008A43E0"/>
    <w:rsid w:val="008A4E8C"/>
    <w:rsid w:val="008A563D"/>
    <w:rsid w:val="008B25BC"/>
    <w:rsid w:val="008B3B0A"/>
    <w:rsid w:val="008B48A8"/>
    <w:rsid w:val="008B66FD"/>
    <w:rsid w:val="008C089E"/>
    <w:rsid w:val="008C1A7D"/>
    <w:rsid w:val="008C2BA0"/>
    <w:rsid w:val="008C4ACC"/>
    <w:rsid w:val="008C69F2"/>
    <w:rsid w:val="008D0758"/>
    <w:rsid w:val="008D1D44"/>
    <w:rsid w:val="008D3E6C"/>
    <w:rsid w:val="008D4CD1"/>
    <w:rsid w:val="008D5235"/>
    <w:rsid w:val="008D6517"/>
    <w:rsid w:val="008E04EC"/>
    <w:rsid w:val="008E43F4"/>
    <w:rsid w:val="008E5CE2"/>
    <w:rsid w:val="008F0204"/>
    <w:rsid w:val="008F16CB"/>
    <w:rsid w:val="008F42F6"/>
    <w:rsid w:val="008F5282"/>
    <w:rsid w:val="00901058"/>
    <w:rsid w:val="00912BAC"/>
    <w:rsid w:val="009141D8"/>
    <w:rsid w:val="0092352D"/>
    <w:rsid w:val="00925058"/>
    <w:rsid w:val="00926CDB"/>
    <w:rsid w:val="00930113"/>
    <w:rsid w:val="00932753"/>
    <w:rsid w:val="009340FD"/>
    <w:rsid w:val="00935293"/>
    <w:rsid w:val="00935381"/>
    <w:rsid w:val="009356EC"/>
    <w:rsid w:val="009374B0"/>
    <w:rsid w:val="00937FB2"/>
    <w:rsid w:val="0094114F"/>
    <w:rsid w:val="00947560"/>
    <w:rsid w:val="00947793"/>
    <w:rsid w:val="009477B1"/>
    <w:rsid w:val="009500D8"/>
    <w:rsid w:val="009505BA"/>
    <w:rsid w:val="00951384"/>
    <w:rsid w:val="00951ACA"/>
    <w:rsid w:val="00953021"/>
    <w:rsid w:val="0095690D"/>
    <w:rsid w:val="00957D8E"/>
    <w:rsid w:val="009609C5"/>
    <w:rsid w:val="00964E62"/>
    <w:rsid w:val="009657B6"/>
    <w:rsid w:val="00965B1A"/>
    <w:rsid w:val="00971B57"/>
    <w:rsid w:val="00973B10"/>
    <w:rsid w:val="009757D2"/>
    <w:rsid w:val="00976933"/>
    <w:rsid w:val="00981893"/>
    <w:rsid w:val="0098195A"/>
    <w:rsid w:val="009842AB"/>
    <w:rsid w:val="00984974"/>
    <w:rsid w:val="00986438"/>
    <w:rsid w:val="00987DBF"/>
    <w:rsid w:val="00996050"/>
    <w:rsid w:val="0099628C"/>
    <w:rsid w:val="009970F9"/>
    <w:rsid w:val="009971A1"/>
    <w:rsid w:val="009A5590"/>
    <w:rsid w:val="009B66D6"/>
    <w:rsid w:val="009C1E95"/>
    <w:rsid w:val="009C268D"/>
    <w:rsid w:val="009C3837"/>
    <w:rsid w:val="009C44BD"/>
    <w:rsid w:val="009C537F"/>
    <w:rsid w:val="009D0585"/>
    <w:rsid w:val="009D2BB3"/>
    <w:rsid w:val="009D3C0D"/>
    <w:rsid w:val="009D5077"/>
    <w:rsid w:val="009E0846"/>
    <w:rsid w:val="009E0B82"/>
    <w:rsid w:val="009E193A"/>
    <w:rsid w:val="009E1EF4"/>
    <w:rsid w:val="009E1F32"/>
    <w:rsid w:val="009E1F7D"/>
    <w:rsid w:val="009E4BD5"/>
    <w:rsid w:val="009E6C05"/>
    <w:rsid w:val="009F0AA5"/>
    <w:rsid w:val="009F1BE0"/>
    <w:rsid w:val="009F5576"/>
    <w:rsid w:val="009F7CED"/>
    <w:rsid w:val="00A035C6"/>
    <w:rsid w:val="00A0420E"/>
    <w:rsid w:val="00A04569"/>
    <w:rsid w:val="00A05E1D"/>
    <w:rsid w:val="00A0736A"/>
    <w:rsid w:val="00A07DE7"/>
    <w:rsid w:val="00A11FB0"/>
    <w:rsid w:val="00A120D6"/>
    <w:rsid w:val="00A1301A"/>
    <w:rsid w:val="00A14C37"/>
    <w:rsid w:val="00A161B9"/>
    <w:rsid w:val="00A17266"/>
    <w:rsid w:val="00A203E4"/>
    <w:rsid w:val="00A20F69"/>
    <w:rsid w:val="00A219D7"/>
    <w:rsid w:val="00A23758"/>
    <w:rsid w:val="00A24B32"/>
    <w:rsid w:val="00A2785C"/>
    <w:rsid w:val="00A33B22"/>
    <w:rsid w:val="00A33DCF"/>
    <w:rsid w:val="00A35988"/>
    <w:rsid w:val="00A377FE"/>
    <w:rsid w:val="00A4128C"/>
    <w:rsid w:val="00A41AEF"/>
    <w:rsid w:val="00A4296C"/>
    <w:rsid w:val="00A447B3"/>
    <w:rsid w:val="00A45EA3"/>
    <w:rsid w:val="00A46C7D"/>
    <w:rsid w:val="00A47ED6"/>
    <w:rsid w:val="00A500DD"/>
    <w:rsid w:val="00A52C3F"/>
    <w:rsid w:val="00A55DB6"/>
    <w:rsid w:val="00A56B49"/>
    <w:rsid w:val="00A61784"/>
    <w:rsid w:val="00A64120"/>
    <w:rsid w:val="00A661C3"/>
    <w:rsid w:val="00A72973"/>
    <w:rsid w:val="00A72D56"/>
    <w:rsid w:val="00A74251"/>
    <w:rsid w:val="00A74AFD"/>
    <w:rsid w:val="00A771C8"/>
    <w:rsid w:val="00A80613"/>
    <w:rsid w:val="00A83A98"/>
    <w:rsid w:val="00A850A8"/>
    <w:rsid w:val="00A85461"/>
    <w:rsid w:val="00A8562D"/>
    <w:rsid w:val="00A85AEA"/>
    <w:rsid w:val="00A86C80"/>
    <w:rsid w:val="00A87C29"/>
    <w:rsid w:val="00A94019"/>
    <w:rsid w:val="00A94384"/>
    <w:rsid w:val="00A96668"/>
    <w:rsid w:val="00AA28E8"/>
    <w:rsid w:val="00AA3122"/>
    <w:rsid w:val="00AB0708"/>
    <w:rsid w:val="00AB0C45"/>
    <w:rsid w:val="00AB0DF8"/>
    <w:rsid w:val="00AB30B4"/>
    <w:rsid w:val="00AB4561"/>
    <w:rsid w:val="00AB6652"/>
    <w:rsid w:val="00AC1AF8"/>
    <w:rsid w:val="00AC2C34"/>
    <w:rsid w:val="00AC3440"/>
    <w:rsid w:val="00AC38E7"/>
    <w:rsid w:val="00AC447D"/>
    <w:rsid w:val="00AC5F34"/>
    <w:rsid w:val="00AD5446"/>
    <w:rsid w:val="00AD623F"/>
    <w:rsid w:val="00AE03F3"/>
    <w:rsid w:val="00AE2CCE"/>
    <w:rsid w:val="00AE3858"/>
    <w:rsid w:val="00AE6CA6"/>
    <w:rsid w:val="00AF0A2D"/>
    <w:rsid w:val="00AF56A5"/>
    <w:rsid w:val="00AF5E71"/>
    <w:rsid w:val="00AF7B02"/>
    <w:rsid w:val="00B000F1"/>
    <w:rsid w:val="00B00CAA"/>
    <w:rsid w:val="00B019A5"/>
    <w:rsid w:val="00B07A73"/>
    <w:rsid w:val="00B11C61"/>
    <w:rsid w:val="00B123DE"/>
    <w:rsid w:val="00B12D58"/>
    <w:rsid w:val="00B13AE3"/>
    <w:rsid w:val="00B14A19"/>
    <w:rsid w:val="00B14A8B"/>
    <w:rsid w:val="00B25550"/>
    <w:rsid w:val="00B30164"/>
    <w:rsid w:val="00B30DCD"/>
    <w:rsid w:val="00B31078"/>
    <w:rsid w:val="00B377D3"/>
    <w:rsid w:val="00B4178F"/>
    <w:rsid w:val="00B4216E"/>
    <w:rsid w:val="00B439F0"/>
    <w:rsid w:val="00B448DC"/>
    <w:rsid w:val="00B46051"/>
    <w:rsid w:val="00B463AC"/>
    <w:rsid w:val="00B4740D"/>
    <w:rsid w:val="00B50012"/>
    <w:rsid w:val="00B51095"/>
    <w:rsid w:val="00B51F1A"/>
    <w:rsid w:val="00B5441B"/>
    <w:rsid w:val="00B5666F"/>
    <w:rsid w:val="00B60EC5"/>
    <w:rsid w:val="00B6123C"/>
    <w:rsid w:val="00B61CA6"/>
    <w:rsid w:val="00B61F01"/>
    <w:rsid w:val="00B6266A"/>
    <w:rsid w:val="00B62D7B"/>
    <w:rsid w:val="00B64204"/>
    <w:rsid w:val="00B65F1B"/>
    <w:rsid w:val="00B66D03"/>
    <w:rsid w:val="00B7000F"/>
    <w:rsid w:val="00B71739"/>
    <w:rsid w:val="00B729FC"/>
    <w:rsid w:val="00B73EC6"/>
    <w:rsid w:val="00B766E4"/>
    <w:rsid w:val="00B821A8"/>
    <w:rsid w:val="00B8326D"/>
    <w:rsid w:val="00B84AF8"/>
    <w:rsid w:val="00B8624D"/>
    <w:rsid w:val="00B86602"/>
    <w:rsid w:val="00B937B6"/>
    <w:rsid w:val="00B966D0"/>
    <w:rsid w:val="00B9A482"/>
    <w:rsid w:val="00BA202C"/>
    <w:rsid w:val="00BA450F"/>
    <w:rsid w:val="00BB157D"/>
    <w:rsid w:val="00BB545F"/>
    <w:rsid w:val="00BB6C2D"/>
    <w:rsid w:val="00BC2C4A"/>
    <w:rsid w:val="00BC3D4F"/>
    <w:rsid w:val="00BC4976"/>
    <w:rsid w:val="00BD4B65"/>
    <w:rsid w:val="00BE280C"/>
    <w:rsid w:val="00BE37C9"/>
    <w:rsid w:val="00BE5853"/>
    <w:rsid w:val="00BF054E"/>
    <w:rsid w:val="00BF0DB9"/>
    <w:rsid w:val="00BF2845"/>
    <w:rsid w:val="00C04248"/>
    <w:rsid w:val="00C04A8E"/>
    <w:rsid w:val="00C07724"/>
    <w:rsid w:val="00C10A64"/>
    <w:rsid w:val="00C114A7"/>
    <w:rsid w:val="00C12B93"/>
    <w:rsid w:val="00C134C3"/>
    <w:rsid w:val="00C1619A"/>
    <w:rsid w:val="00C23E02"/>
    <w:rsid w:val="00C24AFC"/>
    <w:rsid w:val="00C254DA"/>
    <w:rsid w:val="00C26C14"/>
    <w:rsid w:val="00C27D76"/>
    <w:rsid w:val="00C30B23"/>
    <w:rsid w:val="00C31173"/>
    <w:rsid w:val="00C31D59"/>
    <w:rsid w:val="00C330CF"/>
    <w:rsid w:val="00C33E8A"/>
    <w:rsid w:val="00C36892"/>
    <w:rsid w:val="00C4009A"/>
    <w:rsid w:val="00C401C2"/>
    <w:rsid w:val="00C42CE5"/>
    <w:rsid w:val="00C45112"/>
    <w:rsid w:val="00C46330"/>
    <w:rsid w:val="00C47F73"/>
    <w:rsid w:val="00C52E86"/>
    <w:rsid w:val="00C52F95"/>
    <w:rsid w:val="00C55143"/>
    <w:rsid w:val="00C6077B"/>
    <w:rsid w:val="00C61441"/>
    <w:rsid w:val="00C615C7"/>
    <w:rsid w:val="00C62BB7"/>
    <w:rsid w:val="00C62C49"/>
    <w:rsid w:val="00C64C24"/>
    <w:rsid w:val="00C7294E"/>
    <w:rsid w:val="00C7529D"/>
    <w:rsid w:val="00C777D7"/>
    <w:rsid w:val="00C851A5"/>
    <w:rsid w:val="00C87348"/>
    <w:rsid w:val="00C9045E"/>
    <w:rsid w:val="00C91EAA"/>
    <w:rsid w:val="00C91F90"/>
    <w:rsid w:val="00CA1894"/>
    <w:rsid w:val="00CA57DF"/>
    <w:rsid w:val="00CB0063"/>
    <w:rsid w:val="00CB4D37"/>
    <w:rsid w:val="00CB66F7"/>
    <w:rsid w:val="00CC021B"/>
    <w:rsid w:val="00CC0C62"/>
    <w:rsid w:val="00CC259C"/>
    <w:rsid w:val="00CC42D1"/>
    <w:rsid w:val="00CC5B3E"/>
    <w:rsid w:val="00CD0D8C"/>
    <w:rsid w:val="00CD1C4D"/>
    <w:rsid w:val="00CD7DC6"/>
    <w:rsid w:val="00CE1A87"/>
    <w:rsid w:val="00CE33CA"/>
    <w:rsid w:val="00CF0544"/>
    <w:rsid w:val="00CF14E7"/>
    <w:rsid w:val="00CF25EF"/>
    <w:rsid w:val="00CF266A"/>
    <w:rsid w:val="00CF5E55"/>
    <w:rsid w:val="00D00E74"/>
    <w:rsid w:val="00D04A96"/>
    <w:rsid w:val="00D05B67"/>
    <w:rsid w:val="00D05D52"/>
    <w:rsid w:val="00D06685"/>
    <w:rsid w:val="00D137A5"/>
    <w:rsid w:val="00D16D4F"/>
    <w:rsid w:val="00D24980"/>
    <w:rsid w:val="00D26D53"/>
    <w:rsid w:val="00D31F43"/>
    <w:rsid w:val="00D33314"/>
    <w:rsid w:val="00D35704"/>
    <w:rsid w:val="00D3731C"/>
    <w:rsid w:val="00D40215"/>
    <w:rsid w:val="00D40E59"/>
    <w:rsid w:val="00D410A6"/>
    <w:rsid w:val="00D415E6"/>
    <w:rsid w:val="00D444C5"/>
    <w:rsid w:val="00D47662"/>
    <w:rsid w:val="00D50242"/>
    <w:rsid w:val="00D5055D"/>
    <w:rsid w:val="00D50979"/>
    <w:rsid w:val="00D530DC"/>
    <w:rsid w:val="00D572CC"/>
    <w:rsid w:val="00D57A9F"/>
    <w:rsid w:val="00D60260"/>
    <w:rsid w:val="00D62023"/>
    <w:rsid w:val="00D62286"/>
    <w:rsid w:val="00D702E7"/>
    <w:rsid w:val="00D7070F"/>
    <w:rsid w:val="00D707FB"/>
    <w:rsid w:val="00D709DD"/>
    <w:rsid w:val="00D7196A"/>
    <w:rsid w:val="00D776C7"/>
    <w:rsid w:val="00D8294A"/>
    <w:rsid w:val="00D83F98"/>
    <w:rsid w:val="00D84A75"/>
    <w:rsid w:val="00D85F90"/>
    <w:rsid w:val="00D86284"/>
    <w:rsid w:val="00D90649"/>
    <w:rsid w:val="00D90E96"/>
    <w:rsid w:val="00D91E89"/>
    <w:rsid w:val="00D9213D"/>
    <w:rsid w:val="00D94F10"/>
    <w:rsid w:val="00D965B1"/>
    <w:rsid w:val="00D97DF9"/>
    <w:rsid w:val="00DA26B8"/>
    <w:rsid w:val="00DA3C9F"/>
    <w:rsid w:val="00DA6022"/>
    <w:rsid w:val="00DA6526"/>
    <w:rsid w:val="00DA6C54"/>
    <w:rsid w:val="00DB0E9F"/>
    <w:rsid w:val="00DB220F"/>
    <w:rsid w:val="00DB244E"/>
    <w:rsid w:val="00DB5DE6"/>
    <w:rsid w:val="00DC23B5"/>
    <w:rsid w:val="00DC54A3"/>
    <w:rsid w:val="00DD181C"/>
    <w:rsid w:val="00DD199B"/>
    <w:rsid w:val="00DD2F2C"/>
    <w:rsid w:val="00DD48D9"/>
    <w:rsid w:val="00DD4F10"/>
    <w:rsid w:val="00DE1540"/>
    <w:rsid w:val="00DE520C"/>
    <w:rsid w:val="00DF1E66"/>
    <w:rsid w:val="00DF60FD"/>
    <w:rsid w:val="00DF6410"/>
    <w:rsid w:val="00E007F7"/>
    <w:rsid w:val="00E00E75"/>
    <w:rsid w:val="00E02F10"/>
    <w:rsid w:val="00E05F18"/>
    <w:rsid w:val="00E06A27"/>
    <w:rsid w:val="00E1018D"/>
    <w:rsid w:val="00E11C88"/>
    <w:rsid w:val="00E12202"/>
    <w:rsid w:val="00E16148"/>
    <w:rsid w:val="00E166C0"/>
    <w:rsid w:val="00E242C5"/>
    <w:rsid w:val="00E24673"/>
    <w:rsid w:val="00E24F26"/>
    <w:rsid w:val="00E261B4"/>
    <w:rsid w:val="00E31E85"/>
    <w:rsid w:val="00E33266"/>
    <w:rsid w:val="00E341EF"/>
    <w:rsid w:val="00E407FF"/>
    <w:rsid w:val="00E40C34"/>
    <w:rsid w:val="00E41D6A"/>
    <w:rsid w:val="00E41E2C"/>
    <w:rsid w:val="00E44207"/>
    <w:rsid w:val="00E44E43"/>
    <w:rsid w:val="00E532F5"/>
    <w:rsid w:val="00E537D0"/>
    <w:rsid w:val="00E55B5E"/>
    <w:rsid w:val="00E570F8"/>
    <w:rsid w:val="00E57E90"/>
    <w:rsid w:val="00E64EE2"/>
    <w:rsid w:val="00E656A2"/>
    <w:rsid w:val="00E668FF"/>
    <w:rsid w:val="00E66C57"/>
    <w:rsid w:val="00E66D00"/>
    <w:rsid w:val="00E67FB1"/>
    <w:rsid w:val="00E7224C"/>
    <w:rsid w:val="00E729F2"/>
    <w:rsid w:val="00E75DBD"/>
    <w:rsid w:val="00E805D3"/>
    <w:rsid w:val="00E80826"/>
    <w:rsid w:val="00E81564"/>
    <w:rsid w:val="00E84DA1"/>
    <w:rsid w:val="00E87742"/>
    <w:rsid w:val="00E90F07"/>
    <w:rsid w:val="00E91332"/>
    <w:rsid w:val="00E97135"/>
    <w:rsid w:val="00EA05E4"/>
    <w:rsid w:val="00EA0744"/>
    <w:rsid w:val="00EA2029"/>
    <w:rsid w:val="00EA3045"/>
    <w:rsid w:val="00EA5D8B"/>
    <w:rsid w:val="00EB36EC"/>
    <w:rsid w:val="00EC1DE8"/>
    <w:rsid w:val="00EC35AE"/>
    <w:rsid w:val="00EC7674"/>
    <w:rsid w:val="00ED11BE"/>
    <w:rsid w:val="00ED32D0"/>
    <w:rsid w:val="00ED4708"/>
    <w:rsid w:val="00EE0D69"/>
    <w:rsid w:val="00EE0F26"/>
    <w:rsid w:val="00EE1291"/>
    <w:rsid w:val="00EE2ABB"/>
    <w:rsid w:val="00EE4AD0"/>
    <w:rsid w:val="00EF1349"/>
    <w:rsid w:val="00EF163D"/>
    <w:rsid w:val="00EF192B"/>
    <w:rsid w:val="00EF59EA"/>
    <w:rsid w:val="00F01F5E"/>
    <w:rsid w:val="00F05BAD"/>
    <w:rsid w:val="00F05EC8"/>
    <w:rsid w:val="00F066D9"/>
    <w:rsid w:val="00F06B8A"/>
    <w:rsid w:val="00F07A7D"/>
    <w:rsid w:val="00F14150"/>
    <w:rsid w:val="00F153C1"/>
    <w:rsid w:val="00F16839"/>
    <w:rsid w:val="00F16BFD"/>
    <w:rsid w:val="00F20677"/>
    <w:rsid w:val="00F21112"/>
    <w:rsid w:val="00F211E7"/>
    <w:rsid w:val="00F21D37"/>
    <w:rsid w:val="00F221F0"/>
    <w:rsid w:val="00F23469"/>
    <w:rsid w:val="00F236AF"/>
    <w:rsid w:val="00F26136"/>
    <w:rsid w:val="00F2713B"/>
    <w:rsid w:val="00F305D8"/>
    <w:rsid w:val="00F30C3E"/>
    <w:rsid w:val="00F37106"/>
    <w:rsid w:val="00F44A2E"/>
    <w:rsid w:val="00F47D57"/>
    <w:rsid w:val="00F51140"/>
    <w:rsid w:val="00F55DC4"/>
    <w:rsid w:val="00F571FA"/>
    <w:rsid w:val="00F576B3"/>
    <w:rsid w:val="00F600DB"/>
    <w:rsid w:val="00F609F5"/>
    <w:rsid w:val="00F627F6"/>
    <w:rsid w:val="00F63F9D"/>
    <w:rsid w:val="00F71F18"/>
    <w:rsid w:val="00F745E1"/>
    <w:rsid w:val="00F7532F"/>
    <w:rsid w:val="00F75A79"/>
    <w:rsid w:val="00F7620E"/>
    <w:rsid w:val="00F76211"/>
    <w:rsid w:val="00F775AD"/>
    <w:rsid w:val="00F77AED"/>
    <w:rsid w:val="00F80E07"/>
    <w:rsid w:val="00F820C2"/>
    <w:rsid w:val="00F90326"/>
    <w:rsid w:val="00F90906"/>
    <w:rsid w:val="00F90F86"/>
    <w:rsid w:val="00F92DF0"/>
    <w:rsid w:val="00F93683"/>
    <w:rsid w:val="00F94D30"/>
    <w:rsid w:val="00F96BBF"/>
    <w:rsid w:val="00FA0454"/>
    <w:rsid w:val="00FA4A9E"/>
    <w:rsid w:val="00FA68AA"/>
    <w:rsid w:val="00FB1248"/>
    <w:rsid w:val="00FB217D"/>
    <w:rsid w:val="00FB29CC"/>
    <w:rsid w:val="00FB314A"/>
    <w:rsid w:val="00FB691C"/>
    <w:rsid w:val="00FB73C5"/>
    <w:rsid w:val="00FC0522"/>
    <w:rsid w:val="00FC2BA2"/>
    <w:rsid w:val="00FC2DE3"/>
    <w:rsid w:val="00FC422E"/>
    <w:rsid w:val="00FC4DD5"/>
    <w:rsid w:val="00FD0EB8"/>
    <w:rsid w:val="00FD1CE6"/>
    <w:rsid w:val="00FD21E7"/>
    <w:rsid w:val="00FD3D04"/>
    <w:rsid w:val="00FD49A0"/>
    <w:rsid w:val="00FE27DE"/>
    <w:rsid w:val="00FE2C8D"/>
    <w:rsid w:val="00FE7869"/>
    <w:rsid w:val="00FF27F6"/>
    <w:rsid w:val="00FF39FF"/>
    <w:rsid w:val="00FF5312"/>
    <w:rsid w:val="00FF66CA"/>
    <w:rsid w:val="016C4C64"/>
    <w:rsid w:val="01BD3094"/>
    <w:rsid w:val="030567AE"/>
    <w:rsid w:val="03B0CAA8"/>
    <w:rsid w:val="03B590DF"/>
    <w:rsid w:val="04EC4590"/>
    <w:rsid w:val="05BCC559"/>
    <w:rsid w:val="0640582C"/>
    <w:rsid w:val="072BBBC4"/>
    <w:rsid w:val="075D4F99"/>
    <w:rsid w:val="07DA28B9"/>
    <w:rsid w:val="08D7E4FA"/>
    <w:rsid w:val="090D2462"/>
    <w:rsid w:val="09130BB4"/>
    <w:rsid w:val="091E99A1"/>
    <w:rsid w:val="09400DC1"/>
    <w:rsid w:val="095705DA"/>
    <w:rsid w:val="09A59AC9"/>
    <w:rsid w:val="0A114DEF"/>
    <w:rsid w:val="0A1B7F94"/>
    <w:rsid w:val="0A8ED4AA"/>
    <w:rsid w:val="0AD98859"/>
    <w:rsid w:val="0AE43F8E"/>
    <w:rsid w:val="0C0E3FB9"/>
    <w:rsid w:val="0C541CDF"/>
    <w:rsid w:val="0CA9646D"/>
    <w:rsid w:val="0DE0563D"/>
    <w:rsid w:val="0E1A6560"/>
    <w:rsid w:val="0E75B6F8"/>
    <w:rsid w:val="0E8CCD19"/>
    <w:rsid w:val="0EF1219E"/>
    <w:rsid w:val="0F0AE658"/>
    <w:rsid w:val="0F50976E"/>
    <w:rsid w:val="0FE407AB"/>
    <w:rsid w:val="0FF976F0"/>
    <w:rsid w:val="1036F059"/>
    <w:rsid w:val="10EA25F5"/>
    <w:rsid w:val="115F02A7"/>
    <w:rsid w:val="1169C99A"/>
    <w:rsid w:val="11F83DBB"/>
    <w:rsid w:val="1206E7E2"/>
    <w:rsid w:val="121FE3D3"/>
    <w:rsid w:val="129B4874"/>
    <w:rsid w:val="13F58911"/>
    <w:rsid w:val="14621095"/>
    <w:rsid w:val="14741AFC"/>
    <w:rsid w:val="14B6DBA1"/>
    <w:rsid w:val="14C58821"/>
    <w:rsid w:val="163BC4B9"/>
    <w:rsid w:val="169209A7"/>
    <w:rsid w:val="169CB23D"/>
    <w:rsid w:val="169D4885"/>
    <w:rsid w:val="17AA327A"/>
    <w:rsid w:val="187EA5DE"/>
    <w:rsid w:val="1881A02A"/>
    <w:rsid w:val="18C2ED38"/>
    <w:rsid w:val="18EDF787"/>
    <w:rsid w:val="19022B7B"/>
    <w:rsid w:val="1941ADA4"/>
    <w:rsid w:val="1979EE9C"/>
    <w:rsid w:val="19E5E05D"/>
    <w:rsid w:val="1A0234C8"/>
    <w:rsid w:val="1A2320E4"/>
    <w:rsid w:val="1A2F5544"/>
    <w:rsid w:val="1AA1D3F0"/>
    <w:rsid w:val="1AD048C4"/>
    <w:rsid w:val="1B6F07CC"/>
    <w:rsid w:val="1B806419"/>
    <w:rsid w:val="1BA3B059"/>
    <w:rsid w:val="1C144A38"/>
    <w:rsid w:val="1CC9768E"/>
    <w:rsid w:val="1CEBD9B9"/>
    <w:rsid w:val="1D9FE012"/>
    <w:rsid w:val="1DAF3F8F"/>
    <w:rsid w:val="1DE3CD96"/>
    <w:rsid w:val="1ECA572C"/>
    <w:rsid w:val="1F308449"/>
    <w:rsid w:val="1F6A8B6E"/>
    <w:rsid w:val="2013A797"/>
    <w:rsid w:val="20237669"/>
    <w:rsid w:val="20C8E489"/>
    <w:rsid w:val="21495411"/>
    <w:rsid w:val="218690D6"/>
    <w:rsid w:val="21F2705B"/>
    <w:rsid w:val="2221C96A"/>
    <w:rsid w:val="226F36ED"/>
    <w:rsid w:val="231F9E39"/>
    <w:rsid w:val="23C5897F"/>
    <w:rsid w:val="244B4830"/>
    <w:rsid w:val="2461F46D"/>
    <w:rsid w:val="24BE997C"/>
    <w:rsid w:val="2555ED67"/>
    <w:rsid w:val="25E542C4"/>
    <w:rsid w:val="263A0CB2"/>
    <w:rsid w:val="266C5384"/>
    <w:rsid w:val="26AAD75B"/>
    <w:rsid w:val="270F7F98"/>
    <w:rsid w:val="27661DAE"/>
    <w:rsid w:val="276DCAF2"/>
    <w:rsid w:val="28301CA1"/>
    <w:rsid w:val="293FC2EF"/>
    <w:rsid w:val="297DBD65"/>
    <w:rsid w:val="2A1A601D"/>
    <w:rsid w:val="2A3A60D3"/>
    <w:rsid w:val="2AEA9A71"/>
    <w:rsid w:val="2AFDE3F5"/>
    <w:rsid w:val="2B56992F"/>
    <w:rsid w:val="2CBF596C"/>
    <w:rsid w:val="2D0FAC25"/>
    <w:rsid w:val="2D438D38"/>
    <w:rsid w:val="2D494C62"/>
    <w:rsid w:val="2D61E2A1"/>
    <w:rsid w:val="2D66E17B"/>
    <w:rsid w:val="2D730DD9"/>
    <w:rsid w:val="2D795AAD"/>
    <w:rsid w:val="2DCE1199"/>
    <w:rsid w:val="2E1E4DFB"/>
    <w:rsid w:val="2E2A319B"/>
    <w:rsid w:val="2E457558"/>
    <w:rsid w:val="2E9E78F0"/>
    <w:rsid w:val="2EB9F9FC"/>
    <w:rsid w:val="2ED5818B"/>
    <w:rsid w:val="2EF1CA83"/>
    <w:rsid w:val="2EF6C2B2"/>
    <w:rsid w:val="301040A3"/>
    <w:rsid w:val="3035476C"/>
    <w:rsid w:val="31CBCDCB"/>
    <w:rsid w:val="31DEE14D"/>
    <w:rsid w:val="31FAEAB4"/>
    <w:rsid w:val="321EA69B"/>
    <w:rsid w:val="3238B6A9"/>
    <w:rsid w:val="32511E1E"/>
    <w:rsid w:val="327148AB"/>
    <w:rsid w:val="32781CCD"/>
    <w:rsid w:val="32B3B2BE"/>
    <w:rsid w:val="330B1162"/>
    <w:rsid w:val="33ABE943"/>
    <w:rsid w:val="340D9BCF"/>
    <w:rsid w:val="3415A132"/>
    <w:rsid w:val="34370DA2"/>
    <w:rsid w:val="36119014"/>
    <w:rsid w:val="367A4AD9"/>
    <w:rsid w:val="379872EF"/>
    <w:rsid w:val="388D4128"/>
    <w:rsid w:val="38A82C2B"/>
    <w:rsid w:val="38E46D97"/>
    <w:rsid w:val="391392ED"/>
    <w:rsid w:val="39CC1812"/>
    <w:rsid w:val="39D832A2"/>
    <w:rsid w:val="39DF15D5"/>
    <w:rsid w:val="39E42734"/>
    <w:rsid w:val="3CA1F94E"/>
    <w:rsid w:val="3D7B9866"/>
    <w:rsid w:val="3DAB720F"/>
    <w:rsid w:val="3EB1B9BE"/>
    <w:rsid w:val="3F319700"/>
    <w:rsid w:val="3F4726EE"/>
    <w:rsid w:val="3F59B161"/>
    <w:rsid w:val="3F80566B"/>
    <w:rsid w:val="3FA38791"/>
    <w:rsid w:val="3FFE96AD"/>
    <w:rsid w:val="40ECAB63"/>
    <w:rsid w:val="42378C2A"/>
    <w:rsid w:val="42A8F1DE"/>
    <w:rsid w:val="431E3FAA"/>
    <w:rsid w:val="4400D0B0"/>
    <w:rsid w:val="44108549"/>
    <w:rsid w:val="441F6E9B"/>
    <w:rsid w:val="4499BAB5"/>
    <w:rsid w:val="45548DEF"/>
    <w:rsid w:val="45866F54"/>
    <w:rsid w:val="4690D446"/>
    <w:rsid w:val="46B0623C"/>
    <w:rsid w:val="46F1D95D"/>
    <w:rsid w:val="47A03B41"/>
    <w:rsid w:val="488C90DB"/>
    <w:rsid w:val="4900F217"/>
    <w:rsid w:val="492C265F"/>
    <w:rsid w:val="494513DB"/>
    <w:rsid w:val="49872A58"/>
    <w:rsid w:val="49FF9C29"/>
    <w:rsid w:val="4A92D6AC"/>
    <w:rsid w:val="4AD9CBA8"/>
    <w:rsid w:val="4B57B857"/>
    <w:rsid w:val="4B7B3067"/>
    <w:rsid w:val="4BAFCD91"/>
    <w:rsid w:val="4C040E14"/>
    <w:rsid w:val="4C675076"/>
    <w:rsid w:val="4C9A2EA3"/>
    <w:rsid w:val="4CA3116E"/>
    <w:rsid w:val="4CE68DED"/>
    <w:rsid w:val="4D734438"/>
    <w:rsid w:val="4DA71A16"/>
    <w:rsid w:val="4DDEDC60"/>
    <w:rsid w:val="4E5B3801"/>
    <w:rsid w:val="4FC8039F"/>
    <w:rsid w:val="506F1616"/>
    <w:rsid w:val="509A7D4A"/>
    <w:rsid w:val="5117D1FF"/>
    <w:rsid w:val="519D5EBD"/>
    <w:rsid w:val="51C15CA8"/>
    <w:rsid w:val="523D3242"/>
    <w:rsid w:val="53B3BF6B"/>
    <w:rsid w:val="53D93C4E"/>
    <w:rsid w:val="54057160"/>
    <w:rsid w:val="54BDCAE5"/>
    <w:rsid w:val="554D09D0"/>
    <w:rsid w:val="55D0006D"/>
    <w:rsid w:val="55F89F8C"/>
    <w:rsid w:val="561F9924"/>
    <w:rsid w:val="56237601"/>
    <w:rsid w:val="5669D964"/>
    <w:rsid w:val="56AB234C"/>
    <w:rsid w:val="58AD9DBF"/>
    <w:rsid w:val="58C620A7"/>
    <w:rsid w:val="59973FD1"/>
    <w:rsid w:val="59C968C8"/>
    <w:rsid w:val="5ACD6424"/>
    <w:rsid w:val="5B056C6F"/>
    <w:rsid w:val="5B61DB07"/>
    <w:rsid w:val="5B9DA7CA"/>
    <w:rsid w:val="5C031A86"/>
    <w:rsid w:val="5C4A3812"/>
    <w:rsid w:val="5CC81FDF"/>
    <w:rsid w:val="5CD6D458"/>
    <w:rsid w:val="5CEE1F44"/>
    <w:rsid w:val="5D7BF530"/>
    <w:rsid w:val="5D8B9102"/>
    <w:rsid w:val="5DA36768"/>
    <w:rsid w:val="5DA7C2F6"/>
    <w:rsid w:val="5DF6734C"/>
    <w:rsid w:val="5FF75FCF"/>
    <w:rsid w:val="5FFC056E"/>
    <w:rsid w:val="6066A02E"/>
    <w:rsid w:val="610587F6"/>
    <w:rsid w:val="610F04CF"/>
    <w:rsid w:val="6186933F"/>
    <w:rsid w:val="622C0872"/>
    <w:rsid w:val="62DC7E68"/>
    <w:rsid w:val="62F2A904"/>
    <w:rsid w:val="638A15E1"/>
    <w:rsid w:val="6403E9C7"/>
    <w:rsid w:val="6455EA5F"/>
    <w:rsid w:val="64B5C268"/>
    <w:rsid w:val="65080C46"/>
    <w:rsid w:val="652145D4"/>
    <w:rsid w:val="661B0D0F"/>
    <w:rsid w:val="66293DDB"/>
    <w:rsid w:val="66580B53"/>
    <w:rsid w:val="66673752"/>
    <w:rsid w:val="66E2578A"/>
    <w:rsid w:val="6742DE6D"/>
    <w:rsid w:val="674F575F"/>
    <w:rsid w:val="677B0A39"/>
    <w:rsid w:val="67ABB859"/>
    <w:rsid w:val="67C29704"/>
    <w:rsid w:val="67F0B357"/>
    <w:rsid w:val="687EFF7E"/>
    <w:rsid w:val="68AF8B63"/>
    <w:rsid w:val="691E3EC6"/>
    <w:rsid w:val="6958633D"/>
    <w:rsid w:val="697F85A6"/>
    <w:rsid w:val="6991C721"/>
    <w:rsid w:val="69C0E6EB"/>
    <w:rsid w:val="6A078A95"/>
    <w:rsid w:val="6AA6F8D0"/>
    <w:rsid w:val="6AAABEC4"/>
    <w:rsid w:val="6ABB468A"/>
    <w:rsid w:val="6B286AE9"/>
    <w:rsid w:val="6B41BD7B"/>
    <w:rsid w:val="6C1E143B"/>
    <w:rsid w:val="6C247609"/>
    <w:rsid w:val="6C379264"/>
    <w:rsid w:val="6C79F4E6"/>
    <w:rsid w:val="6CE49ECD"/>
    <w:rsid w:val="6CFCFD41"/>
    <w:rsid w:val="6DD599DE"/>
    <w:rsid w:val="6DE14EF1"/>
    <w:rsid w:val="6DFADA29"/>
    <w:rsid w:val="6E3E1846"/>
    <w:rsid w:val="6E3FF689"/>
    <w:rsid w:val="6EA9AABD"/>
    <w:rsid w:val="6F6CB3C4"/>
    <w:rsid w:val="70707091"/>
    <w:rsid w:val="7104EC4D"/>
    <w:rsid w:val="71253031"/>
    <w:rsid w:val="715A0A68"/>
    <w:rsid w:val="71A651D2"/>
    <w:rsid w:val="71A7E374"/>
    <w:rsid w:val="71A95C53"/>
    <w:rsid w:val="71DF05ED"/>
    <w:rsid w:val="71E5097E"/>
    <w:rsid w:val="71F08CA9"/>
    <w:rsid w:val="72BF00D9"/>
    <w:rsid w:val="72CE4A04"/>
    <w:rsid w:val="7353982D"/>
    <w:rsid w:val="73BB5B67"/>
    <w:rsid w:val="73FAB24D"/>
    <w:rsid w:val="74407442"/>
    <w:rsid w:val="752BF755"/>
    <w:rsid w:val="75302E51"/>
    <w:rsid w:val="7546A343"/>
    <w:rsid w:val="756E7B40"/>
    <w:rsid w:val="75824CEB"/>
    <w:rsid w:val="75A23CB0"/>
    <w:rsid w:val="763A0740"/>
    <w:rsid w:val="763E9B86"/>
    <w:rsid w:val="7742150B"/>
    <w:rsid w:val="783BAE1D"/>
    <w:rsid w:val="788BF76D"/>
    <w:rsid w:val="78ABA3D1"/>
    <w:rsid w:val="7A0D1CA5"/>
    <w:rsid w:val="7A3DAA1C"/>
    <w:rsid w:val="7A88D038"/>
    <w:rsid w:val="7B0C4C59"/>
    <w:rsid w:val="7B1CE67C"/>
    <w:rsid w:val="7C29D435"/>
    <w:rsid w:val="7C2C2C91"/>
    <w:rsid w:val="7CC3D4D7"/>
    <w:rsid w:val="7CD8367A"/>
    <w:rsid w:val="7D072BF8"/>
    <w:rsid w:val="7D32C9DA"/>
    <w:rsid w:val="7EFB6AEE"/>
    <w:rsid w:val="7F17E0D1"/>
    <w:rsid w:val="7F7AE0EA"/>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CA749"/>
  <w15:chartTrackingRefBased/>
  <w15:docId w15:val="{DD088798-450A-497F-9575-03C347972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iPriority="35"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val="es-ES" w:eastAsia="es-ES"/>
    </w:rPr>
  </w:style>
  <w:style w:type="paragraph" w:styleId="Ttulo1">
    <w:name w:val="heading 1"/>
    <w:basedOn w:val="Normal"/>
    <w:next w:val="Normal"/>
    <w:qFormat/>
    <w:pPr>
      <w:keepNext/>
      <w:spacing w:before="240" w:after="60"/>
      <w:outlineLvl w:val="0"/>
    </w:pPr>
    <w:rPr>
      <w:b/>
      <w:color w:val="000080"/>
      <w:spacing w:val="-8"/>
      <w:kern w:val="28"/>
      <w:sz w:val="28"/>
      <w:lang w:val="es-CO"/>
    </w:rPr>
  </w:style>
  <w:style w:type="paragraph" w:styleId="Ttulo2">
    <w:name w:val="heading 2"/>
    <w:basedOn w:val="Normal"/>
    <w:next w:val="Normal"/>
    <w:qFormat/>
    <w:pPr>
      <w:keepNext/>
      <w:jc w:val="center"/>
      <w:outlineLvl w:val="1"/>
    </w:pPr>
    <w:rPr>
      <w:b/>
    </w:rPr>
  </w:style>
  <w:style w:type="paragraph" w:styleId="Ttulo3">
    <w:name w:val="heading 3"/>
    <w:basedOn w:val="Normal"/>
    <w:next w:val="Normal"/>
    <w:qFormat/>
    <w:pPr>
      <w:keepNext/>
      <w:jc w:val="center"/>
      <w:outlineLvl w:val="2"/>
    </w:pPr>
    <w:rPr>
      <w:rFonts w:ascii="Tahoma" w:hAnsi="Tahoma" w:cs="Tahoma"/>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pPr>
      <w:overflowPunct w:val="0"/>
      <w:autoSpaceDE w:val="0"/>
      <w:autoSpaceDN w:val="0"/>
      <w:adjustRightInd w:val="0"/>
      <w:ind w:right="902"/>
      <w:textAlignment w:val="baseline"/>
    </w:pPr>
    <w:rPr>
      <w:rFonts w:ascii="Verdana" w:hAnsi="Verdana"/>
      <w:sz w:val="18"/>
      <w:lang w:val="es-CO"/>
    </w:rPr>
  </w:style>
  <w:style w:type="paragraph" w:styleId="Sangra3detindependiente">
    <w:name w:val="Body Text Indent 3"/>
    <w:basedOn w:val="Normal"/>
    <w:pPr>
      <w:overflowPunct w:val="0"/>
      <w:autoSpaceDE w:val="0"/>
      <w:autoSpaceDN w:val="0"/>
      <w:adjustRightInd w:val="0"/>
      <w:ind w:left="709" w:hanging="349"/>
      <w:jc w:val="both"/>
      <w:textAlignment w:val="baseline"/>
    </w:pPr>
    <w:rPr>
      <w:rFonts w:ascii="Tahoma" w:hAnsi="Tahoma" w:cs="Tahoma"/>
      <w:bCs/>
      <w:sz w:val="22"/>
      <w:lang w:val="es-CO"/>
    </w:rPr>
  </w:style>
  <w:style w:type="paragraph" w:styleId="Textoindependiente">
    <w:name w:val="Body Text"/>
    <w:basedOn w:val="Normal"/>
    <w:pPr>
      <w:jc w:val="both"/>
    </w:pPr>
    <w:rPr>
      <w:rFonts w:ascii="Tahoma" w:hAnsi="Tahoma" w:cs="Tahoma"/>
      <w:iCs/>
      <w:sz w:val="18"/>
    </w:rPr>
  </w:style>
  <w:style w:type="paragraph" w:customStyle="1" w:styleId="BodyText31">
    <w:name w:val="Body Text 31"/>
    <w:basedOn w:val="Normal"/>
    <w:pPr>
      <w:widowControl w:val="0"/>
      <w:overflowPunct w:val="0"/>
      <w:autoSpaceDE w:val="0"/>
      <w:autoSpaceDN w:val="0"/>
      <w:adjustRightInd w:val="0"/>
      <w:jc w:val="both"/>
      <w:textAlignment w:val="baseline"/>
    </w:pPr>
    <w:rPr>
      <w:b/>
      <w:sz w:val="24"/>
      <w:lang w:val="es-CO"/>
    </w:rPr>
  </w:style>
  <w:style w:type="character" w:customStyle="1" w:styleId="InitialStyle">
    <w:name w:val="InitialStyle"/>
    <w:rPr>
      <w:rFonts w:ascii="Courier New" w:hAnsi="Courier New"/>
      <w:color w:val="auto"/>
      <w:spacing w:val="0"/>
      <w:sz w:val="28"/>
    </w:rPr>
  </w:style>
  <w:style w:type="paragraph" w:styleId="Textoindependiente2">
    <w:name w:val="Body Text 2"/>
    <w:basedOn w:val="Normal"/>
    <w:rsid w:val="003227FD"/>
    <w:pPr>
      <w:spacing w:after="120" w:line="480" w:lineRule="auto"/>
    </w:pPr>
  </w:style>
  <w:style w:type="paragraph" w:styleId="Encabezado">
    <w:name w:val="header"/>
    <w:aliases w:val="Encabezado1,encabezado,Encabezado Car,Encabezado Car Car Car Car Car,Encabezado Car Car Car"/>
    <w:basedOn w:val="Normal"/>
    <w:link w:val="EncabezadoCar1"/>
    <w:rsid w:val="00A2785C"/>
    <w:pPr>
      <w:tabs>
        <w:tab w:val="center" w:pos="4252"/>
        <w:tab w:val="right" w:pos="8504"/>
      </w:tabs>
    </w:pPr>
  </w:style>
  <w:style w:type="paragraph" w:styleId="Piedepgina">
    <w:name w:val="footer"/>
    <w:basedOn w:val="Normal"/>
    <w:link w:val="PiedepginaCar"/>
    <w:uiPriority w:val="99"/>
    <w:rsid w:val="00A2785C"/>
    <w:pPr>
      <w:tabs>
        <w:tab w:val="center" w:pos="4252"/>
        <w:tab w:val="right" w:pos="8504"/>
      </w:tabs>
    </w:pPr>
  </w:style>
  <w:style w:type="character" w:styleId="Nmerodepgina">
    <w:name w:val="page number"/>
    <w:basedOn w:val="Fuentedeprrafopredeter"/>
    <w:rsid w:val="0080773A"/>
  </w:style>
  <w:style w:type="paragraph" w:styleId="NormalWeb">
    <w:name w:val="Normal (Web)"/>
    <w:basedOn w:val="Normal"/>
    <w:uiPriority w:val="99"/>
    <w:rsid w:val="00BA450F"/>
    <w:pPr>
      <w:spacing w:before="100" w:beforeAutospacing="1" w:after="100" w:afterAutospacing="1"/>
    </w:pPr>
    <w:rPr>
      <w:rFonts w:ascii="Arial Unicode MS" w:eastAsia="Arial Unicode MS" w:hAnsi="Arial Unicode MS" w:cs="Arial Unicode MS"/>
      <w:sz w:val="24"/>
      <w:szCs w:val="24"/>
    </w:rPr>
  </w:style>
  <w:style w:type="character" w:styleId="Refdecomentario">
    <w:name w:val="annotation reference"/>
    <w:uiPriority w:val="99"/>
    <w:semiHidden/>
    <w:rsid w:val="00885E7D"/>
    <w:rPr>
      <w:sz w:val="16"/>
      <w:szCs w:val="16"/>
    </w:rPr>
  </w:style>
  <w:style w:type="paragraph" w:styleId="Textocomentario">
    <w:name w:val="annotation text"/>
    <w:basedOn w:val="Normal"/>
    <w:link w:val="TextocomentarioCar"/>
    <w:rsid w:val="00885E7D"/>
  </w:style>
  <w:style w:type="paragraph" w:styleId="Asuntodelcomentario">
    <w:name w:val="annotation subject"/>
    <w:basedOn w:val="Textocomentario"/>
    <w:next w:val="Textocomentario"/>
    <w:semiHidden/>
    <w:rsid w:val="00885E7D"/>
    <w:rPr>
      <w:b/>
      <w:bCs/>
    </w:rPr>
  </w:style>
  <w:style w:type="paragraph" w:styleId="Textodeglobo">
    <w:name w:val="Balloon Text"/>
    <w:basedOn w:val="Normal"/>
    <w:semiHidden/>
    <w:rsid w:val="00885E7D"/>
    <w:rPr>
      <w:rFonts w:ascii="Tahoma" w:hAnsi="Tahoma" w:cs="Tahoma"/>
      <w:sz w:val="16"/>
      <w:szCs w:val="16"/>
    </w:rPr>
  </w:style>
  <w:style w:type="paragraph" w:customStyle="1" w:styleId="ColorfulList-Accent11">
    <w:name w:val="Colorful List - Accent 11"/>
    <w:aliases w:val="Normal. Viñetas"/>
    <w:basedOn w:val="Normal"/>
    <w:link w:val="Listavistosa-nfasis1Car"/>
    <w:uiPriority w:val="34"/>
    <w:qFormat/>
    <w:rsid w:val="009C537F"/>
    <w:pPr>
      <w:spacing w:after="200" w:line="276" w:lineRule="auto"/>
      <w:ind w:left="720"/>
      <w:contextualSpacing/>
    </w:pPr>
    <w:rPr>
      <w:rFonts w:ascii="Calibri" w:hAnsi="Calibri"/>
      <w:sz w:val="22"/>
      <w:szCs w:val="22"/>
      <w:lang w:val="es-CO" w:eastAsia="es-CO"/>
    </w:rPr>
  </w:style>
  <w:style w:type="paragraph" w:customStyle="1" w:styleId="Default">
    <w:name w:val="Default"/>
    <w:rsid w:val="00DF1E66"/>
    <w:pPr>
      <w:autoSpaceDE w:val="0"/>
      <w:autoSpaceDN w:val="0"/>
      <w:adjustRightInd w:val="0"/>
    </w:pPr>
    <w:rPr>
      <w:rFonts w:ascii="Arial" w:hAnsi="Arial" w:cs="Arial"/>
      <w:color w:val="000000"/>
      <w:sz w:val="24"/>
      <w:szCs w:val="24"/>
    </w:rPr>
  </w:style>
  <w:style w:type="paragraph" w:customStyle="1" w:styleId="Cuerpo">
    <w:name w:val="Cuerpo"/>
    <w:rsid w:val="00DF1E6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PiedepginaCar">
    <w:name w:val="Pie de página Car"/>
    <w:link w:val="Piedepgina"/>
    <w:uiPriority w:val="99"/>
    <w:rsid w:val="00B4178F"/>
    <w:rPr>
      <w:rFonts w:ascii="Arial" w:hAnsi="Arial"/>
      <w:lang w:val="es-ES" w:eastAsia="es-ES"/>
    </w:rPr>
  </w:style>
  <w:style w:type="paragraph" w:customStyle="1" w:styleId="xmsonormal">
    <w:name w:val="x_msonormal"/>
    <w:basedOn w:val="Normal"/>
    <w:rsid w:val="00715DD5"/>
    <w:pPr>
      <w:spacing w:before="100" w:beforeAutospacing="1" w:after="100" w:afterAutospacing="1"/>
    </w:pPr>
    <w:rPr>
      <w:rFonts w:ascii="Times New Roman" w:hAnsi="Times New Roman"/>
      <w:sz w:val="24"/>
      <w:szCs w:val="24"/>
      <w:lang w:val="es-CO" w:eastAsia="es-CO"/>
    </w:rPr>
  </w:style>
  <w:style w:type="paragraph" w:customStyle="1" w:styleId="xmsolistparagraph">
    <w:name w:val="x_msolistparagraph"/>
    <w:basedOn w:val="Normal"/>
    <w:rsid w:val="00715DD5"/>
    <w:pPr>
      <w:spacing w:before="100" w:beforeAutospacing="1" w:after="100" w:afterAutospacing="1"/>
    </w:pPr>
    <w:rPr>
      <w:rFonts w:ascii="Times New Roman" w:hAnsi="Times New Roman"/>
      <w:sz w:val="24"/>
      <w:szCs w:val="24"/>
      <w:lang w:val="es-CO" w:eastAsia="es-CO"/>
    </w:rPr>
  </w:style>
  <w:style w:type="character" w:customStyle="1" w:styleId="apple-converted-space">
    <w:name w:val="apple-converted-space"/>
    <w:basedOn w:val="Fuentedeprrafopredeter"/>
    <w:rsid w:val="00715DD5"/>
  </w:style>
  <w:style w:type="paragraph" w:customStyle="1" w:styleId="xcuerpo">
    <w:name w:val="x_cuerpo"/>
    <w:basedOn w:val="Normal"/>
    <w:rsid w:val="00715DD5"/>
    <w:pPr>
      <w:spacing w:before="100" w:beforeAutospacing="1" w:after="100" w:afterAutospacing="1"/>
    </w:pPr>
    <w:rPr>
      <w:rFonts w:ascii="Times New Roman" w:hAnsi="Times New Roman"/>
      <w:sz w:val="24"/>
      <w:szCs w:val="24"/>
      <w:lang w:val="es-CO" w:eastAsia="es-CO"/>
    </w:rPr>
  </w:style>
  <w:style w:type="paragraph" w:styleId="Textonotapie">
    <w:name w:val="footnote text"/>
    <w:aliases w:val="texto de nota al pie,Nota a pie/Bibliog,Texto nota pie Car Car,texto de nota al pie Car Car,ft Car Car Car,Texto nota pie Car1 Car,Texto nota pie Car Car Car,texto de nota al pie Car Car Car Car,Car,ft,Texto nota pie Car1, Car,FA Fu,Ca,fn"/>
    <w:basedOn w:val="Normal"/>
    <w:link w:val="TextonotapieCar"/>
    <w:uiPriority w:val="99"/>
    <w:qFormat/>
    <w:rsid w:val="00925058"/>
    <w:rPr>
      <w:rFonts w:ascii="Times" w:eastAsia="Times" w:hAnsi="Times"/>
      <w:lang w:val="en-US"/>
    </w:rPr>
  </w:style>
  <w:style w:type="character" w:customStyle="1" w:styleId="TextonotapieCar">
    <w:name w:val="Texto nota pie Car"/>
    <w:aliases w:val="texto de nota al pie Car,Nota a pie/Bibliog Car,Texto nota pie Car Car Car1,texto de nota al pie Car Car Car,ft Car Car Car Car,Texto nota pie Car1 Car Car,Texto nota pie Car Car Car Car,texto de nota al pie Car Car Car Car Car,ft Car"/>
    <w:link w:val="Textonotapie"/>
    <w:uiPriority w:val="99"/>
    <w:qFormat/>
    <w:rsid w:val="00925058"/>
    <w:rPr>
      <w:rFonts w:ascii="Times" w:eastAsia="Times" w:hAnsi="Times"/>
      <w:lang w:val="en-US" w:eastAsia="es-ES"/>
    </w:rPr>
  </w:style>
  <w:style w:type="character" w:styleId="Refdenotaalpie">
    <w:name w:val="footnote reference"/>
    <w:aliases w:val="referencia nota al pie,Ref. de nota al pie 2,Nota de pie,Texto nota al pie,Appel note de bas de page,Texto de nota al pie,Pie de Página,FC,Ref. de nota al pie2,Footnotes refss,Footnote number,BVI fnr,Fago Fußnotenzeichen,4_G,16 Point"/>
    <w:link w:val="Piedepagina"/>
    <w:uiPriority w:val="99"/>
    <w:qFormat/>
    <w:rsid w:val="00925058"/>
    <w:rPr>
      <w:vertAlign w:val="superscript"/>
    </w:rPr>
  </w:style>
  <w:style w:type="paragraph" w:customStyle="1" w:styleId="MediumGrid21">
    <w:name w:val="Medium Grid 21"/>
    <w:qFormat/>
    <w:rsid w:val="00236F62"/>
    <w:rPr>
      <w:rFonts w:ascii="Calibri" w:eastAsia="Calibri" w:hAnsi="Calibri"/>
      <w:sz w:val="22"/>
      <w:szCs w:val="22"/>
      <w:lang w:eastAsia="en-US"/>
    </w:rPr>
  </w:style>
  <w:style w:type="character" w:styleId="Textoennegrita">
    <w:name w:val="Strong"/>
    <w:uiPriority w:val="22"/>
    <w:qFormat/>
    <w:rsid w:val="002D2CB2"/>
    <w:rPr>
      <w:b/>
      <w:bCs/>
    </w:rPr>
  </w:style>
  <w:style w:type="paragraph" w:styleId="Ttulo">
    <w:name w:val="Title"/>
    <w:basedOn w:val="Normal"/>
    <w:link w:val="TtuloCar"/>
    <w:qFormat/>
    <w:rsid w:val="00AE03F3"/>
    <w:pPr>
      <w:jc w:val="center"/>
    </w:pPr>
    <w:rPr>
      <w:rFonts w:cs="Arial"/>
      <w:b/>
      <w:bCs/>
      <w:sz w:val="32"/>
      <w:szCs w:val="24"/>
    </w:rPr>
  </w:style>
  <w:style w:type="character" w:customStyle="1" w:styleId="TtuloCar">
    <w:name w:val="Título Car"/>
    <w:link w:val="Ttulo"/>
    <w:rsid w:val="00AE03F3"/>
    <w:rPr>
      <w:rFonts w:ascii="Arial" w:hAnsi="Arial" w:cs="Arial"/>
      <w:b/>
      <w:bCs/>
      <w:sz w:val="32"/>
      <w:szCs w:val="24"/>
      <w:lang w:val="es-ES" w:eastAsia="es-ES"/>
    </w:rPr>
  </w:style>
  <w:style w:type="character" w:customStyle="1" w:styleId="Listavistosa-nfasis1Car">
    <w:name w:val="Lista vistosa - Énfasis 1 Car"/>
    <w:aliases w:val="Normal. Viñetas Car"/>
    <w:link w:val="ColorfulList-Accent11"/>
    <w:uiPriority w:val="34"/>
    <w:locked/>
    <w:rsid w:val="005629D0"/>
    <w:rPr>
      <w:rFonts w:ascii="Calibri" w:hAnsi="Calibri"/>
      <w:sz w:val="22"/>
      <w:szCs w:val="22"/>
    </w:rPr>
  </w:style>
  <w:style w:type="character" w:styleId="Hipervnculo">
    <w:name w:val="Hyperlink"/>
    <w:uiPriority w:val="99"/>
    <w:unhideWhenUsed/>
    <w:rsid w:val="00F80E07"/>
    <w:rPr>
      <w:color w:val="0000FF"/>
      <w:u w:val="single"/>
    </w:rPr>
  </w:style>
  <w:style w:type="table" w:styleId="Tablaconcuadrcula">
    <w:name w:val="Table Grid"/>
    <w:basedOn w:val="Tablanormal"/>
    <w:rsid w:val="00350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1">
    <w:name w:val="Encabezado Car1"/>
    <w:aliases w:val="Encabezado1 Car,encabezado Car,Encabezado Car Car,Encabezado Car Car Car Car Car Car,Encabezado Car Car Car Car"/>
    <w:link w:val="Encabezado"/>
    <w:uiPriority w:val="99"/>
    <w:locked/>
    <w:rsid w:val="00503F05"/>
    <w:rPr>
      <w:rFonts w:ascii="Arial" w:hAnsi="Arial"/>
      <w:lang w:val="es-ES" w:eastAsia="es-ES"/>
    </w:rPr>
  </w:style>
  <w:style w:type="paragraph" w:customStyle="1" w:styleId="TableParagraph">
    <w:name w:val="Table Paragraph"/>
    <w:basedOn w:val="Normal"/>
    <w:uiPriority w:val="1"/>
    <w:qFormat/>
    <w:rsid w:val="006512F3"/>
    <w:pPr>
      <w:widowControl w:val="0"/>
      <w:autoSpaceDE w:val="0"/>
      <w:autoSpaceDN w:val="0"/>
    </w:pPr>
    <w:rPr>
      <w:rFonts w:ascii="Arial MT" w:eastAsia="Arial MT" w:hAnsi="Arial MT" w:cs="Arial MT"/>
      <w:sz w:val="22"/>
      <w:szCs w:val="22"/>
      <w:lang w:eastAsia="en-US"/>
    </w:rPr>
  </w:style>
  <w:style w:type="paragraph" w:customStyle="1" w:styleId="epgrafe">
    <w:name w:val="epgrafe"/>
    <w:basedOn w:val="Normal"/>
    <w:rsid w:val="00E166C0"/>
    <w:pPr>
      <w:spacing w:before="100" w:beforeAutospacing="1" w:after="100" w:afterAutospacing="1"/>
    </w:pPr>
    <w:rPr>
      <w:rFonts w:ascii="Times New Roman" w:eastAsia="Calibri" w:hAnsi="Times New Roman"/>
      <w:sz w:val="24"/>
      <w:szCs w:val="24"/>
    </w:rPr>
  </w:style>
  <w:style w:type="paragraph" w:styleId="Prrafodelista">
    <w:name w:val="List Paragraph"/>
    <w:basedOn w:val="Normal"/>
    <w:uiPriority w:val="34"/>
    <w:qFormat/>
    <w:rsid w:val="00132770"/>
    <w:pPr>
      <w:ind w:left="708"/>
    </w:pPr>
  </w:style>
  <w:style w:type="paragraph" w:styleId="Descripcin">
    <w:name w:val="caption"/>
    <w:basedOn w:val="Normal"/>
    <w:next w:val="Normal"/>
    <w:link w:val="DescripcinCar"/>
    <w:uiPriority w:val="35"/>
    <w:unhideWhenUsed/>
    <w:qFormat/>
    <w:rsid w:val="00E81564"/>
    <w:pPr>
      <w:spacing w:after="160"/>
    </w:pPr>
    <w:rPr>
      <w:rFonts w:ascii="Aptos" w:hAnsi="Aptos"/>
      <w:b/>
      <w:bCs/>
      <w:color w:val="404040"/>
      <w:sz w:val="16"/>
      <w:szCs w:val="16"/>
      <w:lang w:eastAsia="ja-JP"/>
    </w:rPr>
  </w:style>
  <w:style w:type="character" w:customStyle="1" w:styleId="DescripcinCar">
    <w:name w:val="Descripción Car"/>
    <w:link w:val="Descripcin"/>
    <w:uiPriority w:val="35"/>
    <w:rsid w:val="00E81564"/>
    <w:rPr>
      <w:rFonts w:ascii="Aptos" w:hAnsi="Aptos"/>
      <w:b/>
      <w:bCs/>
      <w:color w:val="404040"/>
      <w:sz w:val="16"/>
      <w:szCs w:val="16"/>
      <w:lang w:val="es-ES" w:eastAsia="ja-JP"/>
    </w:rPr>
  </w:style>
  <w:style w:type="character" w:customStyle="1" w:styleId="TextocomentarioCar">
    <w:name w:val="Texto comentario Car"/>
    <w:link w:val="Textocomentario"/>
    <w:rsid w:val="00E81564"/>
    <w:rPr>
      <w:rFonts w:ascii="Arial" w:hAnsi="Arial"/>
      <w:lang w:val="es-ES" w:eastAsia="es-ES"/>
    </w:rPr>
  </w:style>
  <w:style w:type="character" w:customStyle="1" w:styleId="Mencinsinresolver1">
    <w:name w:val="Mención sin resolver1"/>
    <w:uiPriority w:val="99"/>
    <w:semiHidden/>
    <w:unhideWhenUsed/>
    <w:rsid w:val="00750870"/>
    <w:rPr>
      <w:color w:val="605E5C"/>
      <w:shd w:val="clear" w:color="auto" w:fill="E1DFDD"/>
    </w:rPr>
  </w:style>
  <w:style w:type="paragraph" w:customStyle="1" w:styleId="Piedepagina">
    <w:name w:val="Pie de pagina"/>
    <w:basedOn w:val="Normal"/>
    <w:link w:val="Refdenotaalpie"/>
    <w:uiPriority w:val="99"/>
    <w:rsid w:val="00B966D0"/>
    <w:pPr>
      <w:spacing w:line="240" w:lineRule="exact"/>
      <w:jc w:val="both"/>
    </w:pPr>
    <w:rPr>
      <w:rFonts w:ascii="Times New Roman" w:hAnsi="Times New Roman"/>
      <w:vertAlign w:val="superscript"/>
      <w:lang w:val="es-MX" w:eastAsia="es-MX"/>
    </w:rPr>
  </w:style>
  <w:style w:type="paragraph" w:styleId="Revisin">
    <w:name w:val="Revision"/>
    <w:hidden/>
    <w:uiPriority w:val="71"/>
    <w:rsid w:val="00A72D56"/>
    <w:rPr>
      <w:rFonts w:ascii="Arial" w:hAnsi="Aria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02851">
      <w:bodyDiv w:val="1"/>
      <w:marLeft w:val="0"/>
      <w:marRight w:val="0"/>
      <w:marTop w:val="0"/>
      <w:marBottom w:val="0"/>
      <w:divBdr>
        <w:top w:val="none" w:sz="0" w:space="0" w:color="auto"/>
        <w:left w:val="none" w:sz="0" w:space="0" w:color="auto"/>
        <w:bottom w:val="none" w:sz="0" w:space="0" w:color="auto"/>
        <w:right w:val="none" w:sz="0" w:space="0" w:color="auto"/>
      </w:divBdr>
    </w:div>
    <w:div w:id="117531086">
      <w:bodyDiv w:val="1"/>
      <w:marLeft w:val="0"/>
      <w:marRight w:val="0"/>
      <w:marTop w:val="0"/>
      <w:marBottom w:val="0"/>
      <w:divBdr>
        <w:top w:val="none" w:sz="0" w:space="0" w:color="auto"/>
        <w:left w:val="none" w:sz="0" w:space="0" w:color="auto"/>
        <w:bottom w:val="none" w:sz="0" w:space="0" w:color="auto"/>
        <w:right w:val="none" w:sz="0" w:space="0" w:color="auto"/>
      </w:divBdr>
    </w:div>
    <w:div w:id="119764734">
      <w:bodyDiv w:val="1"/>
      <w:marLeft w:val="0"/>
      <w:marRight w:val="0"/>
      <w:marTop w:val="0"/>
      <w:marBottom w:val="0"/>
      <w:divBdr>
        <w:top w:val="none" w:sz="0" w:space="0" w:color="auto"/>
        <w:left w:val="none" w:sz="0" w:space="0" w:color="auto"/>
        <w:bottom w:val="none" w:sz="0" w:space="0" w:color="auto"/>
        <w:right w:val="none" w:sz="0" w:space="0" w:color="auto"/>
      </w:divBdr>
    </w:div>
    <w:div w:id="142163495">
      <w:bodyDiv w:val="1"/>
      <w:marLeft w:val="0"/>
      <w:marRight w:val="0"/>
      <w:marTop w:val="0"/>
      <w:marBottom w:val="0"/>
      <w:divBdr>
        <w:top w:val="none" w:sz="0" w:space="0" w:color="auto"/>
        <w:left w:val="none" w:sz="0" w:space="0" w:color="auto"/>
        <w:bottom w:val="none" w:sz="0" w:space="0" w:color="auto"/>
        <w:right w:val="none" w:sz="0" w:space="0" w:color="auto"/>
      </w:divBdr>
    </w:div>
    <w:div w:id="233511074">
      <w:bodyDiv w:val="1"/>
      <w:marLeft w:val="0"/>
      <w:marRight w:val="0"/>
      <w:marTop w:val="0"/>
      <w:marBottom w:val="0"/>
      <w:divBdr>
        <w:top w:val="none" w:sz="0" w:space="0" w:color="auto"/>
        <w:left w:val="none" w:sz="0" w:space="0" w:color="auto"/>
        <w:bottom w:val="none" w:sz="0" w:space="0" w:color="auto"/>
        <w:right w:val="none" w:sz="0" w:space="0" w:color="auto"/>
      </w:divBdr>
    </w:div>
    <w:div w:id="300577090">
      <w:bodyDiv w:val="1"/>
      <w:marLeft w:val="0"/>
      <w:marRight w:val="0"/>
      <w:marTop w:val="0"/>
      <w:marBottom w:val="0"/>
      <w:divBdr>
        <w:top w:val="none" w:sz="0" w:space="0" w:color="auto"/>
        <w:left w:val="none" w:sz="0" w:space="0" w:color="auto"/>
        <w:bottom w:val="none" w:sz="0" w:space="0" w:color="auto"/>
        <w:right w:val="none" w:sz="0" w:space="0" w:color="auto"/>
      </w:divBdr>
    </w:div>
    <w:div w:id="328604925">
      <w:bodyDiv w:val="1"/>
      <w:marLeft w:val="0"/>
      <w:marRight w:val="0"/>
      <w:marTop w:val="0"/>
      <w:marBottom w:val="0"/>
      <w:divBdr>
        <w:top w:val="none" w:sz="0" w:space="0" w:color="auto"/>
        <w:left w:val="none" w:sz="0" w:space="0" w:color="auto"/>
        <w:bottom w:val="none" w:sz="0" w:space="0" w:color="auto"/>
        <w:right w:val="none" w:sz="0" w:space="0" w:color="auto"/>
      </w:divBdr>
    </w:div>
    <w:div w:id="522674520">
      <w:bodyDiv w:val="1"/>
      <w:marLeft w:val="0"/>
      <w:marRight w:val="0"/>
      <w:marTop w:val="0"/>
      <w:marBottom w:val="0"/>
      <w:divBdr>
        <w:top w:val="none" w:sz="0" w:space="0" w:color="auto"/>
        <w:left w:val="none" w:sz="0" w:space="0" w:color="auto"/>
        <w:bottom w:val="none" w:sz="0" w:space="0" w:color="auto"/>
        <w:right w:val="none" w:sz="0" w:space="0" w:color="auto"/>
      </w:divBdr>
    </w:div>
    <w:div w:id="945967869">
      <w:bodyDiv w:val="1"/>
      <w:marLeft w:val="0"/>
      <w:marRight w:val="0"/>
      <w:marTop w:val="0"/>
      <w:marBottom w:val="0"/>
      <w:divBdr>
        <w:top w:val="none" w:sz="0" w:space="0" w:color="auto"/>
        <w:left w:val="none" w:sz="0" w:space="0" w:color="auto"/>
        <w:bottom w:val="none" w:sz="0" w:space="0" w:color="auto"/>
        <w:right w:val="none" w:sz="0" w:space="0" w:color="auto"/>
      </w:divBdr>
    </w:div>
    <w:div w:id="959460742">
      <w:bodyDiv w:val="1"/>
      <w:marLeft w:val="0"/>
      <w:marRight w:val="0"/>
      <w:marTop w:val="0"/>
      <w:marBottom w:val="0"/>
      <w:divBdr>
        <w:top w:val="none" w:sz="0" w:space="0" w:color="auto"/>
        <w:left w:val="none" w:sz="0" w:space="0" w:color="auto"/>
        <w:bottom w:val="none" w:sz="0" w:space="0" w:color="auto"/>
        <w:right w:val="none" w:sz="0" w:space="0" w:color="auto"/>
      </w:divBdr>
    </w:div>
    <w:div w:id="1134756186">
      <w:bodyDiv w:val="1"/>
      <w:marLeft w:val="0"/>
      <w:marRight w:val="0"/>
      <w:marTop w:val="0"/>
      <w:marBottom w:val="0"/>
      <w:divBdr>
        <w:top w:val="none" w:sz="0" w:space="0" w:color="auto"/>
        <w:left w:val="none" w:sz="0" w:space="0" w:color="auto"/>
        <w:bottom w:val="none" w:sz="0" w:space="0" w:color="auto"/>
        <w:right w:val="none" w:sz="0" w:space="0" w:color="auto"/>
      </w:divBdr>
    </w:div>
    <w:div w:id="1275871350">
      <w:bodyDiv w:val="1"/>
      <w:marLeft w:val="0"/>
      <w:marRight w:val="0"/>
      <w:marTop w:val="0"/>
      <w:marBottom w:val="0"/>
      <w:divBdr>
        <w:top w:val="none" w:sz="0" w:space="0" w:color="auto"/>
        <w:left w:val="none" w:sz="0" w:space="0" w:color="auto"/>
        <w:bottom w:val="none" w:sz="0" w:space="0" w:color="auto"/>
        <w:right w:val="none" w:sz="0" w:space="0" w:color="auto"/>
      </w:divBdr>
    </w:div>
    <w:div w:id="1288660413">
      <w:bodyDiv w:val="1"/>
      <w:marLeft w:val="0"/>
      <w:marRight w:val="0"/>
      <w:marTop w:val="0"/>
      <w:marBottom w:val="0"/>
      <w:divBdr>
        <w:top w:val="none" w:sz="0" w:space="0" w:color="auto"/>
        <w:left w:val="none" w:sz="0" w:space="0" w:color="auto"/>
        <w:bottom w:val="none" w:sz="0" w:space="0" w:color="auto"/>
        <w:right w:val="none" w:sz="0" w:space="0" w:color="auto"/>
      </w:divBdr>
    </w:div>
    <w:div w:id="1355185808">
      <w:bodyDiv w:val="1"/>
      <w:marLeft w:val="0"/>
      <w:marRight w:val="0"/>
      <w:marTop w:val="0"/>
      <w:marBottom w:val="0"/>
      <w:divBdr>
        <w:top w:val="none" w:sz="0" w:space="0" w:color="auto"/>
        <w:left w:val="none" w:sz="0" w:space="0" w:color="auto"/>
        <w:bottom w:val="none" w:sz="0" w:space="0" w:color="auto"/>
        <w:right w:val="none" w:sz="0" w:space="0" w:color="auto"/>
      </w:divBdr>
    </w:div>
    <w:div w:id="1434084038">
      <w:bodyDiv w:val="1"/>
      <w:marLeft w:val="0"/>
      <w:marRight w:val="0"/>
      <w:marTop w:val="0"/>
      <w:marBottom w:val="0"/>
      <w:divBdr>
        <w:top w:val="none" w:sz="0" w:space="0" w:color="auto"/>
        <w:left w:val="none" w:sz="0" w:space="0" w:color="auto"/>
        <w:bottom w:val="none" w:sz="0" w:space="0" w:color="auto"/>
        <w:right w:val="none" w:sz="0" w:space="0" w:color="auto"/>
      </w:divBdr>
    </w:div>
    <w:div w:id="1830633810">
      <w:bodyDiv w:val="1"/>
      <w:marLeft w:val="0"/>
      <w:marRight w:val="0"/>
      <w:marTop w:val="0"/>
      <w:marBottom w:val="0"/>
      <w:divBdr>
        <w:top w:val="none" w:sz="0" w:space="0" w:color="auto"/>
        <w:left w:val="none" w:sz="0" w:space="0" w:color="auto"/>
        <w:bottom w:val="none" w:sz="0" w:space="0" w:color="auto"/>
        <w:right w:val="none" w:sz="0" w:space="0" w:color="auto"/>
      </w:divBdr>
    </w:div>
    <w:div w:id="1856844019">
      <w:bodyDiv w:val="1"/>
      <w:marLeft w:val="0"/>
      <w:marRight w:val="0"/>
      <w:marTop w:val="0"/>
      <w:marBottom w:val="0"/>
      <w:divBdr>
        <w:top w:val="none" w:sz="0" w:space="0" w:color="auto"/>
        <w:left w:val="none" w:sz="0" w:space="0" w:color="auto"/>
        <w:bottom w:val="none" w:sz="0" w:space="0" w:color="auto"/>
        <w:right w:val="none" w:sz="0" w:space="0" w:color="auto"/>
      </w:divBdr>
    </w:div>
    <w:div w:id="1863788015">
      <w:bodyDiv w:val="1"/>
      <w:marLeft w:val="0"/>
      <w:marRight w:val="0"/>
      <w:marTop w:val="0"/>
      <w:marBottom w:val="0"/>
      <w:divBdr>
        <w:top w:val="none" w:sz="0" w:space="0" w:color="auto"/>
        <w:left w:val="none" w:sz="0" w:space="0" w:color="auto"/>
        <w:bottom w:val="none" w:sz="0" w:space="0" w:color="auto"/>
        <w:right w:val="none" w:sz="0" w:space="0" w:color="auto"/>
      </w:divBdr>
    </w:div>
    <w:div w:id="2062749975">
      <w:bodyDiv w:val="1"/>
      <w:marLeft w:val="0"/>
      <w:marRight w:val="0"/>
      <w:marTop w:val="0"/>
      <w:marBottom w:val="0"/>
      <w:divBdr>
        <w:top w:val="none" w:sz="0" w:space="0" w:color="auto"/>
        <w:left w:val="none" w:sz="0" w:space="0" w:color="auto"/>
        <w:bottom w:val="none" w:sz="0" w:space="0" w:color="auto"/>
        <w:right w:val="none" w:sz="0" w:space="0" w:color="auto"/>
      </w:divBdr>
    </w:div>
    <w:div w:id="209855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funcionpublica.gov.co/eva/gestornormativo/norma.php?i=43043"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uncionpublica.gov.co/eva/gestornormativo/norma.php?i=43043" TargetMode="External"/><Relationship Id="rId22" Type="http://schemas.microsoft.com/office/2020/10/relationships/intelligence" Target="intelligence2.xml"/></Relationships>
</file>

<file path=word/_rels/footnotes.xml.rels><?xml version="1.0" encoding="UTF-8" standalone="yes"?>
<Relationships xmlns="http://schemas.openxmlformats.org/package/2006/relationships"><Relationship Id="rId1" Type="http://schemas.openxmlformats.org/officeDocument/2006/relationships/hyperlink" Target="https://www.unidadvictimas.gov.co/registro-unico-de-victimas-ru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AE0355-4ED4-434D-8A2C-B185D8C77B18}">
  <ds:schemaRefs>
    <ds:schemaRef ds:uri="http://schemas.openxmlformats.org/officeDocument/2006/bibliography"/>
  </ds:schemaRefs>
</ds:datastoreItem>
</file>

<file path=customXml/itemProps2.xml><?xml version="1.0" encoding="utf-8"?>
<ds:datastoreItem xmlns:ds="http://schemas.openxmlformats.org/officeDocument/2006/customXml" ds:itemID="{10857C35-8A49-49C0-AD9E-040D374CD594}">
  <ds:schemaRefs>
    <ds:schemaRef ds:uri="http://schemas.microsoft.com/sharepoint/v3/contenttype/forms"/>
  </ds:schemaRefs>
</ds:datastoreItem>
</file>

<file path=customXml/itemProps3.xml><?xml version="1.0" encoding="utf-8"?>
<ds:datastoreItem xmlns:ds="http://schemas.openxmlformats.org/officeDocument/2006/customXml" ds:itemID="{EC79936D-62B3-4B69-8CEF-1A78E7BC8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2feb8-0f39-460c-8ce2-c9fa6dbbca38"/>
    <ds:schemaRef ds:uri="15ee4c61-c8b0-4b12-9c43-d8fef0b1e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5EDEED-CD16-4D95-8EC2-80774B1EAABD}">
  <ds:schemaRefs>
    <ds:schemaRef ds:uri="http://schemas.microsoft.com/office/2006/metadata/longProperties"/>
  </ds:schemaRefs>
</ds:datastoreItem>
</file>

<file path=customXml/itemProps5.xml><?xml version="1.0" encoding="utf-8"?>
<ds:datastoreItem xmlns:ds="http://schemas.openxmlformats.org/officeDocument/2006/customXml" ds:itemID="{2A045782-B6C1-4CD2-B8A2-73A1224DE1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10146</Words>
  <Characters>55808</Characters>
  <Application>Microsoft Office Word</Application>
  <DocSecurity>0</DocSecurity>
  <Lines>465</Lines>
  <Paragraphs>131</Paragraphs>
  <ScaleCrop>false</ScaleCrop>
  <Company>dafp</Company>
  <LinksUpToDate>false</LinksUpToDate>
  <CharactersWithSpaces>65823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de sistemas</dc:creator>
  <cp:keywords/>
  <cp:lastModifiedBy>Jose Alejandro Bayona Chaparro</cp:lastModifiedBy>
  <cp:revision>6</cp:revision>
  <cp:lastPrinted>2019-07-09T02:30:00Z</cp:lastPrinted>
  <dcterms:created xsi:type="dcterms:W3CDTF">2024-12-02T18:58:00Z</dcterms:created>
  <dcterms:modified xsi:type="dcterms:W3CDTF">2024-12-02T19:03:00Z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Isidro Melquicedec Bastidas Yela</vt:lpwstr>
  </property>
  <property fmtid="{D5CDD505-2E9C-101B-9397-08002B2CF9AE}" pid="3" name="Order">
    <vt:lpwstr>1457500.00000000</vt:lpwstr>
  </property>
  <property fmtid="{D5CDD505-2E9C-101B-9397-08002B2CF9AE}" pid="4" name="ComplianceAssetId">
    <vt:lpwstr/>
  </property>
  <property fmtid="{D5CDD505-2E9C-101B-9397-08002B2CF9AE}" pid="5" name="display_urn:schemas-microsoft-com:office:office#Author">
    <vt:lpwstr>Isidro Melquicedec Bastidas Yela</vt:lpwstr>
  </property>
  <property fmtid="{D5CDD505-2E9C-101B-9397-08002B2CF9AE}" pid="6" name="_ExtendedDescription">
    <vt:lpwstr/>
  </property>
  <property fmtid="{D5CDD505-2E9C-101B-9397-08002B2CF9AE}" pid="7" name="SharedWithUsers">
    <vt:lpwstr/>
  </property>
  <property fmtid="{D5CDD505-2E9C-101B-9397-08002B2CF9AE}" pid="8" name="ContentTypeId">
    <vt:lpwstr>0x010100D835003687882147BC791134D3DD2016</vt:lpwstr>
  </property>
  <property fmtid="{D5CDD505-2E9C-101B-9397-08002B2CF9AE}" pid="9" name="TriggerFlowInfo">
    <vt:lpwstr/>
  </property>
  <property fmtid="{D5CDD505-2E9C-101B-9397-08002B2CF9AE}" pid="10" name="MediaLengthInSeconds">
    <vt:lpwstr/>
  </property>
</Properties>
</file>