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8"/>
      </w:tblGrid>
      <w:tr w:rsidR="005C4522" w:rsidRPr="009F7CED" w:rsidTr="00184400">
        <w:tblPrEx>
          <w:tblCellMar>
            <w:top w:w="0" w:type="dxa"/>
            <w:bottom w:w="0" w:type="dxa"/>
          </w:tblCellMar>
        </w:tblPrEx>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26513E" w:rsidRPr="00D965B1" w:rsidRDefault="00795C6B" w:rsidP="00F1155A">
            <w:pPr>
              <w:pStyle w:val="Ttulo2"/>
              <w:ind w:right="49"/>
              <w:jc w:val="left"/>
              <w:rPr>
                <w:rFonts w:cs="Arial"/>
                <w:bCs/>
                <w:color w:val="FFFFFF"/>
                <w:sz w:val="22"/>
                <w:szCs w:val="22"/>
              </w:rPr>
            </w:pPr>
            <w:r w:rsidRPr="00D965B1">
              <w:rPr>
                <w:rFonts w:cs="Arial"/>
                <w:color w:val="FFFFFF"/>
                <w:sz w:val="22"/>
                <w:szCs w:val="22"/>
                <w:lang w:val="es-CO"/>
              </w:rPr>
              <w:t>Entidad</w:t>
            </w:r>
            <w:r w:rsidR="00086B16" w:rsidRPr="00D965B1">
              <w:rPr>
                <w:rFonts w:cs="Arial"/>
                <w:color w:val="FFFFFF"/>
                <w:sz w:val="22"/>
                <w:szCs w:val="22"/>
                <w:lang w:val="es-CO"/>
              </w:rPr>
              <w:t xml:space="preserve"> </w:t>
            </w:r>
            <w:r w:rsidRPr="00D965B1">
              <w:rPr>
                <w:rFonts w:cs="Arial"/>
                <w:color w:val="FFFFFF"/>
                <w:sz w:val="22"/>
                <w:szCs w:val="22"/>
                <w:lang w:val="es-CO"/>
              </w:rPr>
              <w:t>originadora</w:t>
            </w:r>
            <w:r w:rsidR="00293F29" w:rsidRPr="00D965B1">
              <w:rPr>
                <w:rFonts w:cs="Arial"/>
                <w:color w:val="FFFFFF"/>
                <w:sz w:val="22"/>
                <w:szCs w:val="22"/>
                <w:lang w:val="es-CO"/>
              </w:rPr>
              <w:t>:</w:t>
            </w:r>
          </w:p>
        </w:tc>
        <w:tc>
          <w:tcPr>
            <w:tcW w:w="7339" w:type="dxa"/>
            <w:gridSpan w:val="2"/>
            <w:tcBorders>
              <w:top w:val="single" w:sz="4" w:space="0" w:color="auto"/>
              <w:left w:val="single" w:sz="4" w:space="0" w:color="auto"/>
              <w:bottom w:val="single" w:sz="4" w:space="0" w:color="auto"/>
            </w:tcBorders>
            <w:shd w:val="clear" w:color="auto" w:fill="FFFFFF"/>
            <w:vAlign w:val="center"/>
          </w:tcPr>
          <w:p w:rsidR="0026513E" w:rsidRPr="0049040C" w:rsidRDefault="0049040C" w:rsidP="00AC202E">
            <w:pPr>
              <w:pStyle w:val="Ttulo2"/>
              <w:ind w:right="49"/>
              <w:jc w:val="left"/>
              <w:rPr>
                <w:rFonts w:cs="Arial"/>
                <w:b w:val="0"/>
                <w:i/>
                <w:sz w:val="22"/>
                <w:szCs w:val="22"/>
              </w:rPr>
            </w:pPr>
            <w:r w:rsidRPr="0049040C">
              <w:rPr>
                <w:rFonts w:cs="Arial"/>
                <w:b w:val="0"/>
                <w:i/>
                <w:sz w:val="22"/>
                <w:szCs w:val="22"/>
              </w:rPr>
              <w:t>Ministerio de Vivienda, Ciudad y Territorio</w:t>
            </w:r>
          </w:p>
        </w:tc>
      </w:tr>
      <w:tr w:rsidR="005C4522" w:rsidRPr="009F7CED" w:rsidTr="00184400">
        <w:tblPrEx>
          <w:tblCellMar>
            <w:top w:w="0" w:type="dxa"/>
            <w:bottom w:w="0" w:type="dxa"/>
          </w:tblCellMar>
        </w:tblPrEx>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C47F73" w:rsidRPr="00D965B1" w:rsidRDefault="0026513E" w:rsidP="00F1155A">
            <w:pPr>
              <w:pStyle w:val="Ttulo2"/>
              <w:ind w:right="49"/>
              <w:jc w:val="left"/>
              <w:rPr>
                <w:rFonts w:cs="Arial"/>
                <w:bCs/>
                <w:color w:val="FFFFFF"/>
                <w:sz w:val="22"/>
                <w:szCs w:val="22"/>
              </w:rPr>
            </w:pPr>
            <w:r w:rsidRPr="00D965B1">
              <w:rPr>
                <w:rFonts w:cs="Arial"/>
                <w:bCs/>
                <w:color w:val="FFFFFF"/>
                <w:sz w:val="22"/>
                <w:szCs w:val="22"/>
              </w:rPr>
              <w:t>Fecha</w:t>
            </w:r>
            <w:r w:rsidR="00BB545F" w:rsidRPr="00D965B1">
              <w:rPr>
                <w:rFonts w:cs="Arial"/>
                <w:bCs/>
                <w:color w:val="FFFFFF"/>
                <w:sz w:val="22"/>
                <w:szCs w:val="22"/>
              </w:rPr>
              <w:t xml:space="preserve"> (dd/mm/aa)</w:t>
            </w:r>
            <w:r w:rsidR="00293F29" w:rsidRPr="00D965B1">
              <w:rPr>
                <w:rFonts w:cs="Arial"/>
                <w:bCs/>
                <w:color w:val="FFFFFF"/>
                <w:sz w:val="22"/>
                <w:szCs w:val="22"/>
              </w:rPr>
              <w:t>:</w:t>
            </w:r>
          </w:p>
        </w:tc>
        <w:tc>
          <w:tcPr>
            <w:tcW w:w="7339" w:type="dxa"/>
            <w:gridSpan w:val="2"/>
            <w:tcBorders>
              <w:top w:val="single" w:sz="4" w:space="0" w:color="auto"/>
              <w:left w:val="single" w:sz="4" w:space="0" w:color="auto"/>
              <w:bottom w:val="single" w:sz="4" w:space="0" w:color="auto"/>
            </w:tcBorders>
            <w:shd w:val="clear" w:color="auto" w:fill="FFFFFF"/>
            <w:vAlign w:val="center"/>
          </w:tcPr>
          <w:p w:rsidR="00C47F73" w:rsidRPr="00295700" w:rsidRDefault="00295700" w:rsidP="00AC202E">
            <w:pPr>
              <w:pStyle w:val="Ttulo2"/>
              <w:ind w:right="49"/>
              <w:jc w:val="left"/>
              <w:rPr>
                <w:rFonts w:cs="Arial"/>
                <w:b w:val="0"/>
                <w:sz w:val="22"/>
                <w:szCs w:val="22"/>
              </w:rPr>
            </w:pPr>
            <w:r w:rsidRPr="00295700">
              <w:rPr>
                <w:rFonts w:cs="Arial"/>
                <w:b w:val="0"/>
                <w:sz w:val="22"/>
                <w:szCs w:val="22"/>
              </w:rPr>
              <w:t xml:space="preserve">Febrero </w:t>
            </w:r>
            <w:r w:rsidR="0049040C" w:rsidRPr="00295700">
              <w:rPr>
                <w:rFonts w:cs="Arial"/>
                <w:b w:val="0"/>
                <w:sz w:val="22"/>
                <w:szCs w:val="22"/>
              </w:rPr>
              <w:t>202</w:t>
            </w:r>
            <w:r w:rsidR="00266C75">
              <w:rPr>
                <w:rFonts w:cs="Arial"/>
                <w:b w:val="0"/>
                <w:sz w:val="22"/>
                <w:szCs w:val="22"/>
              </w:rPr>
              <w:t>2</w:t>
            </w:r>
          </w:p>
        </w:tc>
      </w:tr>
      <w:tr w:rsidR="005C4522" w:rsidRPr="009F7CED" w:rsidTr="00184400">
        <w:tblPrEx>
          <w:tblCellMar>
            <w:top w:w="0" w:type="dxa"/>
            <w:bottom w:w="0" w:type="dxa"/>
          </w:tblCellMar>
        </w:tblPrEx>
        <w:trPr>
          <w:trHeight w:val="97"/>
        </w:trPr>
        <w:tc>
          <w:tcPr>
            <w:tcW w:w="3434" w:type="dxa"/>
            <w:tcBorders>
              <w:top w:val="single" w:sz="4" w:space="0" w:color="auto"/>
              <w:bottom w:val="single" w:sz="4" w:space="0" w:color="auto"/>
              <w:right w:val="single" w:sz="4" w:space="0" w:color="auto"/>
            </w:tcBorders>
            <w:shd w:val="clear" w:color="auto" w:fill="5B8AFF"/>
            <w:vAlign w:val="center"/>
          </w:tcPr>
          <w:p w:rsidR="0059316B" w:rsidRPr="00B210D2" w:rsidRDefault="00A55DB6" w:rsidP="00B210D2">
            <w:pPr>
              <w:pStyle w:val="Ttulo2"/>
              <w:ind w:right="49"/>
              <w:jc w:val="left"/>
              <w:rPr>
                <w:rFonts w:cs="Arial"/>
                <w:bCs/>
                <w:color w:val="FFFFFF"/>
                <w:sz w:val="22"/>
                <w:szCs w:val="22"/>
              </w:rPr>
            </w:pPr>
            <w:r w:rsidRPr="00B210D2">
              <w:rPr>
                <w:rFonts w:cs="Arial"/>
                <w:bCs/>
                <w:color w:val="FFFFFF"/>
                <w:sz w:val="22"/>
                <w:szCs w:val="22"/>
              </w:rPr>
              <w:t xml:space="preserve">Proyecto de </w:t>
            </w:r>
            <w:r w:rsidR="00587695" w:rsidRPr="00B210D2">
              <w:rPr>
                <w:rFonts w:cs="Arial"/>
                <w:bCs/>
                <w:color w:val="FFFFFF"/>
                <w:sz w:val="22"/>
                <w:szCs w:val="22"/>
              </w:rPr>
              <w:t>D</w:t>
            </w:r>
            <w:r w:rsidRPr="00B210D2">
              <w:rPr>
                <w:rFonts w:cs="Arial"/>
                <w:bCs/>
                <w:color w:val="FFFFFF"/>
                <w:sz w:val="22"/>
                <w:szCs w:val="22"/>
              </w:rPr>
              <w:t>ecreto</w:t>
            </w:r>
            <w:r w:rsidR="00795C6B" w:rsidRPr="00B210D2">
              <w:rPr>
                <w:rFonts w:cs="Arial"/>
                <w:bCs/>
                <w:color w:val="FFFFFF"/>
                <w:sz w:val="22"/>
                <w:szCs w:val="22"/>
              </w:rPr>
              <w:t>/Resolución</w:t>
            </w:r>
            <w:r w:rsidR="00293F29" w:rsidRPr="00B210D2">
              <w:rPr>
                <w:rFonts w:cs="Arial"/>
                <w:bCs/>
                <w:color w:val="FFFFFF"/>
                <w:sz w:val="22"/>
                <w:szCs w:val="22"/>
              </w:rPr>
              <w:t>:</w:t>
            </w:r>
          </w:p>
        </w:tc>
        <w:tc>
          <w:tcPr>
            <w:tcW w:w="7339" w:type="dxa"/>
            <w:gridSpan w:val="2"/>
            <w:tcBorders>
              <w:top w:val="single" w:sz="4" w:space="0" w:color="auto"/>
              <w:left w:val="single" w:sz="4" w:space="0" w:color="auto"/>
              <w:bottom w:val="single" w:sz="4" w:space="0" w:color="auto"/>
            </w:tcBorders>
            <w:shd w:val="clear" w:color="auto" w:fill="FFFFFF"/>
            <w:vAlign w:val="center"/>
          </w:tcPr>
          <w:p w:rsidR="001F238A" w:rsidRPr="00AC202E" w:rsidRDefault="00AC202E" w:rsidP="00AC202E">
            <w:pPr>
              <w:jc w:val="both"/>
              <w:rPr>
                <w:rFonts w:cs="Arial"/>
                <w:color w:val="000000"/>
                <w:sz w:val="22"/>
                <w:szCs w:val="22"/>
                <w:shd w:val="clear" w:color="auto" w:fill="FFFFFF"/>
              </w:rPr>
            </w:pPr>
            <w:r w:rsidRPr="004F7C7A">
              <w:rPr>
                <w:rFonts w:cs="Arial"/>
                <w:sz w:val="22"/>
                <w:szCs w:val="22"/>
              </w:rPr>
              <w:t xml:space="preserve">Por el cual se adiciona la sección 13 al capítulo 1 del título 1 de la parte 1 del libro 2 del Decreto 1077 de 2015 en relación con el </w:t>
            </w:r>
            <w:r>
              <w:rPr>
                <w:rFonts w:cs="Arial"/>
                <w:sz w:val="22"/>
                <w:szCs w:val="22"/>
              </w:rPr>
              <w:t>S</w:t>
            </w:r>
            <w:r w:rsidRPr="004F7C7A">
              <w:rPr>
                <w:rFonts w:cs="Arial"/>
                <w:sz w:val="22"/>
                <w:szCs w:val="22"/>
              </w:rPr>
              <w:t xml:space="preserve">ubsidio </w:t>
            </w:r>
            <w:r>
              <w:rPr>
                <w:rFonts w:cs="Arial"/>
                <w:sz w:val="22"/>
                <w:szCs w:val="22"/>
              </w:rPr>
              <w:t>F</w:t>
            </w:r>
            <w:r w:rsidRPr="004F7C7A">
              <w:rPr>
                <w:rFonts w:cs="Arial"/>
                <w:sz w:val="22"/>
                <w:szCs w:val="22"/>
              </w:rPr>
              <w:t xml:space="preserve">amiliar de </w:t>
            </w:r>
            <w:r>
              <w:rPr>
                <w:rFonts w:cs="Arial"/>
                <w:sz w:val="22"/>
                <w:szCs w:val="22"/>
              </w:rPr>
              <w:t>V</w:t>
            </w:r>
            <w:r w:rsidRPr="004F7C7A">
              <w:rPr>
                <w:rFonts w:cs="Arial"/>
                <w:sz w:val="22"/>
                <w:szCs w:val="22"/>
              </w:rPr>
              <w:t>ivienda para población en ruta de reincorporación y se dictan otras disposiciones</w:t>
            </w:r>
            <w:r w:rsidRPr="76778D2B">
              <w:rPr>
                <w:rFonts w:cs="Arial"/>
                <w:color w:val="000000"/>
                <w:sz w:val="22"/>
                <w:szCs w:val="22"/>
                <w:shd w:val="clear" w:color="auto" w:fill="FFFFFF"/>
              </w:rPr>
              <w:t>.</w:t>
            </w:r>
          </w:p>
        </w:tc>
      </w:tr>
      <w:tr w:rsidR="00DF60FD" w:rsidRPr="009F7CED" w:rsidTr="00184400">
        <w:tblPrEx>
          <w:tblCellMar>
            <w:top w:w="0" w:type="dxa"/>
            <w:bottom w:w="0" w:type="dxa"/>
          </w:tblCellMar>
        </w:tblPrEx>
        <w:trPr>
          <w:trHeight w:val="674"/>
        </w:trPr>
        <w:tc>
          <w:tcPr>
            <w:tcW w:w="10773" w:type="dxa"/>
            <w:gridSpan w:val="3"/>
            <w:tcBorders>
              <w:top w:val="single" w:sz="4" w:space="0" w:color="auto"/>
            </w:tcBorders>
            <w:shd w:val="clear" w:color="auto" w:fill="FFFFFF"/>
            <w:vAlign w:val="center"/>
          </w:tcPr>
          <w:p w:rsidR="006315B4" w:rsidRPr="00B210D2" w:rsidRDefault="006315B4" w:rsidP="00B210D2">
            <w:pPr>
              <w:autoSpaceDE w:val="0"/>
              <w:autoSpaceDN w:val="0"/>
              <w:adjustRightInd w:val="0"/>
              <w:ind w:right="49"/>
              <w:jc w:val="both"/>
              <w:rPr>
                <w:rFonts w:eastAsia="Arial" w:cs="Arial"/>
                <w:sz w:val="22"/>
                <w:szCs w:val="22"/>
                <w:lang w:bidi="es-ES"/>
              </w:rPr>
            </w:pPr>
          </w:p>
          <w:p w:rsidR="00AD1558" w:rsidRPr="00B210D2" w:rsidRDefault="00AD1558" w:rsidP="00B210D2">
            <w:pPr>
              <w:numPr>
                <w:ilvl w:val="0"/>
                <w:numId w:val="1"/>
              </w:numPr>
              <w:ind w:left="494"/>
              <w:jc w:val="both"/>
              <w:rPr>
                <w:rFonts w:eastAsia="Arial" w:cs="Arial"/>
                <w:b/>
                <w:sz w:val="22"/>
                <w:szCs w:val="22"/>
                <w:lang w:bidi="es-ES"/>
              </w:rPr>
            </w:pPr>
            <w:r w:rsidRPr="00B210D2">
              <w:rPr>
                <w:rFonts w:eastAsia="Arial" w:cs="Arial"/>
                <w:b/>
                <w:sz w:val="22"/>
                <w:szCs w:val="22"/>
                <w:lang w:bidi="es-ES"/>
              </w:rPr>
              <w:t>ANTECEDENTES Y RAZONES DE OPORTUNIDAD Y CONVENIENCIA QUE JUSTIFICAN SU EXPEDICIÓN.</w:t>
            </w:r>
          </w:p>
          <w:p w:rsidR="007E3837" w:rsidRPr="00B210D2" w:rsidRDefault="007E3837" w:rsidP="00B210D2">
            <w:pPr>
              <w:jc w:val="both"/>
              <w:rPr>
                <w:rFonts w:eastAsia="Arial" w:cs="Arial"/>
                <w:sz w:val="22"/>
                <w:szCs w:val="22"/>
                <w:lang w:bidi="es-ES"/>
              </w:rPr>
            </w:pPr>
          </w:p>
          <w:p w:rsidR="000E7C05" w:rsidRPr="00B210D2" w:rsidRDefault="00D36D54" w:rsidP="00B210D2">
            <w:pPr>
              <w:numPr>
                <w:ilvl w:val="1"/>
                <w:numId w:val="1"/>
              </w:numPr>
              <w:jc w:val="both"/>
              <w:rPr>
                <w:rFonts w:eastAsia="Arial" w:cs="Arial"/>
                <w:i/>
                <w:sz w:val="22"/>
                <w:szCs w:val="22"/>
                <w:u w:val="single"/>
                <w:lang w:bidi="es-ES"/>
              </w:rPr>
            </w:pPr>
            <w:r w:rsidRPr="00B210D2">
              <w:rPr>
                <w:rFonts w:eastAsia="Arial" w:cs="Arial"/>
                <w:i/>
                <w:sz w:val="22"/>
                <w:szCs w:val="22"/>
                <w:u w:val="single"/>
                <w:lang w:bidi="es-ES"/>
              </w:rPr>
              <w:t xml:space="preserve">El acuerdo Final para la Paz suscrito entre el Gobierno Nacional y las Fuerzas Armadas Revolucionarias de Colombia (FARC- EP) y los compromisos adquiridos en materia de habitabilidad y vivienda. </w:t>
            </w:r>
          </w:p>
          <w:p w:rsidR="000E7C05" w:rsidRPr="00B210D2" w:rsidRDefault="000E7C05" w:rsidP="00B210D2">
            <w:pPr>
              <w:jc w:val="both"/>
              <w:rPr>
                <w:rFonts w:eastAsia="Arial" w:cs="Arial"/>
                <w:sz w:val="22"/>
                <w:szCs w:val="22"/>
                <w:lang w:bidi="es-ES"/>
              </w:rPr>
            </w:pPr>
          </w:p>
          <w:p w:rsidR="00915D62" w:rsidRPr="00B210D2" w:rsidRDefault="00915D62" w:rsidP="00B210D2">
            <w:pPr>
              <w:pStyle w:val="Cuadrculamedia2"/>
              <w:jc w:val="both"/>
              <w:rPr>
                <w:rFonts w:ascii="Arial" w:hAnsi="Arial" w:cs="Arial"/>
              </w:rPr>
            </w:pPr>
            <w:r w:rsidRPr="00B210D2">
              <w:rPr>
                <w:rFonts w:ascii="Arial" w:hAnsi="Arial" w:cs="Arial"/>
              </w:rPr>
              <w:t xml:space="preserve">El punto 3 del Acuerdo final para la terminación del conflicto y la construcción de una paz estable y duradera contiene los compromisos acordados entre el Gobierno Nacional y las extintas Fuerzas Armadas Revolucionarias de Colombia- FARC, con el fin de lograr la finalización del conflicto armado. </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 xml:space="preserve">En este sentido, el subpunto 3.1.4.1. determinó la necesidad de establecer unas zonas territoriales, de naturaleza temporal y transitorias, definidas, delimitadas y previamente concertadas, las cuales tuvieron como objetivo garantizar el cese al fuego y de hostilidades bilateral y definitivo y la dejación de las armas, y dar inicio al proceso de reincorporación a la vida civil de las estructuras de las FARC- EP en lo económico, lo político y lo social, y propender por su tránsito a la legalidad. </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 xml:space="preserve">Estos espacios denominados </w:t>
            </w:r>
            <w:r w:rsidRPr="00B210D2">
              <w:rPr>
                <w:rFonts w:ascii="Arial" w:hAnsi="Arial" w:cs="Arial"/>
                <w:i/>
              </w:rPr>
              <w:t>Zonas</w:t>
            </w:r>
            <w:r w:rsidRPr="00B210D2">
              <w:rPr>
                <w:rFonts w:ascii="Arial" w:hAnsi="Arial" w:cs="Arial"/>
              </w:rPr>
              <w:t xml:space="preserve"> </w:t>
            </w:r>
            <w:r w:rsidRPr="00B210D2">
              <w:rPr>
                <w:rFonts w:ascii="Arial" w:hAnsi="Arial" w:cs="Arial"/>
                <w:i/>
              </w:rPr>
              <w:t>Veredales Transitorias de Normalización (ZVTN)</w:t>
            </w:r>
            <w:r w:rsidRPr="00B210D2">
              <w:rPr>
                <w:rFonts w:ascii="Arial" w:hAnsi="Arial" w:cs="Arial"/>
              </w:rPr>
              <w:t xml:space="preserve"> tenían prevista una duración inicial de 180 días contados a partir del día D, es decir, desde el día en que se realizó el cese al fuego y de las hostilidades bilateral y definitivo. No obstante, el Gobierno Nacional mediante el Decreto 901 de fecha 29 de mayo de 2017 prorrogó la duración de las zonas veredales por dos meses adicionales, los cuales se cum</w:t>
            </w:r>
            <w:r w:rsidR="00AE581E" w:rsidRPr="00B210D2">
              <w:rPr>
                <w:rFonts w:ascii="Arial" w:hAnsi="Arial" w:cs="Arial"/>
              </w:rPr>
              <w:t xml:space="preserve">plieron el 29 de julio de 2017, y mediante el Decreto 1274 de esta misma anualidad se determinó </w:t>
            </w:r>
            <w:r w:rsidR="00184400" w:rsidRPr="00B210D2">
              <w:rPr>
                <w:rFonts w:ascii="Arial" w:hAnsi="Arial" w:cs="Arial"/>
              </w:rPr>
              <w:t>su prorroga final hasta el 15 de agosto de 2017.</w:t>
            </w:r>
          </w:p>
          <w:p w:rsidR="00184400" w:rsidRPr="00B210D2" w:rsidRDefault="00184400" w:rsidP="00B210D2">
            <w:pPr>
              <w:pStyle w:val="Cuadrculamedia2"/>
              <w:jc w:val="both"/>
              <w:rPr>
                <w:rFonts w:ascii="Arial" w:hAnsi="Arial" w:cs="Arial"/>
              </w:rPr>
            </w:pPr>
          </w:p>
          <w:p w:rsidR="00915D62" w:rsidRPr="00B210D2" w:rsidRDefault="00184400" w:rsidP="00B210D2">
            <w:pPr>
              <w:pStyle w:val="Cuadrculamedia2"/>
              <w:jc w:val="both"/>
              <w:rPr>
                <w:rFonts w:ascii="Arial" w:hAnsi="Arial" w:cs="Arial"/>
              </w:rPr>
            </w:pPr>
            <w:r w:rsidRPr="00B210D2">
              <w:rPr>
                <w:rFonts w:ascii="Arial" w:hAnsi="Arial" w:cs="Arial"/>
              </w:rPr>
              <w:t xml:space="preserve">Una vez cumplida la fecha prevista para su terminación, </w:t>
            </w:r>
            <w:r w:rsidR="002F5593" w:rsidRPr="00B210D2">
              <w:rPr>
                <w:rFonts w:ascii="Arial" w:hAnsi="Arial" w:cs="Arial"/>
              </w:rPr>
              <w:t xml:space="preserve">de conformidad con lo dispuesto en </w:t>
            </w:r>
            <w:r w:rsidRPr="00B210D2">
              <w:rPr>
                <w:rFonts w:ascii="Arial" w:hAnsi="Arial" w:cs="Arial"/>
              </w:rPr>
              <w:t>el artículo 3º del Decreto 1274 de 2017</w:t>
            </w:r>
            <w:r w:rsidR="0000103B" w:rsidRPr="00B210D2">
              <w:rPr>
                <w:rFonts w:ascii="Arial" w:hAnsi="Arial" w:cs="Arial"/>
              </w:rPr>
              <w:t>,</w:t>
            </w:r>
            <w:r w:rsidRPr="00B210D2">
              <w:rPr>
                <w:rFonts w:ascii="Arial" w:hAnsi="Arial" w:cs="Arial"/>
              </w:rPr>
              <w:t xml:space="preserve"> las Zonas Veredales Transitorias de Normalización </w:t>
            </w:r>
            <w:r w:rsidRPr="00B210D2">
              <w:rPr>
                <w:rFonts w:ascii="Arial" w:hAnsi="Arial" w:cs="Arial"/>
                <w:i/>
              </w:rPr>
              <w:t>(ZVTN)</w:t>
            </w:r>
            <w:r w:rsidRPr="00B210D2">
              <w:rPr>
                <w:rFonts w:ascii="Arial" w:hAnsi="Arial" w:cs="Arial"/>
              </w:rPr>
              <w:t xml:space="preserve"> mutar</w:t>
            </w:r>
            <w:r w:rsidR="0000103B" w:rsidRPr="00B210D2">
              <w:rPr>
                <w:rFonts w:ascii="Arial" w:hAnsi="Arial" w:cs="Arial"/>
              </w:rPr>
              <w:t>on de naturaleza a</w:t>
            </w:r>
            <w:r w:rsidRPr="00B210D2">
              <w:rPr>
                <w:rFonts w:ascii="Arial" w:hAnsi="Arial" w:cs="Arial"/>
              </w:rPr>
              <w:t xml:space="preserve"> Espacios Territoriales de </w:t>
            </w:r>
            <w:r w:rsidR="00915D62" w:rsidRPr="00B210D2">
              <w:rPr>
                <w:rFonts w:ascii="Arial" w:hAnsi="Arial" w:cs="Arial"/>
              </w:rPr>
              <w:t>C</w:t>
            </w:r>
            <w:r w:rsidRPr="00B210D2">
              <w:rPr>
                <w:rFonts w:ascii="Arial" w:hAnsi="Arial" w:cs="Arial"/>
              </w:rPr>
              <w:t>apacitación y Reincorporación (</w:t>
            </w:r>
            <w:r w:rsidR="00915D62" w:rsidRPr="00B210D2">
              <w:rPr>
                <w:rFonts w:ascii="Arial" w:hAnsi="Arial" w:cs="Arial"/>
              </w:rPr>
              <w:t>ETC</w:t>
            </w:r>
            <w:r w:rsidRPr="00B210D2">
              <w:rPr>
                <w:rFonts w:ascii="Arial" w:hAnsi="Arial" w:cs="Arial"/>
              </w:rPr>
              <w:t xml:space="preserve">R). Estos últimos fueron reglamentados mediante el Decreto 2026 de fecha 04 de diciembre de 2017, en el que se definen a </w:t>
            </w:r>
            <w:r w:rsidR="00915D62" w:rsidRPr="00B210D2">
              <w:rPr>
                <w:rFonts w:ascii="Arial" w:hAnsi="Arial" w:cs="Arial"/>
              </w:rPr>
              <w:t>los</w:t>
            </w:r>
            <w:r w:rsidRPr="00B210D2">
              <w:rPr>
                <w:rFonts w:ascii="Arial" w:hAnsi="Arial" w:cs="Arial"/>
              </w:rPr>
              <w:t xml:space="preserve"> ETCRs</w:t>
            </w:r>
            <w:r w:rsidR="00915D62" w:rsidRPr="00B210D2">
              <w:rPr>
                <w:rFonts w:ascii="Arial" w:hAnsi="Arial" w:cs="Arial"/>
              </w:rPr>
              <w:t xml:space="preserve"> como los lugares para el desarrollo de actividades que faciliten la reincorporación a la vida civil en lo económico, lo social y lo productivo de los ex miembros de las FARC- EP, debidamente acreditados por la Oficina del Alto Comisionado</w:t>
            </w:r>
            <w:r w:rsidR="00EC2D9F" w:rsidRPr="00B210D2">
              <w:rPr>
                <w:rFonts w:ascii="Arial" w:hAnsi="Arial" w:cs="Arial"/>
              </w:rPr>
              <w:t xml:space="preserve"> para la Paz</w:t>
            </w:r>
            <w:r w:rsidRPr="00B210D2">
              <w:rPr>
                <w:rFonts w:ascii="Arial" w:hAnsi="Arial" w:cs="Arial"/>
              </w:rPr>
              <w:t>.</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 xml:space="preserve">El artículo 5º del citado Decreto 2026 determinó que los Espacios Territoriales de Capacitación y Reincorporación podrían tener una duración de 2 años, contados a partir del 15 de agosto de 2017, </w:t>
            </w:r>
            <w:r w:rsidR="00184400" w:rsidRPr="00B210D2">
              <w:rPr>
                <w:rFonts w:ascii="Arial" w:hAnsi="Arial" w:cs="Arial"/>
              </w:rPr>
              <w:t>fecha en la cual se terminó</w:t>
            </w:r>
            <w:r w:rsidRPr="00B210D2">
              <w:rPr>
                <w:rFonts w:ascii="Arial" w:hAnsi="Arial" w:cs="Arial"/>
              </w:rPr>
              <w:t xml:space="preserve"> la duración de las Zonas Veredales Transitorias de Normalización y se da nacimiento a los ETCR. </w:t>
            </w:r>
            <w:r w:rsidR="00184400" w:rsidRPr="00B210D2">
              <w:rPr>
                <w:rFonts w:ascii="Arial" w:hAnsi="Arial" w:cs="Arial"/>
              </w:rPr>
              <w:t>Lo aquí dispuesto, s</w:t>
            </w:r>
            <w:r w:rsidRPr="00B210D2">
              <w:rPr>
                <w:rFonts w:ascii="Arial" w:hAnsi="Arial" w:cs="Arial"/>
              </w:rPr>
              <w:t xml:space="preserve">in perjuicio de la evaluación </w:t>
            </w:r>
            <w:r w:rsidR="008D48F1" w:rsidRPr="00B210D2">
              <w:rPr>
                <w:rFonts w:ascii="Arial" w:hAnsi="Arial" w:cs="Arial"/>
              </w:rPr>
              <w:t>que podía realizar</w:t>
            </w:r>
            <w:r w:rsidRPr="00B210D2">
              <w:rPr>
                <w:rFonts w:ascii="Arial" w:hAnsi="Arial" w:cs="Arial"/>
              </w:rPr>
              <w:t xml:space="preserve"> el Gobierno Nacional con el fin de modificarlos, suprimirlos o prorrogarlos, según las necesidades del caso, fundamentado en razones de seguridad o de índole administrativa. </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Bajo esta pe</w:t>
            </w:r>
            <w:r w:rsidR="00027A88" w:rsidRPr="00B210D2">
              <w:rPr>
                <w:rFonts w:ascii="Arial" w:hAnsi="Arial" w:cs="Arial"/>
              </w:rPr>
              <w:t>r</w:t>
            </w:r>
            <w:r w:rsidRPr="00B210D2">
              <w:rPr>
                <w:rFonts w:ascii="Arial" w:hAnsi="Arial" w:cs="Arial"/>
              </w:rPr>
              <w:t>spectiva, la figura jurídica de los Espacios Territoriales de Capacitación y Reincorporación</w:t>
            </w:r>
            <w:r w:rsidR="00184400" w:rsidRPr="00B210D2">
              <w:rPr>
                <w:rFonts w:ascii="Arial" w:hAnsi="Arial" w:cs="Arial"/>
              </w:rPr>
              <w:t xml:space="preserve"> (ETCR)</w:t>
            </w:r>
            <w:r w:rsidRPr="00B210D2">
              <w:rPr>
                <w:rFonts w:ascii="Arial" w:hAnsi="Arial" w:cs="Arial"/>
              </w:rPr>
              <w:t xml:space="preserve"> culminó el 15 de agosto de 2019, razón por la cual el Gobierno Nacional ha tomado la</w:t>
            </w:r>
            <w:r w:rsidR="00184400" w:rsidRPr="00B210D2">
              <w:rPr>
                <w:rFonts w:ascii="Arial" w:hAnsi="Arial" w:cs="Arial"/>
              </w:rPr>
              <w:t xml:space="preserve"> determinación de </w:t>
            </w:r>
            <w:r w:rsidR="00D020C3" w:rsidRPr="00B210D2">
              <w:rPr>
                <w:rFonts w:ascii="Arial" w:hAnsi="Arial" w:cs="Arial"/>
              </w:rPr>
              <w:t xml:space="preserve">estructurar </w:t>
            </w:r>
            <w:r w:rsidR="00184400" w:rsidRPr="00B210D2">
              <w:rPr>
                <w:rFonts w:ascii="Arial" w:hAnsi="Arial" w:cs="Arial"/>
              </w:rPr>
              <w:t>estrategias que permitan acceder a viviendas de car</w:t>
            </w:r>
            <w:r w:rsidR="00D020C3" w:rsidRPr="00B210D2">
              <w:rPr>
                <w:rFonts w:ascii="Arial" w:hAnsi="Arial" w:cs="Arial"/>
              </w:rPr>
              <w:t>a</w:t>
            </w:r>
            <w:r w:rsidR="00184400" w:rsidRPr="00B210D2">
              <w:rPr>
                <w:rFonts w:ascii="Arial" w:hAnsi="Arial" w:cs="Arial"/>
              </w:rPr>
              <w:t>cter permanente</w:t>
            </w:r>
            <w:r w:rsidR="00D020C3" w:rsidRPr="00B210D2">
              <w:rPr>
                <w:rFonts w:ascii="Arial" w:hAnsi="Arial" w:cs="Arial"/>
              </w:rPr>
              <w:t>,</w:t>
            </w:r>
            <w:r w:rsidR="00184400" w:rsidRPr="00B210D2">
              <w:rPr>
                <w:rFonts w:ascii="Arial" w:hAnsi="Arial" w:cs="Arial"/>
              </w:rPr>
              <w:t xml:space="preserve"> que</w:t>
            </w:r>
            <w:r w:rsidRPr="00B210D2">
              <w:rPr>
                <w:rFonts w:ascii="Arial" w:hAnsi="Arial" w:cs="Arial"/>
              </w:rPr>
              <w:t xml:space="preserve"> se ajuste</w:t>
            </w:r>
            <w:r w:rsidR="00184400" w:rsidRPr="00B210D2">
              <w:rPr>
                <w:rFonts w:ascii="Arial" w:hAnsi="Arial" w:cs="Arial"/>
              </w:rPr>
              <w:t>n</w:t>
            </w:r>
            <w:r w:rsidRPr="00B210D2">
              <w:rPr>
                <w:rFonts w:ascii="Arial" w:hAnsi="Arial" w:cs="Arial"/>
              </w:rPr>
              <w:t xml:space="preserve"> al ordenamiento territorial existente, bajo la </w:t>
            </w:r>
            <w:r w:rsidR="00D020C3" w:rsidRPr="00B210D2">
              <w:rPr>
                <w:rFonts w:ascii="Arial" w:hAnsi="Arial" w:cs="Arial"/>
              </w:rPr>
              <w:t xml:space="preserve">promoción </w:t>
            </w:r>
            <w:r w:rsidRPr="00B210D2">
              <w:rPr>
                <w:rFonts w:ascii="Arial" w:hAnsi="Arial" w:cs="Arial"/>
              </w:rPr>
              <w:t xml:space="preserve">y el respeto a la organización social con el fin de consolidar la reincorporación. </w:t>
            </w:r>
            <w:r w:rsidR="00027A88" w:rsidRPr="00B210D2">
              <w:rPr>
                <w:rFonts w:ascii="Arial" w:hAnsi="Arial" w:cs="Arial"/>
              </w:rPr>
              <w:t>Esta</w:t>
            </w:r>
            <w:r w:rsidR="00D020C3" w:rsidRPr="00B210D2">
              <w:rPr>
                <w:rFonts w:ascii="Arial" w:hAnsi="Arial" w:cs="Arial"/>
              </w:rPr>
              <w:t>s</w:t>
            </w:r>
            <w:r w:rsidR="00027A88" w:rsidRPr="00B210D2">
              <w:rPr>
                <w:rFonts w:ascii="Arial" w:hAnsi="Arial" w:cs="Arial"/>
              </w:rPr>
              <w:t xml:space="preserve"> estrate</w:t>
            </w:r>
            <w:r w:rsidRPr="00B210D2">
              <w:rPr>
                <w:rFonts w:ascii="Arial" w:hAnsi="Arial" w:cs="Arial"/>
              </w:rPr>
              <w:t>gia</w:t>
            </w:r>
            <w:r w:rsidR="00D020C3" w:rsidRPr="00B210D2">
              <w:rPr>
                <w:rFonts w:ascii="Arial" w:hAnsi="Arial" w:cs="Arial"/>
              </w:rPr>
              <w:t>s</w:t>
            </w:r>
            <w:r w:rsidRPr="00B210D2">
              <w:rPr>
                <w:rFonts w:ascii="Arial" w:hAnsi="Arial" w:cs="Arial"/>
              </w:rPr>
              <w:t xml:space="preserve"> bus</w:t>
            </w:r>
            <w:r w:rsidR="00D020C3" w:rsidRPr="00B210D2">
              <w:rPr>
                <w:rFonts w:ascii="Arial" w:hAnsi="Arial" w:cs="Arial"/>
              </w:rPr>
              <w:t xml:space="preserve">can </w:t>
            </w:r>
            <w:r w:rsidR="008D48F1" w:rsidRPr="00B210D2">
              <w:rPr>
                <w:rFonts w:ascii="Arial" w:hAnsi="Arial" w:cs="Arial"/>
              </w:rPr>
              <w:t>generar arraigo social, econó</w:t>
            </w:r>
            <w:r w:rsidRPr="00B210D2">
              <w:rPr>
                <w:rFonts w:ascii="Arial" w:hAnsi="Arial" w:cs="Arial"/>
              </w:rPr>
              <w:t>mico y comunitario, mediante la garantía del derecho a una vivienda digna</w:t>
            </w:r>
            <w:r w:rsidR="00D020C3" w:rsidRPr="00B210D2">
              <w:rPr>
                <w:rFonts w:ascii="Arial" w:hAnsi="Arial" w:cs="Arial"/>
              </w:rPr>
              <w:t>.</w:t>
            </w:r>
            <w:r w:rsidRPr="00B210D2">
              <w:rPr>
                <w:rFonts w:ascii="Arial" w:hAnsi="Arial" w:cs="Arial"/>
              </w:rPr>
              <w:t xml:space="preserve"> </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El documento 3931 del Consejo Nac</w:t>
            </w:r>
            <w:r w:rsidR="00027A88" w:rsidRPr="00B210D2">
              <w:rPr>
                <w:rFonts w:ascii="Arial" w:hAnsi="Arial" w:cs="Arial"/>
              </w:rPr>
              <w:t>ional de Política Econó</w:t>
            </w:r>
            <w:r w:rsidRPr="00B210D2">
              <w:rPr>
                <w:rFonts w:ascii="Arial" w:hAnsi="Arial" w:cs="Arial"/>
              </w:rPr>
              <w:t>mica y Social – CONPES de fecha 22 de junio de 2018, señala que para iniciar el tránsito a la vida civil de las personas que hicieron parte de una organización armada, es necesario la construcción de un nuevo proyecto de vida, individual y colectivo, mediante el establecimientos de nuevos derroteros y arraigos dentro de la legalidad, y se determina que:</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ind w:left="709"/>
              <w:jc w:val="both"/>
              <w:rPr>
                <w:rFonts w:ascii="Arial" w:hAnsi="Arial" w:cs="Arial"/>
                <w:i/>
              </w:rPr>
            </w:pPr>
            <w:r w:rsidRPr="00B210D2">
              <w:rPr>
                <w:rFonts w:ascii="Arial" w:hAnsi="Arial" w:cs="Arial"/>
                <w:i/>
              </w:rPr>
              <w:t>“Este proceso requiere de un acompañamiento para abordar los efectos psicosociales derivados de su exposición a las dinámicas del conflicto armado, así como la ansiedad frente a la incertidumbre y los temores que alberga la transición y el reto de reconstruir nuevos propósitos indiv</w:t>
            </w:r>
            <w:r w:rsidR="00027A88" w:rsidRPr="00B210D2">
              <w:rPr>
                <w:rFonts w:ascii="Arial" w:hAnsi="Arial" w:cs="Arial"/>
                <w:i/>
              </w:rPr>
              <w:t>i</w:t>
            </w:r>
            <w:r w:rsidRPr="00B210D2">
              <w:rPr>
                <w:rFonts w:ascii="Arial" w:hAnsi="Arial" w:cs="Arial"/>
                <w:i/>
              </w:rPr>
              <w:t>d</w:t>
            </w:r>
            <w:r w:rsidR="00027A88" w:rsidRPr="00B210D2">
              <w:rPr>
                <w:rFonts w:ascii="Arial" w:hAnsi="Arial" w:cs="Arial"/>
                <w:i/>
              </w:rPr>
              <w:t>u</w:t>
            </w:r>
            <w:r w:rsidRPr="00B210D2">
              <w:rPr>
                <w:rFonts w:ascii="Arial" w:hAnsi="Arial" w:cs="Arial"/>
                <w:i/>
              </w:rPr>
              <w:t xml:space="preserve">ales y colectivos por fuera de la lucha armada”. </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Para ello, se identifica la necesidad de crear condiciones que garanticen el acceso a derechos como la salud y la educación, así como promover estrategias para solucionar p</w:t>
            </w:r>
            <w:r w:rsidR="00027A88" w:rsidRPr="00B210D2">
              <w:rPr>
                <w:rFonts w:ascii="Arial" w:hAnsi="Arial" w:cs="Arial"/>
              </w:rPr>
              <w:t>roblemá</w:t>
            </w:r>
            <w:r w:rsidRPr="00B210D2">
              <w:rPr>
                <w:rFonts w:ascii="Arial" w:hAnsi="Arial" w:cs="Arial"/>
              </w:rPr>
              <w:t>ticas asociadas con el déficit de vi</w:t>
            </w:r>
            <w:r w:rsidR="00027A88" w:rsidRPr="00B210D2">
              <w:rPr>
                <w:rFonts w:ascii="Arial" w:hAnsi="Arial" w:cs="Arial"/>
              </w:rPr>
              <w:t>vienda y la estabilización econó</w:t>
            </w:r>
            <w:r w:rsidRPr="00B210D2">
              <w:rPr>
                <w:rFonts w:ascii="Arial" w:hAnsi="Arial" w:cs="Arial"/>
              </w:rPr>
              <w:t xml:space="preserve">mica de los exintegrantes de las FARC- EP. </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Según el diagnóstico presentado en el CONPES de la referencia</w:t>
            </w:r>
            <w:r w:rsidR="00955495" w:rsidRPr="00B210D2">
              <w:rPr>
                <w:rFonts w:ascii="Arial" w:hAnsi="Arial" w:cs="Arial"/>
              </w:rPr>
              <w:t xml:space="preserve">, </w:t>
            </w:r>
            <w:r w:rsidRPr="00B210D2">
              <w:rPr>
                <w:rFonts w:ascii="Arial" w:hAnsi="Arial" w:cs="Arial"/>
              </w:rPr>
              <w:t>al traer a colación un censo realizado por la Un</w:t>
            </w:r>
            <w:r w:rsidR="00955495" w:rsidRPr="00B210D2">
              <w:rPr>
                <w:rFonts w:ascii="Arial" w:hAnsi="Arial" w:cs="Arial"/>
              </w:rPr>
              <w:t>iversidad Nacional de Colombia, se determinó</w:t>
            </w:r>
            <w:r w:rsidRPr="00B210D2">
              <w:rPr>
                <w:rFonts w:ascii="Arial" w:hAnsi="Arial" w:cs="Arial"/>
              </w:rPr>
              <w:t xml:space="preserve"> que</w:t>
            </w:r>
            <w:r w:rsidR="0000103B" w:rsidRPr="00B210D2">
              <w:rPr>
                <w:rFonts w:ascii="Arial" w:hAnsi="Arial" w:cs="Arial"/>
              </w:rPr>
              <w:t>, para el año 2017,</w:t>
            </w:r>
            <w:r w:rsidRPr="00B210D2">
              <w:rPr>
                <w:rFonts w:ascii="Arial" w:hAnsi="Arial" w:cs="Arial"/>
              </w:rPr>
              <w:t xml:space="preserve"> el 74%</w:t>
            </w:r>
            <w:r w:rsidR="00EC2D9F" w:rsidRPr="00B210D2">
              <w:rPr>
                <w:rFonts w:ascii="Arial" w:hAnsi="Arial" w:cs="Arial"/>
              </w:rPr>
              <w:t xml:space="preserve"> (7.426) </w:t>
            </w:r>
            <w:r w:rsidRPr="00B210D2">
              <w:rPr>
                <w:rFonts w:ascii="Arial" w:hAnsi="Arial" w:cs="Arial"/>
              </w:rPr>
              <w:t xml:space="preserve">de las personas ubicadas en los </w:t>
            </w:r>
            <w:r w:rsidR="00955495" w:rsidRPr="00B210D2">
              <w:rPr>
                <w:rFonts w:ascii="Arial" w:hAnsi="Arial" w:cs="Arial"/>
              </w:rPr>
              <w:t>Espacios Territoriales de Capacitación y Reincorporación</w:t>
            </w:r>
            <w:r w:rsidRPr="00B210D2">
              <w:rPr>
                <w:rFonts w:ascii="Arial" w:hAnsi="Arial" w:cs="Arial"/>
              </w:rPr>
              <w:t xml:space="preserve"> manifestaron no co</w:t>
            </w:r>
            <w:r w:rsidR="0000103B" w:rsidRPr="00B210D2">
              <w:rPr>
                <w:rFonts w:ascii="Arial" w:hAnsi="Arial" w:cs="Arial"/>
              </w:rPr>
              <w:t>ntar con una vivienda que pudieran</w:t>
            </w:r>
            <w:r w:rsidRPr="00B210D2">
              <w:rPr>
                <w:rFonts w:ascii="Arial" w:hAnsi="Arial" w:cs="Arial"/>
              </w:rPr>
              <w:t xml:space="preserve"> habitar una vez reincorporados a la vida civil, y solo el 26% respondió afirmativamente sobre la posibilidad de contar con una vivienda una vez lograran su tránsito a la legalidad (2.589), de los cuales el 37% (946) afirmó tener una vivienda propia, el 26% (66) en arriendo, y el 38% (975) manifestó contar con otras formas de posesión habitacional. </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En este sentido, se evidenció por el Consejo Nacional de Política Económica y Social, la necesidad de definir una ruta que promoviera soluciones en materia de habitab</w:t>
            </w:r>
            <w:r w:rsidR="00027A88" w:rsidRPr="00B210D2">
              <w:rPr>
                <w:rFonts w:ascii="Arial" w:hAnsi="Arial" w:cs="Arial"/>
              </w:rPr>
              <w:t>i</w:t>
            </w:r>
            <w:r w:rsidRPr="00B210D2">
              <w:rPr>
                <w:rFonts w:ascii="Arial" w:hAnsi="Arial" w:cs="Arial"/>
              </w:rPr>
              <w:t>lidad y vivienda para esta población, en aras de dar cumplimiento a lo concertado en el Acuerdo Final en materia de vivienda, bajo la especificidad</w:t>
            </w:r>
            <w:r w:rsidR="00EC2D9F" w:rsidRPr="00B210D2">
              <w:rPr>
                <w:rFonts w:ascii="Arial" w:hAnsi="Arial" w:cs="Arial"/>
              </w:rPr>
              <w:t xml:space="preserve"> </w:t>
            </w:r>
            <w:r w:rsidRPr="00B210D2">
              <w:rPr>
                <w:rFonts w:ascii="Arial" w:hAnsi="Arial" w:cs="Arial"/>
              </w:rPr>
              <w:t>que esta población se encuentra en un alto gr</w:t>
            </w:r>
            <w:r w:rsidR="008D48F1" w:rsidRPr="00B210D2">
              <w:rPr>
                <w:rFonts w:ascii="Arial" w:hAnsi="Arial" w:cs="Arial"/>
              </w:rPr>
              <w:t>ado de déficit habitacional y</w:t>
            </w:r>
            <w:r w:rsidRPr="00B210D2">
              <w:rPr>
                <w:rFonts w:ascii="Arial" w:hAnsi="Arial" w:cs="Arial"/>
              </w:rPr>
              <w:t xml:space="preserve"> </w:t>
            </w:r>
            <w:r w:rsidR="008D48F1" w:rsidRPr="00B210D2">
              <w:rPr>
                <w:rFonts w:ascii="Arial" w:hAnsi="Arial" w:cs="Arial"/>
              </w:rPr>
              <w:t>cuenta con</w:t>
            </w:r>
            <w:r w:rsidR="00EC2D9F" w:rsidRPr="00B210D2">
              <w:rPr>
                <w:rFonts w:ascii="Arial" w:hAnsi="Arial" w:cs="Arial"/>
              </w:rPr>
              <w:t xml:space="preserve"> limitantes relacionadas con</w:t>
            </w:r>
            <w:r w:rsidRPr="00B210D2">
              <w:rPr>
                <w:rFonts w:ascii="Arial" w:hAnsi="Arial" w:cs="Arial"/>
              </w:rPr>
              <w:t xml:space="preserve"> el a</w:t>
            </w:r>
            <w:r w:rsidR="008D48F1" w:rsidRPr="00B210D2">
              <w:rPr>
                <w:rFonts w:ascii="Arial" w:hAnsi="Arial" w:cs="Arial"/>
              </w:rPr>
              <w:t>cceso al sistema financiero y de</w:t>
            </w:r>
            <w:r w:rsidRPr="00B210D2">
              <w:rPr>
                <w:rFonts w:ascii="Arial" w:hAnsi="Arial" w:cs="Arial"/>
              </w:rPr>
              <w:t xml:space="preserve"> afiliación a </w:t>
            </w:r>
            <w:r w:rsidR="008D48F1" w:rsidRPr="00B210D2">
              <w:rPr>
                <w:rFonts w:ascii="Arial" w:hAnsi="Arial" w:cs="Arial"/>
              </w:rPr>
              <w:t xml:space="preserve">las </w:t>
            </w:r>
            <w:r w:rsidRPr="00B210D2">
              <w:rPr>
                <w:rFonts w:ascii="Arial" w:hAnsi="Arial" w:cs="Arial"/>
              </w:rPr>
              <w:t xml:space="preserve">cajas de compensación familiar. </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Así las cosas, se determinó que la Agencia para la Reincorporación y la Normalización (ARN) en coordinación con el Ministerio de Vivienda, Ciudad y Territorio y el Ministerio de Agricultura y Desarrollo Rural construirían un diagnóstico de habitabilidad de ex</w:t>
            </w:r>
            <w:r w:rsidR="00955495" w:rsidRPr="00B210D2">
              <w:rPr>
                <w:rFonts w:ascii="Arial" w:hAnsi="Arial" w:cs="Arial"/>
              </w:rPr>
              <w:t xml:space="preserve"> </w:t>
            </w:r>
            <w:r w:rsidRPr="00B210D2">
              <w:rPr>
                <w:rFonts w:ascii="Arial" w:hAnsi="Arial" w:cs="Arial"/>
              </w:rPr>
              <w:t>integrantes de las FARC- EP y sus familias, con el fin de cimentar</w:t>
            </w:r>
            <w:r w:rsidR="00027A88" w:rsidRPr="00B210D2">
              <w:rPr>
                <w:rFonts w:ascii="Arial" w:hAnsi="Arial" w:cs="Arial"/>
              </w:rPr>
              <w:t xml:space="preserve"> una ruta que permiti</w:t>
            </w:r>
            <w:r w:rsidRPr="00B210D2">
              <w:rPr>
                <w:rFonts w:ascii="Arial" w:hAnsi="Arial" w:cs="Arial"/>
              </w:rPr>
              <w:t xml:space="preserve">era promover soluciones en materia de habitabilidad en vivienda urbana y rural. </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La ARN lideró</w:t>
            </w:r>
            <w:r w:rsidR="001B7C43" w:rsidRPr="00B210D2">
              <w:rPr>
                <w:rFonts w:ascii="Arial" w:hAnsi="Arial" w:cs="Arial"/>
              </w:rPr>
              <w:t>,</w:t>
            </w:r>
            <w:r w:rsidR="00464099" w:rsidRPr="00B210D2">
              <w:rPr>
                <w:rFonts w:ascii="Arial" w:hAnsi="Arial" w:cs="Arial"/>
              </w:rPr>
              <w:t xml:space="preserve"> en</w:t>
            </w:r>
            <w:r w:rsidR="001830C3" w:rsidRPr="00B210D2">
              <w:rPr>
                <w:rFonts w:ascii="Arial" w:hAnsi="Arial" w:cs="Arial"/>
              </w:rPr>
              <w:t>tre</w:t>
            </w:r>
            <w:r w:rsidR="0000103B" w:rsidRPr="00B210D2">
              <w:rPr>
                <w:rFonts w:ascii="Arial" w:hAnsi="Arial" w:cs="Arial"/>
              </w:rPr>
              <w:t xml:space="preserve"> los años 2018 y</w:t>
            </w:r>
            <w:r w:rsidR="001B7C43" w:rsidRPr="00B210D2">
              <w:rPr>
                <w:rFonts w:ascii="Arial" w:hAnsi="Arial" w:cs="Arial"/>
              </w:rPr>
              <w:t xml:space="preserve"> 2019,</w:t>
            </w:r>
            <w:r w:rsidRPr="00B210D2">
              <w:rPr>
                <w:rFonts w:ascii="Arial" w:hAnsi="Arial" w:cs="Arial"/>
              </w:rPr>
              <w:t xml:space="preserve"> la aplicación del Registro Nacional de Reincorporación, como </w:t>
            </w:r>
            <w:r w:rsidR="003B5433" w:rsidRPr="00B210D2">
              <w:rPr>
                <w:rFonts w:ascii="Arial" w:hAnsi="Arial" w:cs="Arial"/>
              </w:rPr>
              <w:t xml:space="preserve">un </w:t>
            </w:r>
            <w:r w:rsidRPr="00B210D2">
              <w:rPr>
                <w:rFonts w:ascii="Arial" w:hAnsi="Arial" w:cs="Arial"/>
              </w:rPr>
              <w:t>instrumento que permite brindar insumos generales para la definición e implementación de las distintas líneas de acción para la atención de las personas</w:t>
            </w:r>
            <w:r w:rsidR="00961A51" w:rsidRPr="00B210D2">
              <w:rPr>
                <w:rFonts w:ascii="Arial" w:hAnsi="Arial" w:cs="Arial"/>
              </w:rPr>
              <w:t xml:space="preserve"> en proceso de reincorporación. La ARN, por medio de sus grupos territoriales, ha realizado el seguimientos de los ex integrantes de las FARC- EP que se encuentran dentro de dicho registro y</w:t>
            </w:r>
            <w:r w:rsidR="003B5433" w:rsidRPr="00B210D2">
              <w:rPr>
                <w:rFonts w:ascii="Arial" w:hAnsi="Arial" w:cs="Arial"/>
              </w:rPr>
              <w:t>,</w:t>
            </w:r>
            <w:r w:rsidR="00961A51" w:rsidRPr="00B210D2">
              <w:rPr>
                <w:rFonts w:ascii="Arial" w:hAnsi="Arial" w:cs="Arial"/>
              </w:rPr>
              <w:t xml:space="preserve"> con corte </w:t>
            </w:r>
            <w:r w:rsidR="003B5433" w:rsidRPr="00B210D2">
              <w:rPr>
                <w:rFonts w:ascii="Arial" w:hAnsi="Arial" w:cs="Arial"/>
              </w:rPr>
              <w:t xml:space="preserve">a </w:t>
            </w:r>
            <w:r w:rsidR="00961A51" w:rsidRPr="00B210D2">
              <w:rPr>
                <w:rFonts w:ascii="Arial" w:hAnsi="Arial" w:cs="Arial"/>
              </w:rPr>
              <w:t xml:space="preserve">diciembre de 2021, </w:t>
            </w:r>
            <w:r w:rsidR="001B7C43" w:rsidRPr="00B210D2">
              <w:rPr>
                <w:rFonts w:ascii="Arial" w:hAnsi="Arial" w:cs="Arial"/>
              </w:rPr>
              <w:t xml:space="preserve">se identificó que </w:t>
            </w:r>
            <w:r w:rsidR="00961A51" w:rsidRPr="00B210D2">
              <w:rPr>
                <w:rFonts w:ascii="Arial" w:hAnsi="Arial" w:cs="Arial"/>
              </w:rPr>
              <w:t xml:space="preserve">de un </w:t>
            </w:r>
            <w:r w:rsidR="00E34ECF" w:rsidRPr="00B210D2">
              <w:rPr>
                <w:rFonts w:ascii="Arial" w:hAnsi="Arial" w:cs="Arial"/>
              </w:rPr>
              <w:t>total de 12.843</w:t>
            </w:r>
            <w:r w:rsidRPr="00B210D2">
              <w:rPr>
                <w:rFonts w:ascii="Arial" w:hAnsi="Arial" w:cs="Arial"/>
              </w:rPr>
              <w:t xml:space="preserve"> personas en proceso de reincorpor</w:t>
            </w:r>
            <w:r w:rsidR="001B7C43" w:rsidRPr="00B210D2">
              <w:rPr>
                <w:rFonts w:ascii="Arial" w:hAnsi="Arial" w:cs="Arial"/>
              </w:rPr>
              <w:t>aci</w:t>
            </w:r>
            <w:r w:rsidR="008E41D7" w:rsidRPr="00B210D2">
              <w:rPr>
                <w:rFonts w:ascii="Arial" w:hAnsi="Arial" w:cs="Arial"/>
              </w:rPr>
              <w:t>ón:</w:t>
            </w:r>
            <w:r w:rsidR="00E34ECF" w:rsidRPr="00B210D2">
              <w:rPr>
                <w:rFonts w:ascii="Arial" w:hAnsi="Arial" w:cs="Arial"/>
              </w:rPr>
              <w:t xml:space="preserve"> 2.371 (18,46</w:t>
            </w:r>
            <w:r w:rsidR="001B7C43" w:rsidRPr="00B210D2">
              <w:rPr>
                <w:rFonts w:ascii="Arial" w:hAnsi="Arial" w:cs="Arial"/>
              </w:rPr>
              <w:t>%) se</w:t>
            </w:r>
            <w:r w:rsidR="00961A51" w:rsidRPr="00B210D2">
              <w:rPr>
                <w:rFonts w:ascii="Arial" w:hAnsi="Arial" w:cs="Arial"/>
              </w:rPr>
              <w:t xml:space="preserve"> encuentran</w:t>
            </w:r>
            <w:r w:rsidR="001B7C43" w:rsidRPr="00B210D2">
              <w:rPr>
                <w:rFonts w:ascii="Arial" w:hAnsi="Arial" w:cs="Arial"/>
              </w:rPr>
              <w:t xml:space="preserve"> </w:t>
            </w:r>
            <w:r w:rsidRPr="00B210D2">
              <w:rPr>
                <w:rFonts w:ascii="Arial" w:hAnsi="Arial" w:cs="Arial"/>
              </w:rPr>
              <w:t>habi</w:t>
            </w:r>
            <w:r w:rsidR="008D48F1" w:rsidRPr="00B210D2">
              <w:rPr>
                <w:rFonts w:ascii="Arial" w:hAnsi="Arial" w:cs="Arial"/>
              </w:rPr>
              <w:t>tando en los antiguos Espacios Territoriales de Capacitación y R</w:t>
            </w:r>
            <w:r w:rsidRPr="00B210D2">
              <w:rPr>
                <w:rFonts w:ascii="Arial" w:hAnsi="Arial" w:cs="Arial"/>
              </w:rPr>
              <w:t>einco</w:t>
            </w:r>
            <w:r w:rsidR="00027A88" w:rsidRPr="00B210D2">
              <w:rPr>
                <w:rFonts w:ascii="Arial" w:hAnsi="Arial" w:cs="Arial"/>
              </w:rPr>
              <w:t>r</w:t>
            </w:r>
            <w:r w:rsidR="001B7C43" w:rsidRPr="00B210D2">
              <w:rPr>
                <w:rFonts w:ascii="Arial" w:hAnsi="Arial" w:cs="Arial"/>
              </w:rPr>
              <w:t>poración (ETCR)</w:t>
            </w:r>
            <w:r w:rsidR="008E41D7" w:rsidRPr="00B210D2">
              <w:rPr>
                <w:rFonts w:ascii="Arial" w:hAnsi="Arial" w:cs="Arial"/>
              </w:rPr>
              <w:t>;</w:t>
            </w:r>
            <w:r w:rsidR="00E34ECF" w:rsidRPr="00B210D2">
              <w:rPr>
                <w:rFonts w:ascii="Arial" w:hAnsi="Arial" w:cs="Arial"/>
              </w:rPr>
              <w:t xml:space="preserve"> 2.450 (19,08</w:t>
            </w:r>
            <w:r w:rsidRPr="00B210D2">
              <w:rPr>
                <w:rFonts w:ascii="Arial" w:hAnsi="Arial" w:cs="Arial"/>
              </w:rPr>
              <w:t xml:space="preserve">%) habitan en centros poblados </w:t>
            </w:r>
            <w:r w:rsidR="00961A51" w:rsidRPr="00B210D2">
              <w:rPr>
                <w:rFonts w:ascii="Arial" w:hAnsi="Arial" w:cs="Arial"/>
              </w:rPr>
              <w:t xml:space="preserve">rurales </w:t>
            </w:r>
            <w:r w:rsidRPr="00B210D2">
              <w:rPr>
                <w:rFonts w:ascii="Arial" w:hAnsi="Arial" w:cs="Arial"/>
              </w:rPr>
              <w:t>por fuera de los ETCRs</w:t>
            </w:r>
            <w:r w:rsidR="008E41D7" w:rsidRPr="00B210D2">
              <w:rPr>
                <w:rFonts w:ascii="Arial" w:hAnsi="Arial" w:cs="Arial"/>
              </w:rPr>
              <w:t>;</w:t>
            </w:r>
            <w:r w:rsidR="00E34ECF" w:rsidRPr="00B210D2">
              <w:rPr>
                <w:rFonts w:ascii="Arial" w:hAnsi="Arial" w:cs="Arial"/>
              </w:rPr>
              <w:t xml:space="preserve"> 2.356 (18,34</w:t>
            </w:r>
            <w:r w:rsidR="00027A88" w:rsidRPr="00B210D2">
              <w:rPr>
                <w:rFonts w:ascii="Arial" w:hAnsi="Arial" w:cs="Arial"/>
              </w:rPr>
              <w:t>%) en área</w:t>
            </w:r>
            <w:r w:rsidRPr="00B210D2">
              <w:rPr>
                <w:rFonts w:ascii="Arial" w:hAnsi="Arial" w:cs="Arial"/>
              </w:rPr>
              <w:t>s rurales dispersas</w:t>
            </w:r>
            <w:r w:rsidR="008E41D7" w:rsidRPr="00B210D2">
              <w:rPr>
                <w:rFonts w:ascii="Arial" w:hAnsi="Arial" w:cs="Arial"/>
              </w:rPr>
              <w:t>;</w:t>
            </w:r>
            <w:r w:rsidR="00961A51" w:rsidRPr="00B210D2">
              <w:rPr>
                <w:rFonts w:ascii="Arial" w:hAnsi="Arial" w:cs="Arial"/>
              </w:rPr>
              <w:t xml:space="preserve"> </w:t>
            </w:r>
            <w:r w:rsidR="00E34ECF" w:rsidRPr="00B210D2">
              <w:rPr>
                <w:rFonts w:ascii="Arial" w:hAnsi="Arial" w:cs="Arial"/>
              </w:rPr>
              <w:t>3.446</w:t>
            </w:r>
            <w:r w:rsidR="008E41D7" w:rsidRPr="00B210D2">
              <w:rPr>
                <w:rFonts w:ascii="Arial" w:hAnsi="Arial" w:cs="Arial"/>
              </w:rPr>
              <w:t xml:space="preserve"> </w:t>
            </w:r>
            <w:r w:rsidR="00E34ECF" w:rsidRPr="00B210D2">
              <w:rPr>
                <w:rFonts w:ascii="Arial" w:hAnsi="Arial" w:cs="Arial"/>
              </w:rPr>
              <w:t>(26,83</w:t>
            </w:r>
            <w:r w:rsidR="008E41D7" w:rsidRPr="00B210D2">
              <w:rPr>
                <w:rFonts w:ascii="Arial" w:hAnsi="Arial" w:cs="Arial"/>
              </w:rPr>
              <w:t xml:space="preserve">%) </w:t>
            </w:r>
            <w:r w:rsidR="00961A51" w:rsidRPr="00B210D2">
              <w:rPr>
                <w:rFonts w:ascii="Arial" w:hAnsi="Arial" w:cs="Arial"/>
              </w:rPr>
              <w:t xml:space="preserve">en ciudades y aglomeraciones </w:t>
            </w:r>
            <w:r w:rsidR="00E34ECF" w:rsidRPr="00B210D2">
              <w:rPr>
                <w:rFonts w:ascii="Arial" w:hAnsi="Arial" w:cs="Arial"/>
              </w:rPr>
              <w:t>y 1.417 (11,03</w:t>
            </w:r>
            <w:r w:rsidRPr="00B210D2">
              <w:rPr>
                <w:rFonts w:ascii="Arial" w:hAnsi="Arial" w:cs="Arial"/>
              </w:rPr>
              <w:t xml:space="preserve">%) en </w:t>
            </w:r>
            <w:r w:rsidR="00B872E2" w:rsidRPr="00B210D2">
              <w:rPr>
                <w:rFonts w:ascii="Arial" w:hAnsi="Arial" w:cs="Arial"/>
              </w:rPr>
              <w:t>municipios intermedios. L</w:t>
            </w:r>
            <w:r w:rsidR="00E34ECF" w:rsidRPr="00B210D2">
              <w:rPr>
                <w:rFonts w:ascii="Arial" w:hAnsi="Arial" w:cs="Arial"/>
              </w:rPr>
              <w:t>as 803</w:t>
            </w:r>
            <w:r w:rsidR="00C25244" w:rsidRPr="00B210D2">
              <w:rPr>
                <w:rFonts w:ascii="Arial" w:hAnsi="Arial" w:cs="Arial"/>
              </w:rPr>
              <w:t xml:space="preserve"> (6,25</w:t>
            </w:r>
            <w:r w:rsidR="008E41D7" w:rsidRPr="00B210D2">
              <w:rPr>
                <w:rFonts w:ascii="Arial" w:hAnsi="Arial" w:cs="Arial"/>
              </w:rPr>
              <w:t>%)</w:t>
            </w:r>
            <w:r w:rsidR="00B872E2" w:rsidRPr="00B210D2">
              <w:rPr>
                <w:rFonts w:ascii="Arial" w:hAnsi="Arial" w:cs="Arial"/>
              </w:rPr>
              <w:t xml:space="preserve"> restantes se encuentren sin una ubicación formal. </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El Gobierno Nacional, mediante la Resolución Nº 4309 del 24 de d</w:t>
            </w:r>
            <w:r w:rsidR="008D48F1" w:rsidRPr="00B210D2">
              <w:rPr>
                <w:rFonts w:ascii="Arial" w:hAnsi="Arial" w:cs="Arial"/>
              </w:rPr>
              <w:t>iciembre de 2019</w:t>
            </w:r>
            <w:r w:rsidR="00367FDF" w:rsidRPr="00B210D2">
              <w:rPr>
                <w:rFonts w:ascii="Arial" w:hAnsi="Arial" w:cs="Arial"/>
              </w:rPr>
              <w:t xml:space="preserve"> expedida por la Agencia para la Reincorporación y la Normalización (ARN)</w:t>
            </w:r>
            <w:r w:rsidR="008D48F1" w:rsidRPr="00B210D2">
              <w:rPr>
                <w:rFonts w:ascii="Arial" w:hAnsi="Arial" w:cs="Arial"/>
              </w:rPr>
              <w:t>, instituyó la R</w:t>
            </w:r>
            <w:r w:rsidR="00367FDF" w:rsidRPr="00B210D2">
              <w:rPr>
                <w:rFonts w:ascii="Arial" w:hAnsi="Arial" w:cs="Arial"/>
              </w:rPr>
              <w:t>uta de R</w:t>
            </w:r>
            <w:r w:rsidRPr="00B210D2">
              <w:rPr>
                <w:rFonts w:ascii="Arial" w:hAnsi="Arial" w:cs="Arial"/>
              </w:rPr>
              <w:t>eincorporación, en observancia con lo acordado en el punto 3.2. del Acuerdo final,</w:t>
            </w:r>
            <w:r w:rsidR="00367FDF" w:rsidRPr="00B210D2">
              <w:rPr>
                <w:rFonts w:ascii="Arial" w:hAnsi="Arial" w:cs="Arial"/>
              </w:rPr>
              <w:t xml:space="preserve"> y</w:t>
            </w:r>
            <w:r w:rsidRPr="00B210D2">
              <w:rPr>
                <w:rFonts w:ascii="Arial" w:hAnsi="Arial" w:cs="Arial"/>
              </w:rPr>
              <w:t xml:space="preserve"> de conformidad, a su vez, con lo dispuesto en el Decre</w:t>
            </w:r>
            <w:r w:rsidR="008D48F1" w:rsidRPr="00B210D2">
              <w:rPr>
                <w:rFonts w:ascii="Arial" w:hAnsi="Arial" w:cs="Arial"/>
              </w:rPr>
              <w:t>to Ley 899 de 2017, a través de la</w:t>
            </w:r>
            <w:r w:rsidRPr="00B210D2">
              <w:rPr>
                <w:rFonts w:ascii="Arial" w:hAnsi="Arial" w:cs="Arial"/>
              </w:rPr>
              <w:t xml:space="preserve"> cual se establecieron medidas e instrumentos para la reincorporación económica y social</w:t>
            </w:r>
            <w:r w:rsidR="00367FDF" w:rsidRPr="00B210D2">
              <w:rPr>
                <w:rFonts w:ascii="Arial" w:hAnsi="Arial" w:cs="Arial"/>
              </w:rPr>
              <w:t>,</w:t>
            </w:r>
            <w:r w:rsidRPr="00B210D2">
              <w:rPr>
                <w:rFonts w:ascii="Arial" w:hAnsi="Arial" w:cs="Arial"/>
              </w:rPr>
              <w:t xml:space="preserve"> colectiva e individual</w:t>
            </w:r>
            <w:r w:rsidR="00367FDF" w:rsidRPr="00B210D2">
              <w:rPr>
                <w:rFonts w:ascii="Arial" w:hAnsi="Arial" w:cs="Arial"/>
              </w:rPr>
              <w:t>,</w:t>
            </w:r>
            <w:r w:rsidRPr="00B210D2">
              <w:rPr>
                <w:rFonts w:ascii="Arial" w:hAnsi="Arial" w:cs="Arial"/>
              </w:rPr>
              <w:t xml:space="preserve"> de los exintegrantes de las FARC- EP conforme al Acuerdo Final. </w:t>
            </w:r>
          </w:p>
          <w:p w:rsidR="00915D62" w:rsidRPr="00B210D2" w:rsidRDefault="00915D62" w:rsidP="00B210D2">
            <w:pPr>
              <w:pStyle w:val="Cuadrculamedia2"/>
              <w:jc w:val="both"/>
              <w:rPr>
                <w:rFonts w:ascii="Arial" w:hAnsi="Arial" w:cs="Arial"/>
              </w:rPr>
            </w:pPr>
          </w:p>
          <w:p w:rsidR="00915D62" w:rsidRPr="00B210D2" w:rsidRDefault="008D48F1" w:rsidP="00B210D2">
            <w:pPr>
              <w:pStyle w:val="Cuadrculamedia2"/>
              <w:jc w:val="both"/>
              <w:rPr>
                <w:rFonts w:ascii="Arial" w:hAnsi="Arial" w:cs="Arial"/>
              </w:rPr>
            </w:pPr>
            <w:r w:rsidRPr="00B210D2">
              <w:rPr>
                <w:rFonts w:ascii="Arial" w:hAnsi="Arial" w:cs="Arial"/>
              </w:rPr>
              <w:t>La R</w:t>
            </w:r>
            <w:r w:rsidR="00367FDF" w:rsidRPr="00B210D2">
              <w:rPr>
                <w:rFonts w:ascii="Arial" w:hAnsi="Arial" w:cs="Arial"/>
              </w:rPr>
              <w:t>uta de R</w:t>
            </w:r>
            <w:r w:rsidR="00915D62" w:rsidRPr="00B210D2">
              <w:rPr>
                <w:rFonts w:ascii="Arial" w:hAnsi="Arial" w:cs="Arial"/>
              </w:rPr>
              <w:t>eincorporación está integrada por los siguientes</w:t>
            </w:r>
            <w:r w:rsidR="00EC2D9F" w:rsidRPr="00B210D2">
              <w:rPr>
                <w:rFonts w:ascii="Arial" w:hAnsi="Arial" w:cs="Arial"/>
              </w:rPr>
              <w:t xml:space="preserve"> siete</w:t>
            </w:r>
            <w:r w:rsidR="00915D62" w:rsidRPr="00B210D2">
              <w:rPr>
                <w:rFonts w:ascii="Arial" w:hAnsi="Arial" w:cs="Arial"/>
              </w:rPr>
              <w:t xml:space="preserve"> </w:t>
            </w:r>
            <w:r w:rsidR="00EC2D9F" w:rsidRPr="00B210D2">
              <w:rPr>
                <w:rFonts w:ascii="Arial" w:hAnsi="Arial" w:cs="Arial"/>
              </w:rPr>
              <w:t>(0</w:t>
            </w:r>
            <w:r w:rsidR="00915D62" w:rsidRPr="00B210D2">
              <w:rPr>
                <w:rFonts w:ascii="Arial" w:hAnsi="Arial" w:cs="Arial"/>
              </w:rPr>
              <w:t>7</w:t>
            </w:r>
            <w:r w:rsidR="00EC2D9F" w:rsidRPr="00B210D2">
              <w:rPr>
                <w:rFonts w:ascii="Arial" w:hAnsi="Arial" w:cs="Arial"/>
              </w:rPr>
              <w:t>)</w:t>
            </w:r>
            <w:r w:rsidR="00915D62" w:rsidRPr="00B210D2">
              <w:rPr>
                <w:rFonts w:ascii="Arial" w:hAnsi="Arial" w:cs="Arial"/>
              </w:rPr>
              <w:t xml:space="preserve"> componentes de largo plazo: </w:t>
            </w:r>
            <w:r w:rsidR="00915D62" w:rsidRPr="00B210D2">
              <w:rPr>
                <w:rFonts w:ascii="Arial" w:hAnsi="Arial" w:cs="Arial"/>
                <w:b/>
              </w:rPr>
              <w:t xml:space="preserve">i) </w:t>
            </w:r>
            <w:r w:rsidR="00915D62" w:rsidRPr="00B210D2">
              <w:rPr>
                <w:rFonts w:ascii="Arial" w:hAnsi="Arial" w:cs="Arial"/>
              </w:rPr>
              <w:t xml:space="preserve">Educación; </w:t>
            </w:r>
            <w:r w:rsidR="00915D62" w:rsidRPr="00B210D2">
              <w:rPr>
                <w:rFonts w:ascii="Arial" w:hAnsi="Arial" w:cs="Arial"/>
                <w:b/>
              </w:rPr>
              <w:t xml:space="preserve">ii) </w:t>
            </w:r>
            <w:r w:rsidR="00915D62" w:rsidRPr="00B210D2">
              <w:rPr>
                <w:rFonts w:ascii="Arial" w:hAnsi="Arial" w:cs="Arial"/>
              </w:rPr>
              <w:t xml:space="preserve">Sostenibilidad económica; </w:t>
            </w:r>
            <w:r w:rsidR="00915D62" w:rsidRPr="00B210D2">
              <w:rPr>
                <w:rFonts w:ascii="Arial" w:hAnsi="Arial" w:cs="Arial"/>
                <w:b/>
              </w:rPr>
              <w:t xml:space="preserve">iii) </w:t>
            </w:r>
            <w:r w:rsidR="00915D62" w:rsidRPr="00B210D2">
              <w:rPr>
                <w:rFonts w:ascii="Arial" w:hAnsi="Arial" w:cs="Arial"/>
              </w:rPr>
              <w:t xml:space="preserve">Habitabilidad y vivienda; </w:t>
            </w:r>
            <w:r w:rsidR="00915D62" w:rsidRPr="00B210D2">
              <w:rPr>
                <w:rFonts w:ascii="Arial" w:hAnsi="Arial" w:cs="Arial"/>
                <w:b/>
              </w:rPr>
              <w:t>iv)</w:t>
            </w:r>
            <w:r w:rsidR="00915D62" w:rsidRPr="00B210D2">
              <w:rPr>
                <w:rFonts w:ascii="Arial" w:hAnsi="Arial" w:cs="Arial"/>
              </w:rPr>
              <w:t xml:space="preserve"> Salud; </w:t>
            </w:r>
            <w:r w:rsidR="00915D62" w:rsidRPr="00B210D2">
              <w:rPr>
                <w:rFonts w:ascii="Arial" w:hAnsi="Arial" w:cs="Arial"/>
                <w:b/>
              </w:rPr>
              <w:t>v)</w:t>
            </w:r>
            <w:r w:rsidR="00915D62" w:rsidRPr="00B210D2">
              <w:rPr>
                <w:rFonts w:ascii="Arial" w:hAnsi="Arial" w:cs="Arial"/>
              </w:rPr>
              <w:t xml:space="preserve"> Bienestar psicosocial integral; </w:t>
            </w:r>
            <w:r w:rsidR="00915D62" w:rsidRPr="00B210D2">
              <w:rPr>
                <w:rFonts w:ascii="Arial" w:hAnsi="Arial" w:cs="Arial"/>
                <w:b/>
              </w:rPr>
              <w:t>vi)</w:t>
            </w:r>
            <w:r w:rsidR="00915D62" w:rsidRPr="00B210D2">
              <w:rPr>
                <w:rFonts w:ascii="Arial" w:hAnsi="Arial" w:cs="Arial"/>
              </w:rPr>
              <w:t xml:space="preserve"> Familia; y </w:t>
            </w:r>
            <w:r w:rsidR="00915D62" w:rsidRPr="00B210D2">
              <w:rPr>
                <w:rFonts w:ascii="Arial" w:hAnsi="Arial" w:cs="Arial"/>
                <w:b/>
              </w:rPr>
              <w:t>vii)</w:t>
            </w:r>
            <w:r w:rsidR="00915D62" w:rsidRPr="00B210D2">
              <w:rPr>
                <w:rFonts w:ascii="Arial" w:hAnsi="Arial" w:cs="Arial"/>
              </w:rPr>
              <w:t xml:space="preserve"> Comunitario. </w:t>
            </w:r>
          </w:p>
          <w:p w:rsidR="00915D62" w:rsidRPr="00B210D2" w:rsidRDefault="00915D62" w:rsidP="00B210D2">
            <w:pPr>
              <w:pStyle w:val="Cuadrculamedia2"/>
              <w:jc w:val="both"/>
              <w:rPr>
                <w:rFonts w:ascii="Arial" w:hAnsi="Arial" w:cs="Arial"/>
              </w:rPr>
            </w:pPr>
          </w:p>
          <w:p w:rsidR="00915D62" w:rsidRPr="00B210D2" w:rsidRDefault="00915D62" w:rsidP="00B210D2">
            <w:pPr>
              <w:pStyle w:val="Cuadrculamedia2"/>
              <w:jc w:val="both"/>
              <w:rPr>
                <w:rFonts w:ascii="Arial" w:hAnsi="Arial" w:cs="Arial"/>
              </w:rPr>
            </w:pPr>
            <w:r w:rsidRPr="00B210D2">
              <w:rPr>
                <w:rFonts w:ascii="Arial" w:hAnsi="Arial" w:cs="Arial"/>
              </w:rPr>
              <w:t>En el marco del componente de habitabilidad y vivienda, se dispuso en su</w:t>
            </w:r>
            <w:r w:rsidR="008D48F1" w:rsidRPr="00B210D2">
              <w:rPr>
                <w:rFonts w:ascii="Arial" w:hAnsi="Arial" w:cs="Arial"/>
              </w:rPr>
              <w:t xml:space="preserve"> artículo 13, como parte de la R</w:t>
            </w:r>
            <w:r w:rsidRPr="00B210D2">
              <w:rPr>
                <w:rFonts w:ascii="Arial" w:hAnsi="Arial" w:cs="Arial"/>
              </w:rPr>
              <w:t xml:space="preserve">uta </w:t>
            </w:r>
            <w:r w:rsidR="00367FDF" w:rsidRPr="00B210D2">
              <w:rPr>
                <w:rFonts w:ascii="Arial" w:hAnsi="Arial" w:cs="Arial"/>
              </w:rPr>
              <w:t>de R</w:t>
            </w:r>
            <w:r w:rsidRPr="00B210D2">
              <w:rPr>
                <w:rFonts w:ascii="Arial" w:hAnsi="Arial" w:cs="Arial"/>
              </w:rPr>
              <w:t xml:space="preserve">eincorporación, brindar el acompañamiento y efectuar las gestiones necesarias para lograr la promoción de condiciones habitacionales óptimas, acordes con el contexto territorial y la oferta pública disponible. </w:t>
            </w:r>
          </w:p>
          <w:p w:rsidR="00915D62" w:rsidRPr="00B210D2" w:rsidRDefault="00915D62" w:rsidP="00B210D2">
            <w:pPr>
              <w:pStyle w:val="Cuadrculamedia2"/>
              <w:jc w:val="both"/>
              <w:rPr>
                <w:rFonts w:ascii="Arial" w:hAnsi="Arial" w:cs="Arial"/>
              </w:rPr>
            </w:pPr>
          </w:p>
          <w:p w:rsidR="00826D5A" w:rsidRPr="00B210D2" w:rsidRDefault="00915D62" w:rsidP="00B210D2">
            <w:pPr>
              <w:pStyle w:val="Cuadrculamedia2"/>
              <w:jc w:val="both"/>
              <w:rPr>
                <w:rFonts w:ascii="Arial" w:hAnsi="Arial" w:cs="Arial"/>
              </w:rPr>
            </w:pPr>
            <w:r w:rsidRPr="00B210D2">
              <w:rPr>
                <w:rFonts w:ascii="Arial" w:hAnsi="Arial" w:cs="Arial"/>
              </w:rPr>
              <w:t xml:space="preserve">Por lo anterior, el Gobierno Nacional ha identificado la necesidad de </w:t>
            </w:r>
            <w:r w:rsidR="00826D5A" w:rsidRPr="00B210D2">
              <w:rPr>
                <w:rFonts w:ascii="Arial" w:hAnsi="Arial" w:cs="Arial"/>
              </w:rPr>
              <w:t xml:space="preserve">promover estrategias que permitan </w:t>
            </w:r>
            <w:r w:rsidR="00385AA5" w:rsidRPr="00B210D2">
              <w:rPr>
                <w:rFonts w:ascii="Arial" w:hAnsi="Arial" w:cs="Arial"/>
              </w:rPr>
              <w:t>dotar a los ex integrantes de las FARC- EP de soluciones habitacionales permanentes, en suelo tanto rural</w:t>
            </w:r>
            <w:r w:rsidR="005E71F7" w:rsidRPr="00B210D2">
              <w:rPr>
                <w:rFonts w:ascii="Arial" w:hAnsi="Arial" w:cs="Arial"/>
              </w:rPr>
              <w:t xml:space="preserve"> como urbano</w:t>
            </w:r>
            <w:r w:rsidR="00385AA5" w:rsidRPr="00B210D2">
              <w:rPr>
                <w:rFonts w:ascii="Arial" w:hAnsi="Arial" w:cs="Arial"/>
              </w:rPr>
              <w:t>, con el fin de generar condiciones que sirvan de derrotero para su consolidación en la legalidad y para el desarrollo de un adecuado proyecto de vida.</w:t>
            </w:r>
          </w:p>
          <w:p w:rsidR="00385AA5" w:rsidRPr="00B210D2" w:rsidRDefault="00385AA5" w:rsidP="00B210D2">
            <w:pPr>
              <w:pStyle w:val="Cuadrculamedia2"/>
              <w:jc w:val="both"/>
              <w:rPr>
                <w:rFonts w:ascii="Arial" w:hAnsi="Arial" w:cs="Arial"/>
              </w:rPr>
            </w:pPr>
          </w:p>
          <w:p w:rsidR="00300400" w:rsidRPr="00B210D2" w:rsidRDefault="00111C24" w:rsidP="00B210D2">
            <w:pPr>
              <w:pStyle w:val="Cuadrculamedia2"/>
              <w:jc w:val="both"/>
              <w:rPr>
                <w:rFonts w:ascii="Arial" w:hAnsi="Arial" w:cs="Arial"/>
              </w:rPr>
            </w:pPr>
            <w:r w:rsidRPr="00B210D2">
              <w:rPr>
                <w:rFonts w:ascii="Arial" w:hAnsi="Arial" w:cs="Arial"/>
              </w:rPr>
              <w:t>Ahora bien, en esta instancia es importante mencionar que, de conformidad con lo dispuesto en el Decreto Ley 3571 de 2011, el Ministerio de Vivienda, Ciudad y Territorio es la entidad del Gobierno Nacional encargada de formular, dirigir y coordinar las políticas, planes, programas y regulaciones en materia de vivienda y financiación de vivienda urbana y rural, desarrollo urbano, ordenamiento territorial y uso del suelo, agua potable y sane</w:t>
            </w:r>
            <w:r w:rsidR="009D5040">
              <w:rPr>
                <w:rFonts w:ascii="Arial" w:hAnsi="Arial" w:cs="Arial"/>
              </w:rPr>
              <w:t>a</w:t>
            </w:r>
            <w:r w:rsidRPr="00B210D2">
              <w:rPr>
                <w:rFonts w:ascii="Arial" w:hAnsi="Arial" w:cs="Arial"/>
              </w:rPr>
              <w:t>miento básico; así como de e</w:t>
            </w:r>
            <w:r w:rsidR="005E71F7" w:rsidRPr="00B210D2">
              <w:rPr>
                <w:rFonts w:ascii="Arial" w:hAnsi="Arial" w:cs="Arial"/>
              </w:rPr>
              <w:t>xpedir</w:t>
            </w:r>
            <w:r w:rsidRPr="00B210D2">
              <w:rPr>
                <w:rFonts w:ascii="Arial" w:hAnsi="Arial" w:cs="Arial"/>
              </w:rPr>
              <w:t xml:space="preserve"> los instrumentos normativos para su implementación. </w:t>
            </w:r>
          </w:p>
          <w:p w:rsidR="00111C24" w:rsidRPr="00B210D2" w:rsidRDefault="00111C24" w:rsidP="00B210D2">
            <w:pPr>
              <w:pStyle w:val="Cuadrculamedia2"/>
              <w:jc w:val="both"/>
              <w:rPr>
                <w:rFonts w:ascii="Arial" w:hAnsi="Arial" w:cs="Arial"/>
              </w:rPr>
            </w:pPr>
          </w:p>
          <w:p w:rsidR="008A0346" w:rsidRPr="00B210D2" w:rsidRDefault="00111C24" w:rsidP="00B210D2">
            <w:pPr>
              <w:pStyle w:val="Cuadrculamedia2"/>
              <w:jc w:val="both"/>
              <w:rPr>
                <w:rFonts w:ascii="Arial" w:hAnsi="Arial" w:cs="Arial"/>
              </w:rPr>
            </w:pPr>
            <w:r w:rsidRPr="00B210D2">
              <w:rPr>
                <w:rFonts w:ascii="Arial" w:hAnsi="Arial" w:cs="Arial"/>
              </w:rPr>
              <w:t>La competencia sobre la formula</w:t>
            </w:r>
            <w:r w:rsidR="009D5040">
              <w:rPr>
                <w:rFonts w:ascii="Arial" w:hAnsi="Arial" w:cs="Arial"/>
              </w:rPr>
              <w:t>ción y coordinación de la políti</w:t>
            </w:r>
            <w:r w:rsidRPr="00B210D2">
              <w:rPr>
                <w:rFonts w:ascii="Arial" w:hAnsi="Arial" w:cs="Arial"/>
              </w:rPr>
              <w:t>ca pública de vivienda rural fue asignada a través del artículo 255 de la Ley 1955 de 2019</w:t>
            </w:r>
            <w:r w:rsidR="00EC2D9F" w:rsidRPr="00B210D2">
              <w:rPr>
                <w:rFonts w:ascii="Arial" w:hAnsi="Arial" w:cs="Arial"/>
                <w:lang w:eastAsia="es-CO"/>
              </w:rPr>
              <w:t xml:space="preserve">, </w:t>
            </w:r>
            <w:r w:rsidR="00EC2D9F" w:rsidRPr="00B210D2">
              <w:rPr>
                <w:rFonts w:ascii="Arial" w:hAnsi="Arial" w:cs="Arial"/>
              </w:rPr>
              <w:t>contentiva del Plan Nacional de Desarrollo 2018- 2022 “</w:t>
            </w:r>
            <w:r w:rsidR="00EC2D9F" w:rsidRPr="00B210D2">
              <w:rPr>
                <w:rFonts w:ascii="Arial" w:hAnsi="Arial" w:cs="Arial"/>
                <w:i/>
              </w:rPr>
              <w:t>Pacto por Colombia, pacto por la equidad”,</w:t>
            </w:r>
            <w:r w:rsidR="00EC2D9F" w:rsidRPr="00B210D2">
              <w:rPr>
                <w:rFonts w:ascii="Arial" w:hAnsi="Arial" w:cs="Arial"/>
              </w:rPr>
              <w:t xml:space="preserve"> a través del cual se estableció que el Gobierno Nacional diseñaría un plan para la efectiva implementación de la política de vivienda rural, y determinó en competencia del Ministerio de Vivienda, Ciudad y Territorio, a partir del año 2020, su formulación, y la coordinación y liderazgo en la ejecución de los proyectos de vivienda y mejoramiento de vivienda encaminados a la disminución del déficit habitacional rural.</w:t>
            </w:r>
            <w:r w:rsidR="00EC2D9F" w:rsidRPr="00B210D2">
              <w:rPr>
                <w:rFonts w:ascii="Arial" w:hAnsi="Arial" w:cs="Arial"/>
                <w:lang w:eastAsia="es-CO"/>
              </w:rPr>
              <w:t xml:space="preserve"> </w:t>
            </w:r>
            <w:r w:rsidR="00EC2D9F" w:rsidRPr="00B210D2">
              <w:rPr>
                <w:rFonts w:ascii="Arial" w:eastAsia="Arial" w:hAnsi="Arial" w:cs="Arial"/>
                <w:lang w:bidi="es-ES"/>
              </w:rPr>
              <w:t xml:space="preserve"> </w:t>
            </w:r>
          </w:p>
          <w:p w:rsidR="00EC2D9F" w:rsidRPr="00B210D2" w:rsidRDefault="00EC2D9F" w:rsidP="00B210D2">
            <w:pPr>
              <w:jc w:val="both"/>
              <w:rPr>
                <w:rFonts w:eastAsia="Arial" w:cs="Arial"/>
                <w:sz w:val="22"/>
                <w:szCs w:val="22"/>
                <w:lang w:bidi="es-ES"/>
              </w:rPr>
            </w:pPr>
          </w:p>
          <w:p w:rsidR="00EC2D9F" w:rsidRPr="00B210D2" w:rsidRDefault="00EC2D9F" w:rsidP="00B210D2">
            <w:pPr>
              <w:pStyle w:val="Default"/>
              <w:jc w:val="both"/>
              <w:rPr>
                <w:rFonts w:eastAsia="Arial"/>
                <w:sz w:val="22"/>
                <w:szCs w:val="22"/>
                <w:lang w:bidi="es-ES"/>
              </w:rPr>
            </w:pPr>
            <w:r w:rsidRPr="00B210D2">
              <w:rPr>
                <w:rFonts w:eastAsia="Arial"/>
                <w:sz w:val="22"/>
                <w:szCs w:val="22"/>
                <w:lang w:bidi="es-ES"/>
              </w:rPr>
              <w:t xml:space="preserve">Bajo esta perspectiva, </w:t>
            </w:r>
            <w:r w:rsidR="00111C24" w:rsidRPr="00B210D2">
              <w:rPr>
                <w:rFonts w:eastAsia="Arial"/>
                <w:sz w:val="22"/>
                <w:szCs w:val="22"/>
                <w:lang w:bidi="es-ES"/>
              </w:rPr>
              <w:t xml:space="preserve">en el Ministerio de Vivienda, Ciudad y Territorio recae, actualmente, la formulación, dirección y coordinación de la política pública </w:t>
            </w:r>
            <w:r w:rsidR="005E71F7" w:rsidRPr="00B210D2">
              <w:rPr>
                <w:rFonts w:eastAsia="Arial"/>
                <w:sz w:val="22"/>
                <w:szCs w:val="22"/>
                <w:lang w:bidi="es-ES"/>
              </w:rPr>
              <w:t>en materia de vivienda de</w:t>
            </w:r>
            <w:r w:rsidR="00111C24" w:rsidRPr="00B210D2">
              <w:rPr>
                <w:rFonts w:eastAsia="Arial"/>
                <w:sz w:val="22"/>
                <w:szCs w:val="22"/>
                <w:lang w:bidi="es-ES"/>
              </w:rPr>
              <w:t xml:space="preserve"> manera integral, es decir</w:t>
            </w:r>
            <w:r w:rsidR="005E71F7" w:rsidRPr="00B210D2">
              <w:rPr>
                <w:rFonts w:eastAsia="Arial"/>
                <w:sz w:val="22"/>
                <w:szCs w:val="22"/>
                <w:lang w:bidi="es-ES"/>
              </w:rPr>
              <w:t>,</w:t>
            </w:r>
            <w:r w:rsidR="00111C24" w:rsidRPr="00B210D2">
              <w:rPr>
                <w:rFonts w:eastAsia="Arial"/>
                <w:sz w:val="22"/>
                <w:szCs w:val="22"/>
                <w:lang w:bidi="es-ES"/>
              </w:rPr>
              <w:t xml:space="preserve"> tanto aquella que se ubica en suelo urbano como rural, con el fin de promover la satisfacción del derecho fundamental instituido en el artículo 51</w:t>
            </w:r>
            <w:r w:rsidR="005E71F7" w:rsidRPr="00B210D2">
              <w:rPr>
                <w:rFonts w:eastAsia="Arial"/>
                <w:sz w:val="22"/>
                <w:szCs w:val="22"/>
                <w:lang w:bidi="es-ES"/>
              </w:rPr>
              <w:t xml:space="preserve"> </w:t>
            </w:r>
            <w:r w:rsidR="00111C24" w:rsidRPr="00B210D2">
              <w:rPr>
                <w:rFonts w:eastAsia="Arial"/>
                <w:sz w:val="22"/>
                <w:szCs w:val="22"/>
                <w:lang w:bidi="es-ES"/>
              </w:rPr>
              <w:t>de la Constitución Política Colombian</w:t>
            </w:r>
            <w:r w:rsidR="005E71F7" w:rsidRPr="00B210D2">
              <w:rPr>
                <w:rFonts w:eastAsia="Arial"/>
                <w:sz w:val="22"/>
                <w:szCs w:val="22"/>
                <w:lang w:bidi="es-ES"/>
              </w:rPr>
              <w:t>a.</w:t>
            </w:r>
          </w:p>
          <w:p w:rsidR="00804E43" w:rsidRPr="00B210D2" w:rsidRDefault="00804E43" w:rsidP="00B210D2">
            <w:pPr>
              <w:pStyle w:val="Default"/>
              <w:jc w:val="both"/>
              <w:rPr>
                <w:rFonts w:eastAsia="Arial"/>
                <w:sz w:val="22"/>
                <w:szCs w:val="22"/>
                <w:lang w:bidi="es-ES"/>
              </w:rPr>
            </w:pPr>
          </w:p>
          <w:p w:rsidR="00804E43" w:rsidRPr="00B210D2" w:rsidRDefault="00804E43" w:rsidP="00B210D2">
            <w:pPr>
              <w:pStyle w:val="Default"/>
              <w:jc w:val="both"/>
              <w:rPr>
                <w:rFonts w:eastAsia="Arial"/>
                <w:sz w:val="22"/>
                <w:szCs w:val="22"/>
                <w:lang w:bidi="es-ES"/>
              </w:rPr>
            </w:pPr>
            <w:r w:rsidRPr="00B210D2">
              <w:rPr>
                <w:rFonts w:eastAsia="Arial"/>
                <w:sz w:val="22"/>
                <w:szCs w:val="22"/>
                <w:lang w:bidi="es-ES"/>
              </w:rPr>
              <w:t xml:space="preserve">Así las cosas, en materia rural esta Cartera Ministerial ha desarrollado dos estrategias tendientes a dotar de soluciones habitacionales permanentes a los ex integrantes de las FARC – EP que se encuentran dentro de la ruta de reincorporación, en observancia del diagnóstico y los compromisos adquiridos a través del documento CONPES 3931 de 2018. </w:t>
            </w:r>
          </w:p>
          <w:p w:rsidR="00804E43" w:rsidRPr="00B210D2" w:rsidRDefault="00804E43" w:rsidP="00B210D2">
            <w:pPr>
              <w:pStyle w:val="Default"/>
              <w:jc w:val="both"/>
              <w:rPr>
                <w:rFonts w:eastAsia="Arial"/>
                <w:sz w:val="22"/>
                <w:szCs w:val="22"/>
                <w:lang w:bidi="es-ES"/>
              </w:rPr>
            </w:pPr>
          </w:p>
          <w:p w:rsidR="00804E43" w:rsidRPr="00B210D2" w:rsidRDefault="00804E43" w:rsidP="00B210D2">
            <w:pPr>
              <w:pStyle w:val="Default"/>
              <w:jc w:val="both"/>
              <w:rPr>
                <w:rFonts w:eastAsia="Arial"/>
                <w:sz w:val="22"/>
                <w:szCs w:val="22"/>
                <w:lang w:bidi="es-ES"/>
              </w:rPr>
            </w:pPr>
            <w:r w:rsidRPr="00B210D2">
              <w:rPr>
                <w:rFonts w:eastAsia="Arial"/>
                <w:sz w:val="22"/>
                <w:szCs w:val="22"/>
                <w:lang w:bidi="es-ES"/>
              </w:rPr>
              <w:t>Las estrategias en materia rural se focalizan en dos grupos, de acuerdo con el lugar de ubicación de los ex integrantes de las FARC- EP. La primera de ellas se focaliza en las personas en reincorporación que se encuentran ubicadas en los antiguos Espacios Territoriales de Capacitación y Reincorporación (antiguos ETCRs)</w:t>
            </w:r>
            <w:r w:rsidR="005E71F7" w:rsidRPr="00B210D2">
              <w:rPr>
                <w:rFonts w:eastAsia="Arial"/>
                <w:sz w:val="22"/>
                <w:szCs w:val="22"/>
                <w:lang w:bidi="es-ES"/>
              </w:rPr>
              <w:t>; y la segunda</w:t>
            </w:r>
            <w:r w:rsidRPr="00B210D2">
              <w:rPr>
                <w:rFonts w:eastAsia="Arial"/>
                <w:sz w:val="22"/>
                <w:szCs w:val="22"/>
                <w:lang w:bidi="es-ES"/>
              </w:rPr>
              <w:t xml:space="preserve">, en los ex integrantes y sus familias que han decidido o se encuentran habitando zonas rurales, pero su deseo no es permanecer en los antiguos ETCRs. </w:t>
            </w:r>
          </w:p>
          <w:p w:rsidR="00804E43" w:rsidRPr="00B210D2" w:rsidRDefault="00804E43" w:rsidP="00B210D2">
            <w:pPr>
              <w:pStyle w:val="Default"/>
              <w:jc w:val="both"/>
              <w:rPr>
                <w:rFonts w:eastAsia="Arial"/>
                <w:sz w:val="22"/>
                <w:szCs w:val="22"/>
                <w:lang w:bidi="es-ES"/>
              </w:rPr>
            </w:pPr>
          </w:p>
          <w:p w:rsidR="00804E43" w:rsidRPr="00B210D2" w:rsidRDefault="00314345" w:rsidP="00B210D2">
            <w:pPr>
              <w:pStyle w:val="Default"/>
              <w:jc w:val="both"/>
              <w:rPr>
                <w:rFonts w:eastAsia="Arial"/>
                <w:sz w:val="22"/>
                <w:szCs w:val="22"/>
                <w:lang w:bidi="es-ES"/>
              </w:rPr>
            </w:pPr>
            <w:r w:rsidRPr="00B210D2">
              <w:rPr>
                <w:rFonts w:eastAsia="Arial"/>
                <w:sz w:val="22"/>
                <w:szCs w:val="22"/>
                <w:lang w:bidi="es-ES"/>
              </w:rPr>
              <w:t xml:space="preserve">En relación </w:t>
            </w:r>
            <w:r w:rsidR="005E71F7" w:rsidRPr="00B210D2">
              <w:rPr>
                <w:rFonts w:eastAsia="Arial"/>
                <w:sz w:val="22"/>
                <w:szCs w:val="22"/>
                <w:lang w:bidi="es-ES"/>
              </w:rPr>
              <w:t xml:space="preserve">con </w:t>
            </w:r>
            <w:r w:rsidRPr="00B210D2">
              <w:rPr>
                <w:rFonts w:eastAsia="Arial"/>
                <w:sz w:val="22"/>
                <w:szCs w:val="22"/>
                <w:lang w:bidi="es-ES"/>
              </w:rPr>
              <w:t>la primera estrategia destinada a</w:t>
            </w:r>
            <w:r w:rsidR="00804E43" w:rsidRPr="00B210D2">
              <w:rPr>
                <w:rFonts w:eastAsia="Arial"/>
                <w:sz w:val="22"/>
                <w:szCs w:val="22"/>
                <w:lang w:bidi="es-ES"/>
              </w:rPr>
              <w:t xml:space="preserve"> los ex integrantes que han decidido permanecer en los antiguos Espacios Territoriales de Capacitación y Reincorporación, el Ministerio de Vivienda, Ciudad y Territorio ha implementado un programa con el cual se pretende dotar de soluciones habitacionales </w:t>
            </w:r>
            <w:r w:rsidR="00C87715" w:rsidRPr="00B210D2">
              <w:rPr>
                <w:rFonts w:eastAsia="Arial"/>
                <w:sz w:val="22"/>
                <w:szCs w:val="22"/>
                <w:lang w:bidi="es-ES"/>
              </w:rPr>
              <w:t xml:space="preserve">permanentes, acordes con el ordenamiento territoriales y dotadas de servicios públicos y obras de urbanismo que permitan la consolidación </w:t>
            </w:r>
            <w:r w:rsidR="00804E43" w:rsidRPr="00B210D2">
              <w:rPr>
                <w:rFonts w:eastAsia="Arial"/>
                <w:sz w:val="22"/>
                <w:szCs w:val="22"/>
                <w:lang w:bidi="es-ES"/>
              </w:rPr>
              <w:t>centros poblados rurales, bajo la asignación de un subsidio familiar de vivienda 100% en especie</w:t>
            </w:r>
            <w:r w:rsidR="005E71F7" w:rsidRPr="00B210D2">
              <w:rPr>
                <w:rFonts w:eastAsia="Arial"/>
                <w:sz w:val="22"/>
                <w:szCs w:val="22"/>
                <w:lang w:bidi="es-ES"/>
              </w:rPr>
              <w:t>. Para lograr este cometido</w:t>
            </w:r>
            <w:r w:rsidR="009D5040">
              <w:rPr>
                <w:rFonts w:eastAsia="Arial"/>
                <w:sz w:val="22"/>
                <w:szCs w:val="22"/>
                <w:lang w:bidi="es-ES"/>
              </w:rPr>
              <w:t xml:space="preserve"> se expi</w:t>
            </w:r>
            <w:r w:rsidR="00804E43" w:rsidRPr="00B210D2">
              <w:rPr>
                <w:rFonts w:eastAsia="Arial"/>
                <w:sz w:val="22"/>
                <w:szCs w:val="22"/>
                <w:lang w:bidi="es-ES"/>
              </w:rPr>
              <w:t xml:space="preserve">dió la Resolución 094 en fecha </w:t>
            </w:r>
            <w:r w:rsidR="00C87715" w:rsidRPr="00B210D2">
              <w:rPr>
                <w:rFonts w:eastAsia="Arial"/>
                <w:sz w:val="22"/>
                <w:szCs w:val="22"/>
                <w:lang w:bidi="es-ES"/>
              </w:rPr>
              <w:t xml:space="preserve">10 de marzo de 2021. </w:t>
            </w:r>
          </w:p>
          <w:p w:rsidR="008453B0" w:rsidRPr="00B210D2" w:rsidRDefault="008453B0" w:rsidP="00B210D2">
            <w:pPr>
              <w:pStyle w:val="Default"/>
              <w:jc w:val="both"/>
              <w:rPr>
                <w:rFonts w:eastAsia="Arial"/>
                <w:sz w:val="22"/>
                <w:szCs w:val="22"/>
                <w:lang w:bidi="es-ES"/>
              </w:rPr>
            </w:pPr>
          </w:p>
          <w:p w:rsidR="008453B0" w:rsidRPr="00B210D2" w:rsidRDefault="008453B0" w:rsidP="00B210D2">
            <w:pPr>
              <w:pStyle w:val="Default"/>
              <w:jc w:val="both"/>
              <w:rPr>
                <w:rFonts w:eastAsia="Arial"/>
                <w:sz w:val="22"/>
                <w:szCs w:val="22"/>
                <w:lang w:bidi="es-ES"/>
              </w:rPr>
            </w:pPr>
            <w:r w:rsidRPr="00B210D2">
              <w:rPr>
                <w:rFonts w:eastAsia="Arial"/>
                <w:sz w:val="22"/>
                <w:szCs w:val="22"/>
                <w:lang w:bidi="es-ES"/>
              </w:rPr>
              <w:t>Con esta estrategia se estima prove</w:t>
            </w:r>
            <w:r w:rsidR="005E71F7" w:rsidRPr="00B210D2">
              <w:rPr>
                <w:rFonts w:eastAsia="Arial"/>
                <w:sz w:val="22"/>
                <w:szCs w:val="22"/>
                <w:lang w:bidi="es-ES"/>
              </w:rPr>
              <w:t>e</w:t>
            </w:r>
            <w:r w:rsidRPr="00B210D2">
              <w:rPr>
                <w:rFonts w:eastAsia="Arial"/>
                <w:sz w:val="22"/>
                <w:szCs w:val="22"/>
                <w:lang w:bidi="es-ES"/>
              </w:rPr>
              <w:t xml:space="preserve">r de una vivienda digna a </w:t>
            </w:r>
            <w:r w:rsidR="005E71F7" w:rsidRPr="00B210D2">
              <w:rPr>
                <w:rFonts w:eastAsia="Arial"/>
                <w:sz w:val="22"/>
                <w:szCs w:val="22"/>
                <w:lang w:bidi="es-ES"/>
              </w:rPr>
              <w:t>2.371</w:t>
            </w:r>
            <w:r w:rsidR="005E71F7" w:rsidRPr="00B210D2">
              <w:rPr>
                <w:sz w:val="22"/>
                <w:szCs w:val="22"/>
              </w:rPr>
              <w:t xml:space="preserve"> </w:t>
            </w:r>
            <w:r w:rsidRPr="00B210D2">
              <w:rPr>
                <w:rFonts w:eastAsia="Arial"/>
                <w:sz w:val="22"/>
                <w:szCs w:val="22"/>
                <w:lang w:bidi="es-ES"/>
              </w:rPr>
              <w:t xml:space="preserve">hogares en proceso de reincorporación en los antiguos Espacios Territoriales de Capacitación y Reincorporación (antiguos ETCRs), ubicados en las zonas que se identifican en el siguiente mapa: </w:t>
            </w:r>
          </w:p>
          <w:p w:rsidR="00804E43" w:rsidRPr="00B210D2" w:rsidRDefault="00E7034A" w:rsidP="00B210D2">
            <w:pPr>
              <w:pStyle w:val="Default"/>
              <w:jc w:val="center"/>
              <w:rPr>
                <w:rFonts w:eastAsia="Arial"/>
                <w:sz w:val="22"/>
                <w:szCs w:val="22"/>
                <w:lang w:bidi="es-ES"/>
              </w:rPr>
            </w:pPr>
            <w:r w:rsidRPr="00B210D2">
              <w:rPr>
                <w:rFonts w:eastAsia="Arial"/>
                <w:noProof/>
                <w:sz w:val="22"/>
                <w:szCs w:val="22"/>
                <w:lang w:val="es-ES_tradnl" w:eastAsia="es-ES_tradnl"/>
              </w:rPr>
              <w:drawing>
                <wp:inline distT="0" distB="0" distL="0" distR="0">
                  <wp:extent cx="2999105" cy="286639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105" cy="2866390"/>
                          </a:xfrm>
                          <a:prstGeom prst="rect">
                            <a:avLst/>
                          </a:prstGeom>
                          <a:noFill/>
                          <a:ln>
                            <a:noFill/>
                          </a:ln>
                        </pic:spPr>
                      </pic:pic>
                    </a:graphicData>
                  </a:graphic>
                </wp:inline>
              </w:drawing>
            </w:r>
          </w:p>
          <w:p w:rsidR="005E71F7" w:rsidRPr="00B210D2" w:rsidRDefault="005E71F7" w:rsidP="00B210D2">
            <w:pPr>
              <w:pStyle w:val="Default"/>
              <w:jc w:val="both"/>
              <w:rPr>
                <w:sz w:val="22"/>
                <w:szCs w:val="22"/>
              </w:rPr>
            </w:pPr>
          </w:p>
          <w:p w:rsidR="00804E43" w:rsidRPr="00B210D2" w:rsidRDefault="008453B0" w:rsidP="00B210D2">
            <w:pPr>
              <w:pStyle w:val="Default"/>
              <w:jc w:val="both"/>
              <w:rPr>
                <w:sz w:val="22"/>
                <w:szCs w:val="22"/>
              </w:rPr>
            </w:pPr>
            <w:r w:rsidRPr="00B210D2">
              <w:rPr>
                <w:sz w:val="22"/>
                <w:szCs w:val="22"/>
              </w:rPr>
              <w:t>La segunda estrategia en materia rural se encuentra contenida en el Decreto 1341 del 08 de octubre de 2020, com</w:t>
            </w:r>
            <w:r w:rsidR="009D5040">
              <w:rPr>
                <w:sz w:val="22"/>
                <w:szCs w:val="22"/>
              </w:rPr>
              <w:t>pilado en el Decreto Único Regla</w:t>
            </w:r>
            <w:r w:rsidRPr="00B210D2">
              <w:rPr>
                <w:sz w:val="22"/>
                <w:szCs w:val="22"/>
              </w:rPr>
              <w:t xml:space="preserve">mentario 1077 de 2015, por medio del cual se instituye la política pública de vivienda rural. En el artículo 2.1.10.1.1.4.3. de este instrumento normativo, al regular las condiciones para el otorgamiento del subsidio familiar de vivienda rural, se determina </w:t>
            </w:r>
            <w:r w:rsidR="00CB0BB9" w:rsidRPr="00B210D2">
              <w:rPr>
                <w:sz w:val="22"/>
                <w:szCs w:val="22"/>
              </w:rPr>
              <w:t>la aplicación de una focalizació</w:t>
            </w:r>
            <w:r w:rsidR="005E71F7" w:rsidRPr="00B210D2">
              <w:rPr>
                <w:sz w:val="22"/>
                <w:szCs w:val="22"/>
              </w:rPr>
              <w:t>n poblacional</w:t>
            </w:r>
            <w:r w:rsidR="00CB0BB9" w:rsidRPr="00B210D2">
              <w:rPr>
                <w:sz w:val="22"/>
                <w:szCs w:val="22"/>
              </w:rPr>
              <w:t xml:space="preserve"> con enfoque diferencial, en donde se encuentran las personas en proceso de reinco</w:t>
            </w:r>
            <w:r w:rsidR="009D5040">
              <w:rPr>
                <w:sz w:val="22"/>
                <w:szCs w:val="22"/>
              </w:rPr>
              <w:t>r</w:t>
            </w:r>
            <w:r w:rsidR="00CB0BB9" w:rsidRPr="00B210D2">
              <w:rPr>
                <w:sz w:val="22"/>
                <w:szCs w:val="22"/>
              </w:rPr>
              <w:t xml:space="preserve">poración a la vida civil. </w:t>
            </w:r>
          </w:p>
          <w:p w:rsidR="00CB0BB9" w:rsidRPr="00B210D2" w:rsidRDefault="00CB0BB9" w:rsidP="00B210D2">
            <w:pPr>
              <w:pStyle w:val="Default"/>
              <w:jc w:val="both"/>
              <w:rPr>
                <w:sz w:val="22"/>
                <w:szCs w:val="22"/>
              </w:rPr>
            </w:pPr>
          </w:p>
          <w:p w:rsidR="00CB0BB9" w:rsidRPr="00B210D2" w:rsidRDefault="00CB0BB9" w:rsidP="00B210D2">
            <w:pPr>
              <w:pStyle w:val="Default"/>
              <w:jc w:val="both"/>
              <w:rPr>
                <w:sz w:val="22"/>
                <w:szCs w:val="22"/>
              </w:rPr>
            </w:pPr>
            <w:r w:rsidRPr="00B210D2">
              <w:rPr>
                <w:sz w:val="22"/>
                <w:szCs w:val="22"/>
              </w:rPr>
              <w:t xml:space="preserve">Por lo anterior, se evidencia la existencia de estrategias que, a la fecha, promueven la reducción del déficit habitacional de los ex integrantes de las FARC- EP en suelo rural, </w:t>
            </w:r>
            <w:r w:rsidR="008E41D7" w:rsidRPr="00B210D2">
              <w:rPr>
                <w:sz w:val="22"/>
                <w:szCs w:val="22"/>
              </w:rPr>
              <w:t>los cuales representan un estimado del 5</w:t>
            </w:r>
            <w:r w:rsidR="00C25244" w:rsidRPr="00B210D2">
              <w:rPr>
                <w:sz w:val="22"/>
                <w:szCs w:val="22"/>
              </w:rPr>
              <w:t>6</w:t>
            </w:r>
            <w:r w:rsidR="00AD73D5" w:rsidRPr="00B210D2">
              <w:rPr>
                <w:sz w:val="22"/>
                <w:szCs w:val="22"/>
              </w:rPr>
              <w:t xml:space="preserve">% de la población objetivo. No obstante, es necesario crear una estrategia que permita acceder a los hogares en </w:t>
            </w:r>
            <w:r w:rsidR="005E71F7" w:rsidRPr="00B210D2">
              <w:rPr>
                <w:sz w:val="22"/>
                <w:szCs w:val="22"/>
              </w:rPr>
              <w:t>ruta de reinco</w:t>
            </w:r>
            <w:r w:rsidR="009D5040">
              <w:rPr>
                <w:sz w:val="22"/>
                <w:szCs w:val="22"/>
              </w:rPr>
              <w:t>r</w:t>
            </w:r>
            <w:r w:rsidR="005E71F7" w:rsidRPr="00B210D2">
              <w:rPr>
                <w:sz w:val="22"/>
                <w:szCs w:val="22"/>
              </w:rPr>
              <w:t xml:space="preserve">poración </w:t>
            </w:r>
            <w:r w:rsidR="00AD73D5" w:rsidRPr="00B210D2">
              <w:rPr>
                <w:sz w:val="22"/>
                <w:szCs w:val="22"/>
              </w:rPr>
              <w:t xml:space="preserve">a soluciones habitacionales en suelo urbano, </w:t>
            </w:r>
            <w:r w:rsidR="008E41D7" w:rsidRPr="00B210D2">
              <w:rPr>
                <w:sz w:val="22"/>
                <w:szCs w:val="22"/>
              </w:rPr>
              <w:t>quienes representan</w:t>
            </w:r>
            <w:r w:rsidR="005E71F7" w:rsidRPr="00B210D2">
              <w:rPr>
                <w:sz w:val="22"/>
                <w:szCs w:val="22"/>
              </w:rPr>
              <w:t>,</w:t>
            </w:r>
            <w:r w:rsidR="008E41D7" w:rsidRPr="00B210D2">
              <w:rPr>
                <w:sz w:val="22"/>
                <w:szCs w:val="22"/>
              </w:rPr>
              <w:t xml:space="preserve"> en</w:t>
            </w:r>
            <w:r w:rsidR="00AD73D5" w:rsidRPr="00B210D2">
              <w:rPr>
                <w:sz w:val="22"/>
                <w:szCs w:val="22"/>
              </w:rPr>
              <w:t xml:space="preserve"> </w:t>
            </w:r>
            <w:r w:rsidR="008E41D7" w:rsidRPr="00B210D2">
              <w:rPr>
                <w:sz w:val="22"/>
                <w:szCs w:val="22"/>
              </w:rPr>
              <w:t>promedio</w:t>
            </w:r>
            <w:r w:rsidR="005E71F7" w:rsidRPr="00B210D2">
              <w:rPr>
                <w:sz w:val="22"/>
                <w:szCs w:val="22"/>
              </w:rPr>
              <w:t>,</w:t>
            </w:r>
            <w:r w:rsidR="008E41D7" w:rsidRPr="00B210D2">
              <w:rPr>
                <w:sz w:val="22"/>
                <w:szCs w:val="22"/>
              </w:rPr>
              <w:t xml:space="preserve"> el </w:t>
            </w:r>
            <w:r w:rsidR="00C25244" w:rsidRPr="00B210D2">
              <w:rPr>
                <w:sz w:val="22"/>
                <w:szCs w:val="22"/>
              </w:rPr>
              <w:t>38</w:t>
            </w:r>
            <w:r w:rsidR="00AD73D5" w:rsidRPr="00B210D2">
              <w:rPr>
                <w:sz w:val="22"/>
                <w:szCs w:val="22"/>
              </w:rPr>
              <w:t>% de la població</w:t>
            </w:r>
            <w:r w:rsidR="005F6F84" w:rsidRPr="00B210D2">
              <w:rPr>
                <w:sz w:val="22"/>
                <w:szCs w:val="22"/>
              </w:rPr>
              <w:t>n, con el fin de</w:t>
            </w:r>
            <w:r w:rsidR="00E44CFC" w:rsidRPr="00B210D2">
              <w:rPr>
                <w:sz w:val="22"/>
                <w:szCs w:val="22"/>
              </w:rPr>
              <w:t xml:space="preserve"> otorgar una cobertura integral, de conformidad con el diagnóstico presentado en </w:t>
            </w:r>
            <w:r w:rsidR="005F6F84" w:rsidRPr="00B210D2">
              <w:rPr>
                <w:sz w:val="22"/>
                <w:szCs w:val="22"/>
              </w:rPr>
              <w:t xml:space="preserve">el documento CONPES 3931 de 2018, </w:t>
            </w:r>
            <w:r w:rsidR="00E44CFC" w:rsidRPr="00B210D2">
              <w:rPr>
                <w:sz w:val="22"/>
                <w:szCs w:val="22"/>
              </w:rPr>
              <w:t>y los resultados obtenidos de la aplicación del Registro Nacional de Reincorporació</w:t>
            </w:r>
            <w:r w:rsidR="004F4998" w:rsidRPr="00B210D2">
              <w:rPr>
                <w:sz w:val="22"/>
                <w:szCs w:val="22"/>
              </w:rPr>
              <w:t xml:space="preserve">n y de su seguimiento. </w:t>
            </w:r>
            <w:r w:rsidR="00E44CFC" w:rsidRPr="00B210D2">
              <w:rPr>
                <w:sz w:val="22"/>
                <w:szCs w:val="22"/>
              </w:rPr>
              <w:t xml:space="preserve"> </w:t>
            </w:r>
          </w:p>
          <w:p w:rsidR="00E44CFC" w:rsidRPr="00B210D2" w:rsidRDefault="00E44CFC" w:rsidP="00B210D2">
            <w:pPr>
              <w:pStyle w:val="Default"/>
              <w:jc w:val="both"/>
              <w:rPr>
                <w:sz w:val="22"/>
                <w:szCs w:val="22"/>
              </w:rPr>
            </w:pPr>
          </w:p>
          <w:p w:rsidR="00C25244" w:rsidRPr="00B210D2" w:rsidRDefault="00A41AC2" w:rsidP="00B210D2">
            <w:pPr>
              <w:pStyle w:val="Default"/>
              <w:jc w:val="both"/>
              <w:rPr>
                <w:sz w:val="22"/>
                <w:szCs w:val="22"/>
              </w:rPr>
            </w:pPr>
            <w:r w:rsidRPr="00B210D2">
              <w:rPr>
                <w:sz w:val="22"/>
                <w:szCs w:val="22"/>
              </w:rPr>
              <w:t xml:space="preserve">A la fecha, y de acuerdo con los </w:t>
            </w:r>
            <w:r w:rsidR="005E71F7" w:rsidRPr="00B210D2">
              <w:rPr>
                <w:sz w:val="22"/>
                <w:szCs w:val="22"/>
              </w:rPr>
              <w:t>información suministrada</w:t>
            </w:r>
            <w:r w:rsidRPr="00B210D2">
              <w:rPr>
                <w:sz w:val="22"/>
                <w:szCs w:val="22"/>
              </w:rPr>
              <w:t xml:space="preserve"> por la </w:t>
            </w:r>
            <w:r w:rsidR="005E71F7" w:rsidRPr="00B210D2">
              <w:rPr>
                <w:sz w:val="22"/>
                <w:szCs w:val="22"/>
              </w:rPr>
              <w:t>ARN</w:t>
            </w:r>
            <w:r w:rsidRPr="00B210D2">
              <w:rPr>
                <w:sz w:val="22"/>
                <w:szCs w:val="22"/>
              </w:rPr>
              <w:t xml:space="preserve">, </w:t>
            </w:r>
            <w:r w:rsidR="00E7112B" w:rsidRPr="00B210D2">
              <w:rPr>
                <w:sz w:val="22"/>
                <w:szCs w:val="22"/>
              </w:rPr>
              <w:t>se estima que</w:t>
            </w:r>
            <w:r w:rsidR="00B35647" w:rsidRPr="00B210D2">
              <w:rPr>
                <w:sz w:val="22"/>
                <w:szCs w:val="22"/>
              </w:rPr>
              <w:t>,</w:t>
            </w:r>
            <w:r w:rsidR="00E7112B" w:rsidRPr="00B210D2">
              <w:rPr>
                <w:sz w:val="22"/>
                <w:szCs w:val="22"/>
              </w:rPr>
              <w:t xml:space="preserve"> de las 12.</w:t>
            </w:r>
            <w:r w:rsidR="00785FF7" w:rsidRPr="00B210D2">
              <w:rPr>
                <w:sz w:val="22"/>
                <w:szCs w:val="22"/>
              </w:rPr>
              <w:t xml:space="preserve">843 </w:t>
            </w:r>
            <w:r w:rsidR="00E7112B" w:rsidRPr="00B210D2">
              <w:rPr>
                <w:sz w:val="22"/>
                <w:szCs w:val="22"/>
              </w:rPr>
              <w:t>personas que se encuentran activas en la Ruta de Reinco</w:t>
            </w:r>
            <w:r w:rsidR="009D5040">
              <w:rPr>
                <w:sz w:val="22"/>
                <w:szCs w:val="22"/>
              </w:rPr>
              <w:t>r</w:t>
            </w:r>
            <w:r w:rsidR="00E7112B" w:rsidRPr="00B210D2">
              <w:rPr>
                <w:sz w:val="22"/>
                <w:szCs w:val="22"/>
              </w:rPr>
              <w:t xml:space="preserve">poración, 4.863 </w:t>
            </w:r>
            <w:r w:rsidR="00B35647" w:rsidRPr="00B210D2">
              <w:rPr>
                <w:sz w:val="22"/>
                <w:szCs w:val="22"/>
              </w:rPr>
              <w:t>están</w:t>
            </w:r>
            <w:r w:rsidR="00E7112B" w:rsidRPr="00B210D2">
              <w:rPr>
                <w:sz w:val="22"/>
                <w:szCs w:val="22"/>
              </w:rPr>
              <w:t xml:space="preserve"> localizadas en suelo urbano, de las cuales 4.739, lo que representa el 97,45%</w:t>
            </w:r>
            <w:r w:rsidR="00C25244" w:rsidRPr="00B210D2">
              <w:rPr>
                <w:sz w:val="22"/>
                <w:szCs w:val="22"/>
              </w:rPr>
              <w:t>,</w:t>
            </w:r>
            <w:r w:rsidR="00E7112B" w:rsidRPr="00B210D2">
              <w:rPr>
                <w:sz w:val="22"/>
                <w:szCs w:val="22"/>
              </w:rPr>
              <w:t xml:space="preserve"> han sido identificadas sin </w:t>
            </w:r>
            <w:r w:rsidR="009D5040">
              <w:rPr>
                <w:sz w:val="22"/>
                <w:szCs w:val="22"/>
              </w:rPr>
              <w:t>tenencia de vivienda, encontrá</w:t>
            </w:r>
            <w:r w:rsidR="00E7112B" w:rsidRPr="00B210D2">
              <w:rPr>
                <w:sz w:val="22"/>
                <w:szCs w:val="22"/>
              </w:rPr>
              <w:t>ndos</w:t>
            </w:r>
            <w:r w:rsidR="009D5040">
              <w:rPr>
                <w:sz w:val="22"/>
                <w:szCs w:val="22"/>
              </w:rPr>
              <w:t>e</w:t>
            </w:r>
            <w:r w:rsidR="00E7112B" w:rsidRPr="00B210D2">
              <w:rPr>
                <w:sz w:val="22"/>
                <w:szCs w:val="22"/>
              </w:rPr>
              <w:t xml:space="preserve"> así en déficit cuantita</w:t>
            </w:r>
            <w:r w:rsidR="009D5040">
              <w:rPr>
                <w:sz w:val="22"/>
                <w:szCs w:val="22"/>
              </w:rPr>
              <w:t>ti</w:t>
            </w:r>
            <w:r w:rsidR="00E7112B" w:rsidRPr="00B210D2">
              <w:rPr>
                <w:sz w:val="22"/>
                <w:szCs w:val="22"/>
              </w:rPr>
              <w:t>vo habitacional.</w:t>
            </w:r>
          </w:p>
          <w:p w:rsidR="00C25244" w:rsidRPr="00B210D2" w:rsidRDefault="00C25244" w:rsidP="00B210D2">
            <w:pPr>
              <w:pStyle w:val="Default"/>
              <w:jc w:val="both"/>
              <w:rPr>
                <w:sz w:val="22"/>
                <w:szCs w:val="22"/>
              </w:rPr>
            </w:pPr>
          </w:p>
          <w:p w:rsidR="00E7112B" w:rsidRPr="00B210D2" w:rsidRDefault="00710DAB" w:rsidP="00B210D2">
            <w:pPr>
              <w:pStyle w:val="Default"/>
              <w:jc w:val="both"/>
              <w:rPr>
                <w:i/>
                <w:sz w:val="22"/>
                <w:szCs w:val="22"/>
              </w:rPr>
            </w:pPr>
            <w:r w:rsidRPr="00B210D2">
              <w:rPr>
                <w:sz w:val="22"/>
                <w:szCs w:val="22"/>
              </w:rPr>
              <w:t>Con el fin de superar este déficit, y de acuerdo con los objetivos y programas establecidos en el Plan Nacional de Desarrollo 2018- 2022,</w:t>
            </w:r>
            <w:r w:rsidR="005B25F4" w:rsidRPr="00B210D2">
              <w:rPr>
                <w:sz w:val="22"/>
                <w:szCs w:val="22"/>
              </w:rPr>
              <w:t xml:space="preserve"> el cual constituye la columna vertebral que cimienta las políticas públicas formuladas por el</w:t>
            </w:r>
            <w:r w:rsidR="009D5040">
              <w:rPr>
                <w:sz w:val="22"/>
                <w:szCs w:val="22"/>
              </w:rPr>
              <w:t xml:space="preserve"> Gobierno Nacional durante el c</w:t>
            </w:r>
            <w:r w:rsidR="005B25F4" w:rsidRPr="00B210D2">
              <w:rPr>
                <w:sz w:val="22"/>
                <w:szCs w:val="22"/>
              </w:rPr>
              <w:t>u</w:t>
            </w:r>
            <w:r w:rsidR="009D5040">
              <w:rPr>
                <w:sz w:val="22"/>
                <w:szCs w:val="22"/>
              </w:rPr>
              <w:t>a</w:t>
            </w:r>
            <w:r w:rsidR="005B25F4" w:rsidRPr="00B210D2">
              <w:rPr>
                <w:sz w:val="22"/>
                <w:szCs w:val="22"/>
              </w:rPr>
              <w:t>trienio,</w:t>
            </w:r>
            <w:r w:rsidRPr="00B210D2">
              <w:rPr>
                <w:sz w:val="22"/>
                <w:szCs w:val="22"/>
              </w:rPr>
              <w:t xml:space="preserve"> el Ministerio de Vivienda, Ciudad y Territorio ha </w:t>
            </w:r>
            <w:r w:rsidR="005B25F4" w:rsidRPr="00B210D2">
              <w:rPr>
                <w:sz w:val="22"/>
                <w:szCs w:val="22"/>
              </w:rPr>
              <w:t xml:space="preserve">considerado la importancia de crear un subsidio adicional, de carácter diferencial, a favor de los ex integrantes de las FARC- EP en </w:t>
            </w:r>
            <w:r w:rsidR="00B35647" w:rsidRPr="00B210D2">
              <w:rPr>
                <w:sz w:val="22"/>
                <w:szCs w:val="22"/>
              </w:rPr>
              <w:t>ruta de reincorporación</w:t>
            </w:r>
            <w:r w:rsidR="00C1339D" w:rsidRPr="00B210D2">
              <w:rPr>
                <w:sz w:val="22"/>
                <w:szCs w:val="22"/>
              </w:rPr>
              <w:t>, en el marco del Programa</w:t>
            </w:r>
            <w:r w:rsidR="005B25F4" w:rsidRPr="00B210D2">
              <w:rPr>
                <w:sz w:val="22"/>
                <w:szCs w:val="22"/>
              </w:rPr>
              <w:t xml:space="preserve"> </w:t>
            </w:r>
            <w:r w:rsidR="00EC2A2F" w:rsidRPr="00B210D2">
              <w:rPr>
                <w:sz w:val="22"/>
                <w:szCs w:val="22"/>
              </w:rPr>
              <w:t xml:space="preserve">de Promoción de Acceso a la Vivienda de Interés Social- </w:t>
            </w:r>
            <w:r w:rsidR="00EC2A2F" w:rsidRPr="00B210D2">
              <w:rPr>
                <w:i/>
                <w:sz w:val="22"/>
                <w:szCs w:val="22"/>
              </w:rPr>
              <w:t xml:space="preserve">Mi Casa Ya. </w:t>
            </w:r>
          </w:p>
          <w:p w:rsidR="00D36D54" w:rsidRPr="00B210D2" w:rsidRDefault="00D36D54" w:rsidP="00B210D2">
            <w:pPr>
              <w:pStyle w:val="Default"/>
              <w:jc w:val="both"/>
              <w:rPr>
                <w:sz w:val="22"/>
                <w:szCs w:val="22"/>
              </w:rPr>
            </w:pPr>
          </w:p>
          <w:p w:rsidR="00D36D54" w:rsidRPr="00B210D2" w:rsidRDefault="00D36D54" w:rsidP="00B210D2">
            <w:pPr>
              <w:pStyle w:val="Default"/>
              <w:numPr>
                <w:ilvl w:val="1"/>
                <w:numId w:val="1"/>
              </w:numPr>
              <w:jc w:val="both"/>
              <w:rPr>
                <w:i/>
                <w:sz w:val="22"/>
                <w:szCs w:val="22"/>
                <w:u w:val="single"/>
              </w:rPr>
            </w:pPr>
            <w:r w:rsidRPr="00B210D2">
              <w:rPr>
                <w:i/>
                <w:sz w:val="22"/>
                <w:szCs w:val="22"/>
                <w:u w:val="single"/>
              </w:rPr>
              <w:t xml:space="preserve">Las condiciones generales del Programa de Promoción de Acceso a la Vivienda de Interés Social- Mi Casa Ya, y su aplicación diferencial a favor de los ex integrantes de las FARC- EP que se encuentran dentro de la Ruta de Reincorporación. </w:t>
            </w:r>
          </w:p>
          <w:p w:rsidR="00D36D54" w:rsidRPr="00B210D2" w:rsidRDefault="00D36D54" w:rsidP="00B210D2">
            <w:pPr>
              <w:pStyle w:val="Default"/>
              <w:jc w:val="both"/>
              <w:rPr>
                <w:sz w:val="22"/>
                <w:szCs w:val="22"/>
              </w:rPr>
            </w:pPr>
          </w:p>
          <w:p w:rsidR="00CE5490" w:rsidRPr="00B210D2" w:rsidRDefault="00176852" w:rsidP="00B210D2">
            <w:pPr>
              <w:pStyle w:val="Default"/>
              <w:jc w:val="both"/>
              <w:rPr>
                <w:sz w:val="22"/>
                <w:szCs w:val="22"/>
              </w:rPr>
            </w:pPr>
            <w:r w:rsidRPr="00B210D2">
              <w:rPr>
                <w:sz w:val="22"/>
                <w:szCs w:val="22"/>
              </w:rPr>
              <w:t xml:space="preserve">Se recuerda, en esta instancia, </w:t>
            </w:r>
            <w:r w:rsidR="000E7C05" w:rsidRPr="00B210D2">
              <w:rPr>
                <w:sz w:val="22"/>
                <w:szCs w:val="22"/>
              </w:rPr>
              <w:t xml:space="preserve">que el programa </w:t>
            </w:r>
            <w:r w:rsidR="000E7C05" w:rsidRPr="00B210D2">
              <w:rPr>
                <w:i/>
                <w:sz w:val="22"/>
                <w:szCs w:val="22"/>
              </w:rPr>
              <w:t>Mi Casa Ya</w:t>
            </w:r>
            <w:r w:rsidR="000E7C05" w:rsidRPr="00B210D2">
              <w:rPr>
                <w:sz w:val="22"/>
                <w:szCs w:val="22"/>
              </w:rPr>
              <w:t xml:space="preserve"> </w:t>
            </w:r>
            <w:r w:rsidR="008E7C96" w:rsidRPr="00B210D2">
              <w:rPr>
                <w:sz w:val="22"/>
                <w:szCs w:val="22"/>
              </w:rPr>
              <w:t xml:space="preserve">fue creado en el año 2015 por el Ministerio de Vivienda, Ciudad y Territorio con el fin de atender el déficit cuantitativo habitacional, a través del otorgamiento de un subsidio familiar de vivienda en dinero, destinado a facilitar el acceso a una vivienda de interés social nueva, en suelo urbano. </w:t>
            </w:r>
          </w:p>
          <w:p w:rsidR="00CE5490" w:rsidRPr="00B210D2" w:rsidRDefault="00CE5490" w:rsidP="00B210D2">
            <w:pPr>
              <w:pStyle w:val="Default"/>
              <w:jc w:val="both"/>
              <w:rPr>
                <w:sz w:val="22"/>
                <w:szCs w:val="22"/>
              </w:rPr>
            </w:pPr>
          </w:p>
          <w:p w:rsidR="00CE5490" w:rsidRPr="00B210D2" w:rsidRDefault="00CE5490" w:rsidP="00B210D2">
            <w:pPr>
              <w:pStyle w:val="Default"/>
              <w:jc w:val="both"/>
              <w:rPr>
                <w:sz w:val="22"/>
                <w:szCs w:val="22"/>
              </w:rPr>
            </w:pPr>
            <w:r w:rsidRPr="00B210D2">
              <w:rPr>
                <w:sz w:val="22"/>
                <w:szCs w:val="22"/>
                <w:lang w:val="es-ES"/>
              </w:rPr>
              <w:t xml:space="preserve">Así las cosas, y de acuerdo con los objetivos planteados en las bases del Plan Nacional de Desarrollo 2018- 2022 </w:t>
            </w:r>
            <w:r w:rsidRPr="00B210D2">
              <w:rPr>
                <w:i/>
                <w:sz w:val="22"/>
                <w:szCs w:val="22"/>
                <w:lang w:val="es-ES"/>
              </w:rPr>
              <w:t>“Pacto por Colombia, pacto por la equidad</w:t>
            </w:r>
            <w:r w:rsidRPr="00B210D2">
              <w:rPr>
                <w:sz w:val="22"/>
                <w:szCs w:val="22"/>
                <w:lang w:val="es-ES"/>
              </w:rPr>
              <w:t xml:space="preserve">”, documento que hace parte integral de la Ley 1955 de 2019, el Gobierno Nacional estableció dentro de las estrategias para atender el déficit cuantitativo de vivienda, dar continuidad al Programa </w:t>
            </w:r>
            <w:r w:rsidRPr="00B210D2">
              <w:rPr>
                <w:i/>
                <w:sz w:val="22"/>
                <w:szCs w:val="22"/>
                <w:lang w:val="es-ES"/>
              </w:rPr>
              <w:t xml:space="preserve">Mi Casa Ya </w:t>
            </w:r>
            <w:r w:rsidRPr="00B210D2">
              <w:rPr>
                <w:sz w:val="22"/>
                <w:szCs w:val="22"/>
                <w:lang w:val="es-ES"/>
              </w:rPr>
              <w:t xml:space="preserve">durante el presente cuatrienio. </w:t>
            </w:r>
          </w:p>
          <w:p w:rsidR="00CE5490" w:rsidRPr="00B210D2" w:rsidRDefault="00CE5490" w:rsidP="00B210D2">
            <w:pPr>
              <w:pStyle w:val="Default"/>
              <w:jc w:val="both"/>
              <w:rPr>
                <w:sz w:val="22"/>
                <w:szCs w:val="22"/>
              </w:rPr>
            </w:pPr>
          </w:p>
          <w:p w:rsidR="00CE5490" w:rsidRPr="00B210D2" w:rsidRDefault="00CE5490" w:rsidP="00B210D2">
            <w:pPr>
              <w:pStyle w:val="Default"/>
              <w:jc w:val="both"/>
              <w:rPr>
                <w:sz w:val="22"/>
                <w:szCs w:val="22"/>
              </w:rPr>
            </w:pPr>
            <w:r w:rsidRPr="00B210D2">
              <w:rPr>
                <w:sz w:val="22"/>
                <w:szCs w:val="22"/>
              </w:rPr>
              <w:t xml:space="preserve">A través del programa </w:t>
            </w:r>
            <w:r w:rsidRPr="00B210D2">
              <w:rPr>
                <w:i/>
                <w:sz w:val="22"/>
                <w:szCs w:val="22"/>
              </w:rPr>
              <w:t>Mi Casa Ya</w:t>
            </w:r>
            <w:r w:rsidRPr="00B210D2">
              <w:rPr>
                <w:sz w:val="22"/>
                <w:szCs w:val="22"/>
              </w:rPr>
              <w:t xml:space="preserve"> se otorga un subsidio en dinero destinado al pago de la cuota inicial de una vivienda nueva. El monto del subsidio se encuentra supeditado a los ingresos del hogar, por lo cual, sí el hogar devenga hasta 2 salarios mínimos legales mensuales vigentes (SMLMV), el monto del subsidio equivale a 30 SMLMV. Por su parte, sí los ingresos del hogar son superiores a 2 y hasta 4 SMLMV, el monto del subsidio será el correspondiente a 20 SMLMV. </w:t>
            </w:r>
          </w:p>
          <w:p w:rsidR="00CE5490" w:rsidRPr="00B210D2" w:rsidRDefault="00CE5490" w:rsidP="00B210D2">
            <w:pPr>
              <w:pStyle w:val="Default"/>
              <w:jc w:val="both"/>
              <w:rPr>
                <w:sz w:val="22"/>
                <w:szCs w:val="22"/>
              </w:rPr>
            </w:pPr>
          </w:p>
          <w:p w:rsidR="00CE5490" w:rsidRPr="00B210D2" w:rsidRDefault="00CE5490" w:rsidP="00B210D2">
            <w:pPr>
              <w:pStyle w:val="Default"/>
              <w:jc w:val="both"/>
              <w:rPr>
                <w:sz w:val="22"/>
                <w:szCs w:val="22"/>
              </w:rPr>
            </w:pPr>
            <w:r w:rsidRPr="00B210D2">
              <w:rPr>
                <w:sz w:val="22"/>
                <w:szCs w:val="22"/>
              </w:rPr>
              <w:t>Mediante el Decreto 1533 expedido en fecha 26 de agosto de 2019 se permitió, a su vez, la concurrencia del subsidio familiar de vivienda otorgado por el Gobierno Nacional, a través del Fondo Nacional de Vivienda- FONVIVIENDA, con el subsidio que, para esta misma finalidad, es otorgado por las Cajas de Compensación Familiar, lo que genera la posibilidad, para el hogar, de recibir a título de subvención un montón equivalente a 50 SMLMV. Esta sumatoria de subsidios sólo es procedente para hogares que tengan ingresos hasta de 2 SMLMV.</w:t>
            </w:r>
          </w:p>
          <w:p w:rsidR="00CE5490" w:rsidRPr="00B210D2" w:rsidRDefault="00CE5490" w:rsidP="00B210D2">
            <w:pPr>
              <w:pStyle w:val="Listavistosa-nfasis1"/>
              <w:ind w:left="284"/>
              <w:jc w:val="both"/>
              <w:rPr>
                <w:rFonts w:ascii="Arial" w:hAnsi="Arial" w:cs="Arial"/>
                <w:color w:val="000000"/>
                <w:sz w:val="22"/>
                <w:szCs w:val="22"/>
                <w:lang w:eastAsia="es-CO"/>
              </w:rPr>
            </w:pPr>
          </w:p>
          <w:p w:rsidR="00CE5490" w:rsidRPr="00B210D2" w:rsidRDefault="00CE5490" w:rsidP="00B210D2">
            <w:pPr>
              <w:pStyle w:val="Listavistosa-nfasis1"/>
              <w:ind w:left="0"/>
              <w:jc w:val="both"/>
              <w:rPr>
                <w:rFonts w:ascii="Arial" w:hAnsi="Arial" w:cs="Arial"/>
                <w:color w:val="000000"/>
                <w:sz w:val="22"/>
                <w:szCs w:val="22"/>
                <w:lang w:eastAsia="es-CO"/>
              </w:rPr>
            </w:pPr>
            <w:r w:rsidRPr="00B210D2">
              <w:rPr>
                <w:rFonts w:ascii="Arial" w:hAnsi="Arial" w:cs="Arial"/>
                <w:color w:val="000000"/>
                <w:sz w:val="22"/>
                <w:szCs w:val="22"/>
                <w:lang w:eastAsia="es-CO"/>
              </w:rPr>
              <w:t xml:space="preserve">Es importante resaltar que, en el marco de ejecución del </w:t>
            </w:r>
            <w:r w:rsidRPr="00B210D2">
              <w:rPr>
                <w:rFonts w:ascii="Arial" w:hAnsi="Arial" w:cs="Arial"/>
                <w:i/>
                <w:color w:val="000000"/>
                <w:sz w:val="22"/>
                <w:szCs w:val="22"/>
                <w:lang w:eastAsia="es-CO"/>
              </w:rPr>
              <w:t>Programa Mi Casa Ya</w:t>
            </w:r>
            <w:r w:rsidRPr="00B210D2">
              <w:rPr>
                <w:rFonts w:ascii="Arial" w:hAnsi="Arial" w:cs="Arial"/>
                <w:color w:val="000000"/>
                <w:sz w:val="22"/>
                <w:szCs w:val="22"/>
                <w:lang w:eastAsia="es-CO"/>
              </w:rPr>
              <w:t xml:space="preserve">, adicional al subsidio en dinero destinado a apoyar el pago del valor de la cuota inicial de la vivienda, se otorga una cobertura a la tasa de interés, la cual aplica dependiendo de la naturaleza de la vivienda objeto de compra, de la siguiente manera: </w:t>
            </w:r>
            <w:r w:rsidRPr="00B210D2">
              <w:rPr>
                <w:rFonts w:ascii="Arial" w:hAnsi="Arial" w:cs="Arial"/>
                <w:b/>
                <w:color w:val="000000"/>
                <w:sz w:val="22"/>
                <w:szCs w:val="22"/>
                <w:lang w:eastAsia="es-CO"/>
              </w:rPr>
              <w:t>i)</w:t>
            </w:r>
            <w:r w:rsidRPr="00B210D2">
              <w:rPr>
                <w:rFonts w:ascii="Arial" w:hAnsi="Arial" w:cs="Arial"/>
                <w:color w:val="000000"/>
                <w:sz w:val="22"/>
                <w:szCs w:val="22"/>
                <w:lang w:eastAsia="es-CO"/>
              </w:rPr>
              <w:t xml:space="preserve"> Vivienda de interés Prioritario (VIP): Reducción de 5 puntos porcentuales liquidados sobre el saldo remanente del crédito o del contrato de leasing habitacional, según sea el caso; </w:t>
            </w:r>
            <w:r w:rsidRPr="00B210D2">
              <w:rPr>
                <w:rFonts w:ascii="Arial" w:hAnsi="Arial" w:cs="Arial"/>
                <w:b/>
                <w:color w:val="000000"/>
                <w:sz w:val="22"/>
                <w:szCs w:val="22"/>
                <w:lang w:eastAsia="es-CO"/>
              </w:rPr>
              <w:t>ii)</w:t>
            </w:r>
            <w:r w:rsidRPr="00B210D2">
              <w:rPr>
                <w:rFonts w:ascii="Arial" w:hAnsi="Arial" w:cs="Arial"/>
                <w:color w:val="000000"/>
                <w:sz w:val="22"/>
                <w:szCs w:val="22"/>
                <w:lang w:eastAsia="es-CO"/>
              </w:rPr>
              <w:t xml:space="preserve"> Vivienda de interés social (VIS): Reducción de 4 puntos porcentuales liquidados sobre el saldo remanente del crédito o del contrato de leasing habitacional. La reducción porcentual que constituye la cobertura aplica por los primeros 7 años de ejecución del instrumento financiero.</w:t>
            </w:r>
          </w:p>
          <w:p w:rsidR="00CE5490" w:rsidRPr="00B210D2" w:rsidRDefault="00CE5490" w:rsidP="00B210D2">
            <w:pPr>
              <w:pStyle w:val="Listavistosa-nfasis1"/>
              <w:ind w:left="0"/>
              <w:jc w:val="both"/>
              <w:rPr>
                <w:rFonts w:ascii="Arial" w:hAnsi="Arial" w:cs="Arial"/>
                <w:color w:val="000000"/>
                <w:sz w:val="22"/>
                <w:szCs w:val="22"/>
                <w:lang w:eastAsia="es-CO"/>
              </w:rPr>
            </w:pPr>
          </w:p>
          <w:p w:rsidR="00CE5490" w:rsidRPr="00B210D2" w:rsidRDefault="00B531A8" w:rsidP="00B210D2">
            <w:pPr>
              <w:pStyle w:val="Listavistosa-nfasis1"/>
              <w:ind w:left="0"/>
              <w:jc w:val="both"/>
              <w:rPr>
                <w:rFonts w:ascii="Arial" w:hAnsi="Arial" w:cs="Arial"/>
                <w:color w:val="000000"/>
                <w:sz w:val="22"/>
                <w:szCs w:val="22"/>
                <w:lang w:eastAsia="es-CO"/>
              </w:rPr>
            </w:pPr>
            <w:r w:rsidRPr="00B210D2">
              <w:rPr>
                <w:rFonts w:ascii="Arial" w:hAnsi="Arial" w:cs="Arial"/>
                <w:color w:val="000000"/>
                <w:sz w:val="22"/>
                <w:szCs w:val="22"/>
                <w:lang w:eastAsia="es-CO"/>
              </w:rPr>
              <w:t>A través del programa Mi Casa Ya, esta Cartera Ministerial ha</w:t>
            </w:r>
            <w:r w:rsidR="00290598" w:rsidRPr="00B210D2">
              <w:rPr>
                <w:rFonts w:ascii="Arial" w:hAnsi="Arial" w:cs="Arial"/>
                <w:color w:val="000000"/>
                <w:sz w:val="22"/>
                <w:szCs w:val="22"/>
                <w:lang w:eastAsia="es-CO"/>
              </w:rPr>
              <w:t xml:space="preserve"> asignado más de 163 mil subsidios para la compra de vivienda de interés social desde agosto de 2018 hasta enero de 2022, alcanzando en 2021 niveles de asignación promedio por encima de los 1.000 subsidios semanales asignados</w:t>
            </w:r>
            <w:r w:rsidRPr="00B210D2">
              <w:rPr>
                <w:rFonts w:ascii="Arial" w:hAnsi="Arial" w:cs="Arial"/>
                <w:color w:val="000000"/>
                <w:sz w:val="22"/>
                <w:szCs w:val="22"/>
                <w:lang w:eastAsia="es-CO"/>
              </w:rPr>
              <w:t xml:space="preserve">. </w:t>
            </w:r>
          </w:p>
          <w:p w:rsidR="00B510D4" w:rsidRPr="00B210D2" w:rsidRDefault="00B510D4" w:rsidP="00B210D2">
            <w:pPr>
              <w:pStyle w:val="Default"/>
              <w:jc w:val="both"/>
              <w:rPr>
                <w:sz w:val="22"/>
                <w:szCs w:val="22"/>
              </w:rPr>
            </w:pPr>
          </w:p>
          <w:p w:rsidR="00E7112B" w:rsidRPr="00B210D2" w:rsidRDefault="00B531A8" w:rsidP="00B210D2">
            <w:pPr>
              <w:pStyle w:val="Default"/>
              <w:jc w:val="both"/>
              <w:rPr>
                <w:sz w:val="22"/>
                <w:szCs w:val="22"/>
              </w:rPr>
            </w:pPr>
            <w:r w:rsidRPr="00B210D2">
              <w:rPr>
                <w:sz w:val="22"/>
                <w:szCs w:val="22"/>
              </w:rPr>
              <w:t>Así mismo, ha demostrado ser una efectiva herramienta de atención de las necesidades habitacionales de los hogares de menores ingresos, asignando casi un 80% de subsidios a hogares con ingresos mensuales inferiores a 2 salario mínimos legales mensuales vigentes.</w:t>
            </w:r>
          </w:p>
          <w:p w:rsidR="00B531A8" w:rsidRPr="00B210D2" w:rsidRDefault="00B531A8" w:rsidP="00B210D2">
            <w:pPr>
              <w:pStyle w:val="Default"/>
              <w:jc w:val="both"/>
              <w:rPr>
                <w:sz w:val="22"/>
                <w:szCs w:val="22"/>
              </w:rPr>
            </w:pPr>
          </w:p>
          <w:p w:rsidR="00B531A8" w:rsidRPr="00B210D2" w:rsidRDefault="00B531A8" w:rsidP="00B210D2">
            <w:pPr>
              <w:pStyle w:val="Default"/>
              <w:jc w:val="both"/>
              <w:rPr>
                <w:sz w:val="22"/>
                <w:szCs w:val="22"/>
              </w:rPr>
            </w:pPr>
            <w:r w:rsidRPr="00B210D2">
              <w:rPr>
                <w:sz w:val="22"/>
                <w:szCs w:val="22"/>
              </w:rPr>
              <w:t xml:space="preserve">Es por esta razón, que el Ministerio de Vivienda, Ciudad y Territorio ha determinado como una estrategia eficaz para atender el déficit habitacional cuantitativo de los ex integrantes de las FARC- EP en </w:t>
            </w:r>
            <w:r w:rsidR="00B35647" w:rsidRPr="00B210D2">
              <w:rPr>
                <w:sz w:val="22"/>
                <w:szCs w:val="22"/>
              </w:rPr>
              <w:t>ruta de reincorporación</w:t>
            </w:r>
            <w:r w:rsidR="009D5040">
              <w:rPr>
                <w:sz w:val="22"/>
                <w:szCs w:val="22"/>
              </w:rPr>
              <w:t>, ubicados en suelo urbano, cr</w:t>
            </w:r>
            <w:r w:rsidRPr="00B210D2">
              <w:rPr>
                <w:sz w:val="22"/>
                <w:szCs w:val="22"/>
              </w:rPr>
              <w:t>e</w:t>
            </w:r>
            <w:r w:rsidR="009D5040">
              <w:rPr>
                <w:sz w:val="22"/>
                <w:szCs w:val="22"/>
              </w:rPr>
              <w:t>a</w:t>
            </w:r>
            <w:r w:rsidRPr="00B210D2">
              <w:rPr>
                <w:sz w:val="22"/>
                <w:szCs w:val="22"/>
              </w:rPr>
              <w:t>r un subsidio adicional con e</w:t>
            </w:r>
            <w:r w:rsidR="009D5040">
              <w:rPr>
                <w:sz w:val="22"/>
                <w:szCs w:val="22"/>
              </w:rPr>
              <w:t>n</w:t>
            </w:r>
            <w:r w:rsidRPr="00B210D2">
              <w:rPr>
                <w:sz w:val="22"/>
                <w:szCs w:val="22"/>
              </w:rPr>
              <w:t xml:space="preserve">foque diferencial en el marco del Programa </w:t>
            </w:r>
            <w:r w:rsidRPr="00B210D2">
              <w:rPr>
                <w:i/>
                <w:sz w:val="22"/>
                <w:szCs w:val="22"/>
              </w:rPr>
              <w:t>Mi Casa Ya.</w:t>
            </w:r>
            <w:r w:rsidRPr="00B210D2">
              <w:rPr>
                <w:sz w:val="22"/>
                <w:szCs w:val="22"/>
              </w:rPr>
              <w:t xml:space="preserve"> </w:t>
            </w:r>
          </w:p>
          <w:p w:rsidR="00B531A8" w:rsidRPr="00B210D2" w:rsidRDefault="00B531A8" w:rsidP="00B210D2">
            <w:pPr>
              <w:pStyle w:val="Default"/>
              <w:jc w:val="both"/>
              <w:rPr>
                <w:sz w:val="22"/>
                <w:szCs w:val="22"/>
              </w:rPr>
            </w:pPr>
          </w:p>
          <w:p w:rsidR="00B531A8" w:rsidRPr="00B210D2" w:rsidRDefault="00B531A8" w:rsidP="00B210D2">
            <w:pPr>
              <w:pStyle w:val="Default"/>
              <w:jc w:val="both"/>
              <w:rPr>
                <w:sz w:val="22"/>
                <w:szCs w:val="22"/>
              </w:rPr>
            </w:pPr>
            <w:r w:rsidRPr="00B210D2">
              <w:rPr>
                <w:sz w:val="22"/>
                <w:szCs w:val="22"/>
              </w:rPr>
              <w:t xml:space="preserve">Este subsidio adicional comprenderá una asignación por el monto equivalente a 30 salarios mínimos legales mensuales vigentes (SMLMV), los cuales </w:t>
            </w:r>
            <w:r w:rsidR="00A274C7" w:rsidRPr="00B210D2">
              <w:rPr>
                <w:sz w:val="22"/>
                <w:szCs w:val="22"/>
              </w:rPr>
              <w:t xml:space="preserve">podrán sumarse </w:t>
            </w:r>
            <w:r w:rsidRPr="00B210D2">
              <w:rPr>
                <w:sz w:val="22"/>
                <w:szCs w:val="22"/>
              </w:rPr>
              <w:t xml:space="preserve">al subsidio que, por ingresos, corresponda en el marco del Programa </w:t>
            </w:r>
            <w:r w:rsidRPr="00B210D2">
              <w:rPr>
                <w:i/>
                <w:sz w:val="22"/>
                <w:szCs w:val="22"/>
              </w:rPr>
              <w:t>Mi Casa Y</w:t>
            </w:r>
            <w:r w:rsidR="00B35647" w:rsidRPr="00B210D2">
              <w:rPr>
                <w:i/>
                <w:sz w:val="22"/>
                <w:szCs w:val="22"/>
              </w:rPr>
              <w:t>a</w:t>
            </w:r>
            <w:r w:rsidR="00A274C7" w:rsidRPr="00B210D2">
              <w:rPr>
                <w:sz w:val="22"/>
                <w:szCs w:val="22"/>
              </w:rPr>
              <w:t>; así como</w:t>
            </w:r>
            <w:r w:rsidRPr="00B210D2">
              <w:rPr>
                <w:sz w:val="22"/>
                <w:szCs w:val="22"/>
              </w:rPr>
              <w:t xml:space="preserve"> al subsidio concurrente o complementario, en caso de ser aplicable</w:t>
            </w:r>
            <w:r w:rsidR="00A274C7" w:rsidRPr="00B210D2">
              <w:rPr>
                <w:sz w:val="22"/>
                <w:szCs w:val="22"/>
              </w:rPr>
              <w:t>. De igual forma, podrá sumarse e</w:t>
            </w:r>
            <w:r w:rsidRPr="00B210D2">
              <w:rPr>
                <w:sz w:val="22"/>
                <w:szCs w:val="22"/>
              </w:rPr>
              <w:t xml:space="preserve">l subsidio </w:t>
            </w:r>
            <w:r w:rsidR="00A274C7" w:rsidRPr="00B210D2">
              <w:rPr>
                <w:sz w:val="22"/>
                <w:szCs w:val="22"/>
              </w:rPr>
              <w:t>susceptible de asignación por medio</w:t>
            </w:r>
            <w:r w:rsidRPr="00B210D2">
              <w:rPr>
                <w:sz w:val="22"/>
                <w:szCs w:val="22"/>
              </w:rPr>
              <w:t xml:space="preserve"> del Programa Semillero de Propietarios ahorradores, en caso de cumplirse con los requisitos dispuestos en la normativa. </w:t>
            </w:r>
          </w:p>
          <w:p w:rsidR="00B531A8" w:rsidRPr="00B210D2" w:rsidRDefault="00B531A8" w:rsidP="00B210D2">
            <w:pPr>
              <w:pStyle w:val="Default"/>
              <w:jc w:val="both"/>
              <w:rPr>
                <w:sz w:val="22"/>
                <w:szCs w:val="22"/>
              </w:rPr>
            </w:pPr>
          </w:p>
          <w:p w:rsidR="00545AC2" w:rsidRPr="00B210D2" w:rsidRDefault="00B531A8" w:rsidP="00B210D2">
            <w:pPr>
              <w:pStyle w:val="Default"/>
              <w:jc w:val="both"/>
              <w:rPr>
                <w:sz w:val="22"/>
                <w:szCs w:val="22"/>
              </w:rPr>
            </w:pPr>
            <w:r w:rsidRPr="00B210D2">
              <w:rPr>
                <w:sz w:val="22"/>
                <w:szCs w:val="22"/>
              </w:rPr>
              <w:t xml:space="preserve">Este subsidio familiar de vivienda adicional permitirá que el hogar reuna, por concepto de subvenciones, un monto más cercano al cierre financiero de la vivienda, y con ello requerirá un </w:t>
            </w:r>
            <w:r w:rsidR="00B35647" w:rsidRPr="00B210D2">
              <w:rPr>
                <w:sz w:val="22"/>
                <w:szCs w:val="22"/>
              </w:rPr>
              <w:t>valor</w:t>
            </w:r>
            <w:r w:rsidRPr="00B210D2">
              <w:rPr>
                <w:sz w:val="22"/>
                <w:szCs w:val="22"/>
              </w:rPr>
              <w:t xml:space="preserve"> menor en </w:t>
            </w:r>
            <w:r w:rsidR="00B35647" w:rsidRPr="00B210D2">
              <w:rPr>
                <w:sz w:val="22"/>
                <w:szCs w:val="22"/>
              </w:rPr>
              <w:t>la aprobación d</w:t>
            </w:r>
            <w:r w:rsidRPr="00B210D2">
              <w:rPr>
                <w:sz w:val="22"/>
                <w:szCs w:val="22"/>
              </w:rPr>
              <w:t>el mecani</w:t>
            </w:r>
            <w:r w:rsidR="00212DD2" w:rsidRPr="00B210D2">
              <w:rPr>
                <w:sz w:val="22"/>
                <w:szCs w:val="22"/>
              </w:rPr>
              <w:t>s</w:t>
            </w:r>
            <w:r w:rsidRPr="00B210D2">
              <w:rPr>
                <w:sz w:val="22"/>
                <w:szCs w:val="22"/>
              </w:rPr>
              <w:t xml:space="preserve">mo de financiación, sea este un crédito hipotecario o un leasing habitacional. </w:t>
            </w:r>
            <w:r w:rsidR="00212DD2" w:rsidRPr="00B210D2">
              <w:rPr>
                <w:sz w:val="22"/>
                <w:szCs w:val="22"/>
              </w:rPr>
              <w:t xml:space="preserve">Esta consecuencia favorable para el hogar permitirá una mayor accesibilidad en la compra de vivienda, al ser claro para el Gobierno Nacional que los hogares en </w:t>
            </w:r>
            <w:r w:rsidR="00B35647" w:rsidRPr="00B210D2">
              <w:rPr>
                <w:sz w:val="22"/>
                <w:szCs w:val="22"/>
              </w:rPr>
              <w:t>ruta de reincorporación</w:t>
            </w:r>
            <w:r w:rsidR="00212DD2" w:rsidRPr="00B210D2">
              <w:rPr>
                <w:sz w:val="22"/>
                <w:szCs w:val="22"/>
              </w:rPr>
              <w:t>, debido a su corto tiempo en la vida civil, presentan insuficienc</w:t>
            </w:r>
            <w:r w:rsidR="009D5040">
              <w:rPr>
                <w:sz w:val="22"/>
                <w:szCs w:val="22"/>
              </w:rPr>
              <w:t>i</w:t>
            </w:r>
            <w:r w:rsidR="00212DD2" w:rsidRPr="00B210D2">
              <w:rPr>
                <w:sz w:val="22"/>
                <w:szCs w:val="22"/>
              </w:rPr>
              <w:t xml:space="preserve">a en fuentes de ingresos, y con ello, la restricción de acceder a grandes montos en los mecanismos de financiación. </w:t>
            </w:r>
          </w:p>
          <w:p w:rsidR="00B35647" w:rsidRPr="00B210D2" w:rsidRDefault="00B35647" w:rsidP="00B210D2">
            <w:pPr>
              <w:pStyle w:val="Default"/>
              <w:jc w:val="both"/>
              <w:rPr>
                <w:sz w:val="22"/>
                <w:szCs w:val="22"/>
              </w:rPr>
            </w:pPr>
          </w:p>
          <w:p w:rsidR="00B35647" w:rsidRPr="00B210D2" w:rsidRDefault="00A274C7" w:rsidP="00B210D2">
            <w:pPr>
              <w:pStyle w:val="Default"/>
              <w:numPr>
                <w:ilvl w:val="1"/>
                <w:numId w:val="1"/>
              </w:numPr>
              <w:jc w:val="both"/>
              <w:rPr>
                <w:i/>
                <w:sz w:val="22"/>
                <w:szCs w:val="22"/>
                <w:u w:val="single"/>
              </w:rPr>
            </w:pPr>
            <w:r w:rsidRPr="00B210D2">
              <w:rPr>
                <w:i/>
                <w:sz w:val="22"/>
                <w:szCs w:val="22"/>
                <w:u w:val="single"/>
              </w:rPr>
              <w:t xml:space="preserve">Fundamentos que determinan el porcentaje del subsidio adicional con enfoque diferencial </w:t>
            </w:r>
          </w:p>
          <w:p w:rsidR="00A274C7" w:rsidRPr="00B210D2" w:rsidRDefault="00A274C7" w:rsidP="00B210D2">
            <w:pPr>
              <w:pStyle w:val="Default"/>
              <w:jc w:val="both"/>
              <w:rPr>
                <w:i/>
                <w:sz w:val="22"/>
                <w:szCs w:val="22"/>
                <w:u w:val="single"/>
              </w:rPr>
            </w:pPr>
          </w:p>
          <w:p w:rsidR="00A274C7" w:rsidRPr="00B210D2" w:rsidRDefault="00A274C7" w:rsidP="00B210D2">
            <w:pPr>
              <w:jc w:val="both"/>
              <w:rPr>
                <w:rFonts w:eastAsia="Calibri" w:cs="Arial"/>
                <w:color w:val="000000"/>
                <w:sz w:val="22"/>
                <w:szCs w:val="22"/>
                <w:lang w:val="es-MX"/>
              </w:rPr>
            </w:pPr>
            <w:r w:rsidRPr="00B210D2">
              <w:rPr>
                <w:rFonts w:cs="Arial"/>
                <w:sz w:val="22"/>
                <w:szCs w:val="22"/>
              </w:rPr>
              <w:t xml:space="preserve">Tal como se mencionó en líneas precedentes, y </w:t>
            </w:r>
            <w:r w:rsidRPr="00B210D2">
              <w:rPr>
                <w:rFonts w:eastAsia="Calibri" w:cs="Arial"/>
                <w:color w:val="000000"/>
                <w:sz w:val="22"/>
                <w:szCs w:val="22"/>
                <w:lang w:val="es-MX"/>
              </w:rPr>
              <w:t xml:space="preserve">de acuerdo con la información suministrada por la Agencia para la Reincorporación y la Normalización (ARN), de las 12.843 personas en la ruta de la reincorporación, 4.863 se encuentran en zonas urbanas y 7.980 en zonas rurales. De estas, 201 personas son propietarias de vivienda, 124 en el área urbana. Así, en total 4.739 personas serían susceptibles a un subsidio de vivienda urbana al residir en un área urbana y no ser propietarios. Dentro de esta población, 1.532 personas reincorporadas cuentan con ingresos formales y pertenecen al régimen contributivo, con las restantes 3.207 personas sin contar con ingresos formales. </w:t>
            </w:r>
          </w:p>
          <w:p w:rsidR="00A274C7" w:rsidRPr="00B210D2" w:rsidRDefault="00A274C7" w:rsidP="00B210D2">
            <w:pPr>
              <w:jc w:val="both"/>
              <w:rPr>
                <w:rFonts w:cs="Arial"/>
                <w:sz w:val="22"/>
                <w:szCs w:val="22"/>
              </w:rPr>
            </w:pPr>
          </w:p>
          <w:p w:rsidR="00A274C7" w:rsidRPr="00B210D2" w:rsidRDefault="00A274C7" w:rsidP="00B210D2">
            <w:pPr>
              <w:jc w:val="both"/>
              <w:rPr>
                <w:rFonts w:eastAsia="Calibri" w:cs="Arial"/>
                <w:color w:val="000000"/>
                <w:sz w:val="22"/>
                <w:szCs w:val="22"/>
                <w:lang w:val="es-MX"/>
              </w:rPr>
            </w:pPr>
            <w:r w:rsidRPr="00B210D2">
              <w:rPr>
                <w:rFonts w:eastAsia="Calibri" w:cs="Arial"/>
                <w:color w:val="000000"/>
                <w:sz w:val="22"/>
                <w:szCs w:val="22"/>
                <w:lang w:val="es-MX"/>
              </w:rPr>
              <w:t>Estos 3.207 hogares, al no contar con ingresos, son elegibles para recibir un apoyo económico por parte del Gobierno Nacional de 0,9 SMMLV. Con este nivel de ingreso, los hogares cumplen con los requerimientos para acceder a un subsidio de Mi Casa Ya, lo que implica que pueden recibir un Subsidio Familiar de Vivienda de 30 SMMLV. Así, considerando una compra de una vivienda de interés prioritario (VIP) de 90 millones de pesos, y que en los últimos años el plazo promedio de los créditos hipotecarios VIS se ha ubicado entre 15 y 20 años, un hogar podría querer acceder a un crédito con una tasa del 10,78% E.A., sin ahorro previo y a un plazo de 180 meses. En dicho caso, el hogar tendría que pagar una cuota mensual de 655 mil pesos (525 mil pesos al descontar el beneficio de la cobertura), valor que representa el 72,7% del ingreso.</w:t>
            </w:r>
          </w:p>
          <w:p w:rsidR="00A274C7" w:rsidRPr="00B210D2" w:rsidRDefault="00A274C7" w:rsidP="00B210D2">
            <w:pPr>
              <w:jc w:val="both"/>
              <w:rPr>
                <w:rFonts w:eastAsia="Calibri" w:cs="Arial"/>
                <w:color w:val="000000"/>
                <w:sz w:val="22"/>
                <w:szCs w:val="22"/>
                <w:lang w:val="es-MX"/>
              </w:rPr>
            </w:pPr>
          </w:p>
          <w:p w:rsidR="00A274C7" w:rsidRPr="00B210D2" w:rsidRDefault="00A274C7" w:rsidP="00B210D2">
            <w:pPr>
              <w:jc w:val="both"/>
              <w:rPr>
                <w:rFonts w:eastAsia="Calibri" w:cs="Arial"/>
                <w:color w:val="000000"/>
                <w:sz w:val="22"/>
                <w:szCs w:val="22"/>
                <w:lang w:val="es-MX"/>
              </w:rPr>
            </w:pPr>
            <w:r w:rsidRPr="00B210D2">
              <w:rPr>
                <w:rFonts w:eastAsia="Calibri" w:cs="Arial"/>
                <w:color w:val="000000"/>
                <w:sz w:val="22"/>
                <w:szCs w:val="22"/>
                <w:lang w:val="es-MX"/>
              </w:rPr>
              <w:t>Teniendo en cuenta la restricción establecida en la regulación en la que no se permite otorgar créditos a un hogar cuya cuota mensual de un crédito hipotecario supere el 40% del ingreso mensual, y que no se permite tener en cuenta la cobertura a la tasa de interés para este cálculo, el hogar no alcanzaría el cierre financiero y quedaría excluido del acceso a un crédito hipotecario.</w:t>
            </w:r>
          </w:p>
          <w:p w:rsidR="00A274C7" w:rsidRPr="00B210D2" w:rsidRDefault="00A274C7" w:rsidP="00B210D2">
            <w:pPr>
              <w:jc w:val="both"/>
              <w:rPr>
                <w:rFonts w:eastAsia="Calibri" w:cs="Arial"/>
                <w:color w:val="000000"/>
                <w:sz w:val="22"/>
                <w:szCs w:val="22"/>
                <w:lang w:val="es-MX"/>
              </w:rPr>
            </w:pPr>
          </w:p>
          <w:p w:rsidR="00A274C7" w:rsidRPr="00B210D2" w:rsidRDefault="00A274C7" w:rsidP="00B210D2">
            <w:pPr>
              <w:jc w:val="both"/>
              <w:rPr>
                <w:rFonts w:eastAsia="Calibri" w:cs="Arial"/>
                <w:color w:val="000000"/>
                <w:sz w:val="22"/>
                <w:szCs w:val="22"/>
                <w:lang w:val="es-MX"/>
              </w:rPr>
            </w:pPr>
            <w:r w:rsidRPr="00B210D2">
              <w:rPr>
                <w:rFonts w:eastAsia="Calibri" w:cs="Arial"/>
                <w:color w:val="000000"/>
                <w:sz w:val="22"/>
                <w:szCs w:val="22"/>
                <w:lang w:val="es-MX"/>
              </w:rPr>
              <w:t>Debido a esto, el hogar necesita un auxilio extra para poder acceder al crédito, para lo cual se propone que se le otorgue un apoyo adicional de 30 SMMLV a los 30 SMMLV ya asignados a través del subsidio de Mi Casa Ya. Así, en este escenario alternativo, el hogar debería pagar una cuota de 327 mil pesos (sin incluir la cobertura), lo que resultaría en un valor de cuota del 36,3% del ingreso, lo que le permitiría acceder al crédito hipotecario al cumplir con la reglamentación ya mencionada. Adicionalmente, el hogar se beneficiará de la cobertura a la tasa de interés, pagando en la práctica 262 mil pesos.</w:t>
            </w:r>
          </w:p>
          <w:p w:rsidR="00A274C7" w:rsidRPr="00B210D2" w:rsidRDefault="00A274C7" w:rsidP="00B210D2">
            <w:pPr>
              <w:jc w:val="both"/>
              <w:rPr>
                <w:rFonts w:eastAsia="Calibri" w:cs="Arial"/>
                <w:color w:val="000000"/>
                <w:sz w:val="22"/>
                <w:szCs w:val="22"/>
                <w:lang w:val="es-MX"/>
              </w:rPr>
            </w:pPr>
          </w:p>
          <w:p w:rsidR="00A274C7" w:rsidRPr="00B210D2" w:rsidRDefault="00A274C7" w:rsidP="00B210D2">
            <w:pPr>
              <w:jc w:val="both"/>
              <w:rPr>
                <w:rFonts w:eastAsia="Calibri" w:cs="Arial"/>
                <w:color w:val="000000"/>
                <w:sz w:val="22"/>
                <w:szCs w:val="22"/>
                <w:lang w:val="es-MX"/>
              </w:rPr>
            </w:pPr>
            <w:r w:rsidRPr="00B210D2">
              <w:rPr>
                <w:rFonts w:eastAsia="Calibri" w:cs="Arial"/>
                <w:color w:val="000000"/>
                <w:sz w:val="22"/>
                <w:szCs w:val="22"/>
                <w:lang w:val="es-MX"/>
              </w:rPr>
              <w:t>Por otro lado, según la información provista por la ARN un número importante de los reincorporados empleados reciben un ingreso de 3 SMMLV. Con este nivel de ingreso, los hogares podrían ser beneficiarios del programa Mi Casa Ya recibiendo 20 SMMLV para la cuota inicial de su vivienda. Así, asumiendo que un hogar con estas características decide comprar una vivienda de interés social (VIS) de 150 millones de pesos, a una tasa del 10,78% E.A., sin ahorro previo adicional y a un plazo de crédito también de 180 meses, este tendría que pagar una cuota mensual de $1.419.451 ($1.211.711 al descontar el beneficio de la cobertura), valor que representa el 47,3% del ingreso, quedando excluido de acceder al crédito hipotecario. Sin embargo, al recibir el subsidio de 30 SMMLV adicionales el hogar pagaría una cuota mensual de $1.091.886, lo cual es equivalente a 36,4% de su salario y que le permitiría obtener el crédito hipotecario y convertirse en propietario. Adicionalmente, el hogar se beneficiará de la cobertura, pagando en la práctica $932.085.</w:t>
            </w:r>
          </w:p>
          <w:p w:rsidR="00A41AC2" w:rsidRPr="00B210D2" w:rsidRDefault="00E7112B" w:rsidP="00B210D2">
            <w:pPr>
              <w:pStyle w:val="Default"/>
              <w:jc w:val="both"/>
              <w:rPr>
                <w:sz w:val="22"/>
                <w:szCs w:val="22"/>
              </w:rPr>
            </w:pPr>
            <w:r w:rsidRPr="00B210D2">
              <w:rPr>
                <w:sz w:val="22"/>
                <w:szCs w:val="22"/>
              </w:rPr>
              <w:t xml:space="preserve"> </w:t>
            </w:r>
          </w:p>
          <w:p w:rsidR="008A0346" w:rsidRPr="00B210D2" w:rsidRDefault="008A5FD5" w:rsidP="00B210D2">
            <w:pPr>
              <w:pStyle w:val="Default"/>
              <w:jc w:val="both"/>
              <w:rPr>
                <w:sz w:val="22"/>
                <w:szCs w:val="22"/>
              </w:rPr>
            </w:pPr>
            <w:r w:rsidRPr="00B210D2">
              <w:rPr>
                <w:sz w:val="22"/>
                <w:szCs w:val="22"/>
              </w:rPr>
              <w:t xml:space="preserve">Por lo anterior, y dadas las condiciones particulares que han sido identificadas en el marco de la </w:t>
            </w:r>
            <w:r w:rsidR="00A274C7" w:rsidRPr="00B210D2">
              <w:rPr>
                <w:sz w:val="22"/>
                <w:szCs w:val="22"/>
              </w:rPr>
              <w:t>ruta de reincorporación</w:t>
            </w:r>
            <w:r w:rsidRPr="00B210D2">
              <w:rPr>
                <w:sz w:val="22"/>
                <w:szCs w:val="22"/>
              </w:rPr>
              <w:t xml:space="preserve"> en materia habitacional, se estima necesario establecer un monto adicional, con enfoque diferencial, del subsidio familiar de vivienda urbano otorgado a través del Programa </w:t>
            </w:r>
            <w:r w:rsidRPr="00B210D2">
              <w:rPr>
                <w:i/>
                <w:sz w:val="22"/>
                <w:szCs w:val="22"/>
              </w:rPr>
              <w:t>Mi Casa Ya</w:t>
            </w:r>
            <w:r w:rsidRPr="00B210D2">
              <w:rPr>
                <w:sz w:val="22"/>
                <w:szCs w:val="22"/>
              </w:rPr>
              <w:t xml:space="preserve">, a favor de los ex integrantes de las FARC- EP y sus familias que se encuentren dentro de la Ruta de Reincorporación, lo que genera la necesidad de adicionar una sección al capítulo 1 del título 1 de la parte 1 del libro 2 del Decreto 1077 de 2015, compilatorio del sector vivienda, ciudad y territorio. </w:t>
            </w:r>
            <w:r w:rsidR="00EC2D9F" w:rsidRPr="00B210D2">
              <w:rPr>
                <w:sz w:val="22"/>
                <w:szCs w:val="22"/>
              </w:rPr>
              <w:t xml:space="preserve"> </w:t>
            </w:r>
          </w:p>
        </w:tc>
      </w:tr>
      <w:tr w:rsidR="00DF60FD" w:rsidRPr="009F7CED" w:rsidTr="00184400">
        <w:tblPrEx>
          <w:tblCellMar>
            <w:top w:w="0" w:type="dxa"/>
            <w:bottom w:w="0" w:type="dxa"/>
          </w:tblCellMar>
        </w:tblPrEx>
        <w:trPr>
          <w:trHeight w:val="47"/>
        </w:trPr>
        <w:tc>
          <w:tcPr>
            <w:tcW w:w="10773" w:type="dxa"/>
            <w:gridSpan w:val="3"/>
            <w:shd w:val="clear" w:color="auto" w:fill="FFFFFF"/>
            <w:vAlign w:val="center"/>
          </w:tcPr>
          <w:p w:rsidR="00251FCE" w:rsidRPr="00B210D2" w:rsidRDefault="00251FCE" w:rsidP="00B210D2">
            <w:pPr>
              <w:ind w:right="49"/>
              <w:jc w:val="both"/>
              <w:rPr>
                <w:rFonts w:cs="Arial"/>
                <w:sz w:val="22"/>
                <w:szCs w:val="22"/>
                <w:lang w:eastAsia="es-CO"/>
              </w:rPr>
            </w:pPr>
          </w:p>
        </w:tc>
      </w:tr>
      <w:tr w:rsidR="00DF60FD" w:rsidRPr="009F7CED" w:rsidTr="00184400">
        <w:tblPrEx>
          <w:tblCellMar>
            <w:top w:w="0" w:type="dxa"/>
            <w:bottom w:w="0" w:type="dxa"/>
          </w:tblCellMar>
        </w:tblPrEx>
        <w:trPr>
          <w:trHeight w:val="66"/>
        </w:trPr>
        <w:tc>
          <w:tcPr>
            <w:tcW w:w="10773" w:type="dxa"/>
            <w:gridSpan w:val="3"/>
            <w:tcBorders>
              <w:top w:val="single" w:sz="4" w:space="0" w:color="auto"/>
              <w:bottom w:val="single" w:sz="4" w:space="0" w:color="auto"/>
            </w:tcBorders>
            <w:shd w:val="clear" w:color="auto" w:fill="FFFFFF"/>
            <w:vAlign w:val="center"/>
          </w:tcPr>
          <w:p w:rsidR="00DF60FD" w:rsidRPr="00B210D2" w:rsidRDefault="009D5040" w:rsidP="00B210D2">
            <w:pPr>
              <w:numPr>
                <w:ilvl w:val="0"/>
                <w:numId w:val="1"/>
              </w:numPr>
              <w:ind w:left="494" w:right="49"/>
              <w:rPr>
                <w:rFonts w:cs="Arial"/>
                <w:b/>
                <w:color w:val="000000"/>
                <w:sz w:val="22"/>
                <w:szCs w:val="22"/>
              </w:rPr>
            </w:pPr>
            <w:r>
              <w:rPr>
                <w:rFonts w:cs="Arial"/>
                <w:b/>
                <w:color w:val="000000"/>
                <w:sz w:val="22"/>
                <w:szCs w:val="22"/>
              </w:rPr>
              <w:t>Á</w:t>
            </w:r>
            <w:r w:rsidR="00DF60FD" w:rsidRPr="00B210D2">
              <w:rPr>
                <w:rFonts w:cs="Arial"/>
                <w:b/>
                <w:color w:val="000000"/>
                <w:sz w:val="22"/>
                <w:szCs w:val="22"/>
              </w:rPr>
              <w:t>MBITO DE APLICACIÓN Y SUJETO</w:t>
            </w:r>
            <w:r w:rsidR="00795C6B" w:rsidRPr="00B210D2">
              <w:rPr>
                <w:rFonts w:cs="Arial"/>
                <w:b/>
                <w:color w:val="000000"/>
                <w:sz w:val="22"/>
                <w:szCs w:val="22"/>
              </w:rPr>
              <w:t>S</w:t>
            </w:r>
            <w:r w:rsidR="00DF60FD" w:rsidRPr="00B210D2">
              <w:rPr>
                <w:rFonts w:cs="Arial"/>
                <w:b/>
                <w:color w:val="000000"/>
                <w:sz w:val="22"/>
                <w:szCs w:val="22"/>
              </w:rPr>
              <w:t xml:space="preserve"> A QUIEN</w:t>
            </w:r>
            <w:r w:rsidR="00795C6B" w:rsidRPr="00B210D2">
              <w:rPr>
                <w:rFonts w:cs="Arial"/>
                <w:b/>
                <w:color w:val="000000"/>
                <w:sz w:val="22"/>
                <w:szCs w:val="22"/>
              </w:rPr>
              <w:t>ES</w:t>
            </w:r>
            <w:r w:rsidR="00DF60FD" w:rsidRPr="00B210D2">
              <w:rPr>
                <w:rFonts w:cs="Arial"/>
                <w:b/>
                <w:color w:val="000000"/>
                <w:sz w:val="22"/>
                <w:szCs w:val="22"/>
              </w:rPr>
              <w:t xml:space="preserve"> VA DIRIGIDO</w:t>
            </w:r>
          </w:p>
          <w:p w:rsidR="00AE6712" w:rsidRPr="00B210D2" w:rsidRDefault="00AE6712" w:rsidP="00B210D2">
            <w:pPr>
              <w:pStyle w:val="Cuadrculamedia1-nfasis2"/>
              <w:spacing w:line="240" w:lineRule="auto"/>
              <w:ind w:left="494"/>
              <w:jc w:val="both"/>
              <w:rPr>
                <w:rFonts w:ascii="Arial" w:hAnsi="Arial" w:cs="Arial"/>
                <w:i/>
                <w:color w:val="808080"/>
              </w:rPr>
            </w:pPr>
            <w:r w:rsidRPr="00B210D2">
              <w:rPr>
                <w:rFonts w:ascii="Arial" w:hAnsi="Arial" w:cs="Arial"/>
                <w:i/>
                <w:color w:val="808080"/>
              </w:rPr>
              <w:t>(Por favor indique el ámbito de aplicación o sujetos obligados de la norma)</w:t>
            </w:r>
          </w:p>
          <w:p w:rsidR="008E4AB2" w:rsidRPr="00B210D2" w:rsidRDefault="00A9220A" w:rsidP="00B210D2">
            <w:pPr>
              <w:autoSpaceDE w:val="0"/>
              <w:autoSpaceDN w:val="0"/>
              <w:adjustRightInd w:val="0"/>
              <w:ind w:right="49"/>
              <w:jc w:val="both"/>
              <w:rPr>
                <w:rFonts w:cs="Arial"/>
                <w:sz w:val="22"/>
                <w:szCs w:val="22"/>
              </w:rPr>
            </w:pPr>
            <w:r w:rsidRPr="00B210D2">
              <w:rPr>
                <w:rFonts w:cs="Arial"/>
                <w:sz w:val="22"/>
                <w:szCs w:val="22"/>
              </w:rPr>
              <w:t xml:space="preserve">El </w:t>
            </w:r>
            <w:r w:rsidR="00A66D8F" w:rsidRPr="00B210D2">
              <w:rPr>
                <w:rFonts w:cs="Arial"/>
                <w:sz w:val="22"/>
                <w:szCs w:val="22"/>
              </w:rPr>
              <w:t>proyecto de decreto que se fundamenta en la presente memoria justificativa</w:t>
            </w:r>
            <w:r w:rsidRPr="00B210D2">
              <w:rPr>
                <w:rFonts w:cs="Arial"/>
                <w:sz w:val="22"/>
                <w:szCs w:val="22"/>
              </w:rPr>
              <w:t xml:space="preserve"> es</w:t>
            </w:r>
            <w:r w:rsidR="00A66D8F" w:rsidRPr="00B210D2">
              <w:rPr>
                <w:rFonts w:cs="Arial"/>
                <w:sz w:val="22"/>
                <w:szCs w:val="22"/>
              </w:rPr>
              <w:t xml:space="preserve"> de carácter</w:t>
            </w:r>
            <w:r w:rsidRPr="00B210D2">
              <w:rPr>
                <w:rFonts w:cs="Arial"/>
                <w:sz w:val="22"/>
                <w:szCs w:val="22"/>
              </w:rPr>
              <w:t xml:space="preserve"> naciona</w:t>
            </w:r>
            <w:r w:rsidR="00A66D8F" w:rsidRPr="00B210D2">
              <w:rPr>
                <w:rFonts w:cs="Arial"/>
                <w:sz w:val="22"/>
                <w:szCs w:val="22"/>
              </w:rPr>
              <w:t xml:space="preserve">l y va dirigido a los ex integrantes de las FARC –EP que se encuentran dentro de la </w:t>
            </w:r>
            <w:r w:rsidR="00A274C7" w:rsidRPr="00B210D2">
              <w:rPr>
                <w:rFonts w:cs="Arial"/>
                <w:sz w:val="22"/>
                <w:szCs w:val="22"/>
              </w:rPr>
              <w:t xml:space="preserve">ruta de reincorporación </w:t>
            </w:r>
            <w:r w:rsidR="00A66D8F" w:rsidRPr="00B210D2">
              <w:rPr>
                <w:rFonts w:cs="Arial"/>
                <w:sz w:val="22"/>
                <w:szCs w:val="22"/>
              </w:rPr>
              <w:t xml:space="preserve">que lidera la Agencia para la Reincorporación y Normalización (ARN) o quien haga sus veces. </w:t>
            </w:r>
          </w:p>
          <w:p w:rsidR="00795C6B" w:rsidRPr="00B210D2" w:rsidRDefault="00795C6B" w:rsidP="00B210D2">
            <w:pPr>
              <w:ind w:right="49"/>
              <w:rPr>
                <w:rFonts w:cs="Arial"/>
                <w:iCs/>
                <w:color w:val="000000"/>
                <w:sz w:val="22"/>
                <w:szCs w:val="22"/>
              </w:rPr>
            </w:pPr>
          </w:p>
        </w:tc>
      </w:tr>
      <w:tr w:rsidR="00DF60FD" w:rsidRPr="009F7CED" w:rsidTr="00184400">
        <w:tblPrEx>
          <w:tblCellMar>
            <w:top w:w="0" w:type="dxa"/>
            <w:bottom w:w="0" w:type="dxa"/>
          </w:tblCellMar>
        </w:tblPrEx>
        <w:trPr>
          <w:trHeight w:val="278"/>
        </w:trPr>
        <w:tc>
          <w:tcPr>
            <w:tcW w:w="10773" w:type="dxa"/>
            <w:gridSpan w:val="3"/>
            <w:tcBorders>
              <w:bottom w:val="single" w:sz="4" w:space="0" w:color="auto"/>
            </w:tcBorders>
            <w:shd w:val="clear" w:color="auto" w:fill="FFFFFF"/>
            <w:vAlign w:val="center"/>
          </w:tcPr>
          <w:p w:rsidR="00DF60FD" w:rsidRPr="00B210D2" w:rsidRDefault="00795C6B" w:rsidP="00B210D2">
            <w:pPr>
              <w:ind w:left="494" w:right="49" w:hanging="283"/>
              <w:rPr>
                <w:rFonts w:cs="Arial"/>
                <w:b/>
                <w:color w:val="000000"/>
                <w:sz w:val="22"/>
                <w:szCs w:val="22"/>
              </w:rPr>
            </w:pPr>
            <w:r w:rsidRPr="00B210D2">
              <w:rPr>
                <w:rFonts w:cs="Arial"/>
                <w:b/>
                <w:color w:val="000000"/>
                <w:sz w:val="22"/>
                <w:szCs w:val="22"/>
              </w:rPr>
              <w:t xml:space="preserve">3. </w:t>
            </w:r>
            <w:r w:rsidR="00DF60FD" w:rsidRPr="00B210D2">
              <w:rPr>
                <w:rFonts w:cs="Arial"/>
                <w:b/>
                <w:color w:val="000000"/>
                <w:sz w:val="22"/>
                <w:szCs w:val="22"/>
              </w:rPr>
              <w:t>VIABILIDAD JURÍDICA</w:t>
            </w:r>
          </w:p>
          <w:p w:rsidR="00D05B67" w:rsidRPr="00B210D2" w:rsidRDefault="00D05B67" w:rsidP="00B210D2">
            <w:pPr>
              <w:ind w:left="494" w:right="49" w:hanging="283"/>
              <w:rPr>
                <w:rFonts w:cs="Arial"/>
                <w:i/>
                <w:color w:val="808080"/>
                <w:sz w:val="22"/>
                <w:szCs w:val="22"/>
              </w:rPr>
            </w:pPr>
            <w:r w:rsidRPr="00B210D2">
              <w:rPr>
                <w:rFonts w:cs="Arial"/>
                <w:i/>
                <w:color w:val="808080"/>
                <w:sz w:val="22"/>
                <w:szCs w:val="22"/>
              </w:rPr>
              <w:t>(Por favor desarrolle cada uno de los siguientes puntos)</w:t>
            </w:r>
          </w:p>
          <w:p w:rsidR="00D05B67" w:rsidRPr="00B210D2" w:rsidRDefault="00D05B67" w:rsidP="00B210D2">
            <w:pPr>
              <w:ind w:left="494" w:right="49" w:hanging="283"/>
              <w:rPr>
                <w:rFonts w:cs="Arial"/>
                <w:i/>
                <w:color w:val="808080"/>
                <w:sz w:val="22"/>
                <w:szCs w:val="22"/>
              </w:rPr>
            </w:pPr>
          </w:p>
          <w:p w:rsidR="00795C6B" w:rsidRPr="00B210D2" w:rsidRDefault="00795C6B" w:rsidP="00B210D2">
            <w:pPr>
              <w:ind w:left="494" w:right="49" w:hanging="283"/>
              <w:jc w:val="both"/>
              <w:rPr>
                <w:rFonts w:cs="Arial"/>
                <w:sz w:val="22"/>
                <w:szCs w:val="22"/>
                <w:u w:val="single"/>
                <w:lang w:val="es-CO" w:eastAsia="es-CO"/>
              </w:rPr>
            </w:pPr>
            <w:r w:rsidRPr="00B210D2">
              <w:rPr>
                <w:rFonts w:cs="Arial"/>
                <w:sz w:val="22"/>
                <w:szCs w:val="22"/>
                <w:u w:val="single"/>
                <w:lang w:val="es-CO" w:eastAsia="es-CO"/>
              </w:rPr>
              <w:t>3.1 Análisis de las normas que otorgan la competencia para la expedición del proyecto normativo</w:t>
            </w:r>
          </w:p>
          <w:p w:rsidR="00AE6712" w:rsidRPr="00B210D2" w:rsidRDefault="00AE6712" w:rsidP="00B210D2">
            <w:pPr>
              <w:ind w:right="49"/>
              <w:jc w:val="both"/>
              <w:rPr>
                <w:rFonts w:cs="Arial"/>
                <w:sz w:val="22"/>
                <w:szCs w:val="22"/>
                <w:lang w:val="es-CO" w:eastAsia="es-CO"/>
              </w:rPr>
            </w:pPr>
          </w:p>
          <w:p w:rsidR="00F34CE1" w:rsidRPr="00B210D2" w:rsidRDefault="00F34CE1" w:rsidP="00B210D2">
            <w:pPr>
              <w:numPr>
                <w:ilvl w:val="0"/>
                <w:numId w:val="15"/>
              </w:numPr>
              <w:ind w:right="49"/>
              <w:jc w:val="both"/>
              <w:rPr>
                <w:rFonts w:cs="Arial"/>
                <w:sz w:val="22"/>
                <w:szCs w:val="22"/>
                <w:lang w:val="es-CO" w:eastAsia="es-CO"/>
              </w:rPr>
            </w:pPr>
            <w:r w:rsidRPr="00B210D2">
              <w:rPr>
                <w:rFonts w:cs="Arial"/>
                <w:sz w:val="22"/>
                <w:szCs w:val="22"/>
                <w:lang w:eastAsia="es-CO"/>
              </w:rPr>
              <w:t>El artículo 51 de la Constitución Política Nacional determina que todos los colombianos tienen derecho a una vivienda digna, y establece que el Estado fijará las condiciones necesarias para hacer efectivo este derecho y promoverá planes de vivienda de interés social, sistemas adecuados de financiación a largo plazo y formas asociativas de ejecución de los programas de vivienda.</w:t>
            </w:r>
          </w:p>
          <w:p w:rsidR="00F34CE1" w:rsidRPr="00B210D2" w:rsidRDefault="00F34CE1" w:rsidP="00B210D2">
            <w:pPr>
              <w:ind w:left="720" w:right="49"/>
              <w:jc w:val="both"/>
              <w:rPr>
                <w:rFonts w:cs="Arial"/>
                <w:sz w:val="22"/>
                <w:szCs w:val="22"/>
                <w:lang w:val="es-CO" w:eastAsia="es-CO"/>
              </w:rPr>
            </w:pPr>
          </w:p>
          <w:p w:rsidR="00AE6712" w:rsidRPr="00B210D2" w:rsidRDefault="007378C3" w:rsidP="00B210D2">
            <w:pPr>
              <w:numPr>
                <w:ilvl w:val="0"/>
                <w:numId w:val="15"/>
              </w:numPr>
              <w:ind w:right="49"/>
              <w:jc w:val="both"/>
              <w:rPr>
                <w:rFonts w:cs="Arial"/>
                <w:sz w:val="22"/>
                <w:szCs w:val="22"/>
                <w:lang w:val="es-CO" w:eastAsia="es-CO"/>
              </w:rPr>
            </w:pPr>
            <w:r w:rsidRPr="00B210D2">
              <w:rPr>
                <w:rFonts w:cs="Arial"/>
                <w:sz w:val="22"/>
                <w:szCs w:val="22"/>
                <w:lang w:val="es-CO" w:eastAsia="es-CO"/>
              </w:rPr>
              <w:t xml:space="preserve">El Decreto </w:t>
            </w:r>
            <w:r w:rsidR="009D5040">
              <w:rPr>
                <w:rFonts w:cs="Arial"/>
                <w:sz w:val="22"/>
                <w:szCs w:val="22"/>
                <w:lang w:val="es-CO" w:eastAsia="es-CO"/>
              </w:rPr>
              <w:t xml:space="preserve">ley </w:t>
            </w:r>
            <w:r w:rsidRPr="00B210D2">
              <w:rPr>
                <w:rFonts w:cs="Arial"/>
                <w:sz w:val="22"/>
                <w:szCs w:val="22"/>
                <w:lang w:val="es-CO" w:eastAsia="es-CO"/>
              </w:rPr>
              <w:t>3571 de</w:t>
            </w:r>
            <w:r w:rsidR="00420E51" w:rsidRPr="00B210D2">
              <w:rPr>
                <w:rFonts w:cs="Arial"/>
                <w:sz w:val="22"/>
                <w:szCs w:val="22"/>
                <w:lang w:val="es-CO" w:eastAsia="es-CO"/>
              </w:rPr>
              <w:t xml:space="preserve"> 2011 instituye en titularidad del Ministerio de Vivienda, Ciuda</w:t>
            </w:r>
            <w:r w:rsidR="009D5040">
              <w:rPr>
                <w:rFonts w:cs="Arial"/>
                <w:sz w:val="22"/>
                <w:szCs w:val="22"/>
                <w:lang w:val="es-CO" w:eastAsia="es-CO"/>
              </w:rPr>
              <w:t>d y Territorio la función de fo</w:t>
            </w:r>
            <w:r w:rsidR="00420E51" w:rsidRPr="00B210D2">
              <w:rPr>
                <w:rFonts w:cs="Arial"/>
                <w:sz w:val="22"/>
                <w:szCs w:val="22"/>
                <w:lang w:val="es-CO" w:eastAsia="es-CO"/>
              </w:rPr>
              <w:t>r</w:t>
            </w:r>
            <w:r w:rsidR="009D5040">
              <w:rPr>
                <w:rFonts w:cs="Arial"/>
                <w:sz w:val="22"/>
                <w:szCs w:val="22"/>
                <w:lang w:val="es-CO" w:eastAsia="es-CO"/>
              </w:rPr>
              <w:t>m</w:t>
            </w:r>
            <w:r w:rsidR="00420E51" w:rsidRPr="00B210D2">
              <w:rPr>
                <w:rFonts w:cs="Arial"/>
                <w:sz w:val="22"/>
                <w:szCs w:val="22"/>
                <w:lang w:val="es-CO" w:eastAsia="es-CO"/>
              </w:rPr>
              <w:t xml:space="preserve">ular, dirigir y coordinar las políticas, planes, programas y regulaciones en materia de vivienda y financiación de vivienda urbana y rural, desarrollo urbano, ordenamiento territorial y uso del suelo, agua potable y saneamiento básico, así como expedir los instrumentos normativos para su implementación. </w:t>
            </w:r>
          </w:p>
          <w:p w:rsidR="00AC618D" w:rsidRPr="00B210D2" w:rsidRDefault="00AC618D" w:rsidP="00B210D2">
            <w:pPr>
              <w:ind w:right="49"/>
              <w:jc w:val="both"/>
              <w:rPr>
                <w:rFonts w:cs="Arial"/>
                <w:sz w:val="22"/>
                <w:szCs w:val="22"/>
                <w:lang w:val="es-CO" w:eastAsia="es-CO"/>
              </w:rPr>
            </w:pPr>
          </w:p>
          <w:p w:rsidR="00AC618D" w:rsidRPr="00B210D2" w:rsidRDefault="000C5526" w:rsidP="00B210D2">
            <w:pPr>
              <w:numPr>
                <w:ilvl w:val="0"/>
                <w:numId w:val="15"/>
              </w:numPr>
              <w:ind w:right="49"/>
              <w:jc w:val="both"/>
              <w:rPr>
                <w:rFonts w:cs="Arial"/>
                <w:sz w:val="22"/>
                <w:szCs w:val="22"/>
                <w:lang w:val="es-CO" w:eastAsia="es-CO"/>
              </w:rPr>
            </w:pPr>
            <w:r w:rsidRPr="00B210D2">
              <w:rPr>
                <w:rFonts w:cs="Arial"/>
                <w:sz w:val="22"/>
                <w:szCs w:val="22"/>
                <w:lang w:val="es-CO" w:eastAsia="es-CO"/>
              </w:rPr>
              <w:t>El artículo 6º de la Ley 3 de 1991 define al subsidio familiar de vivienda como un aporte estatal en dinero o en especie que será otorgado por una sola vez al beneficiario, con el objeto de facilitar una solución de vivienda de interés social</w:t>
            </w:r>
            <w:r w:rsidR="006E25B9" w:rsidRPr="00B210D2">
              <w:rPr>
                <w:rFonts w:cs="Arial"/>
                <w:sz w:val="22"/>
                <w:szCs w:val="22"/>
                <w:lang w:val="es-CO" w:eastAsia="es-CO"/>
              </w:rPr>
              <w:t xml:space="preserve"> o de interés prioritario. De igual forma, determina que la cuantía del subsidio será determinada por el Gobierno Nacional, de acuerdo con los recursos disponibles, el valor final de la solución de vivienda y las condiciones socioeconómicas de los beneficiarios. </w:t>
            </w:r>
          </w:p>
          <w:p w:rsidR="006E25B9" w:rsidRPr="00B210D2" w:rsidRDefault="006E25B9" w:rsidP="00B210D2">
            <w:pPr>
              <w:ind w:right="49"/>
              <w:jc w:val="both"/>
              <w:rPr>
                <w:rFonts w:cs="Arial"/>
                <w:sz w:val="22"/>
                <w:szCs w:val="22"/>
                <w:lang w:val="es-CO" w:eastAsia="es-CO"/>
              </w:rPr>
            </w:pPr>
          </w:p>
          <w:p w:rsidR="00AE6712" w:rsidRPr="00B210D2" w:rsidRDefault="00FD56B0" w:rsidP="00B210D2">
            <w:pPr>
              <w:numPr>
                <w:ilvl w:val="0"/>
                <w:numId w:val="15"/>
              </w:numPr>
              <w:ind w:right="49"/>
              <w:jc w:val="both"/>
              <w:rPr>
                <w:rFonts w:cs="Arial"/>
                <w:sz w:val="22"/>
                <w:szCs w:val="22"/>
                <w:lang w:val="es-CO" w:eastAsia="es-CO"/>
              </w:rPr>
            </w:pPr>
            <w:r w:rsidRPr="00B210D2">
              <w:rPr>
                <w:rFonts w:cs="Arial"/>
                <w:sz w:val="22"/>
                <w:szCs w:val="22"/>
                <w:lang w:val="es-CO" w:eastAsia="es-CO"/>
              </w:rPr>
              <w:t>El documento 3931 emitido por el Co</w:t>
            </w:r>
            <w:r w:rsidR="009D5040">
              <w:rPr>
                <w:rFonts w:cs="Arial"/>
                <w:sz w:val="22"/>
                <w:szCs w:val="22"/>
                <w:lang w:val="es-CO" w:eastAsia="es-CO"/>
              </w:rPr>
              <w:t>nsejo Nacional de Política Econó</w:t>
            </w:r>
            <w:r w:rsidRPr="00B210D2">
              <w:rPr>
                <w:rFonts w:cs="Arial"/>
                <w:sz w:val="22"/>
                <w:szCs w:val="22"/>
                <w:lang w:val="es-CO" w:eastAsia="es-CO"/>
              </w:rPr>
              <w:t xml:space="preserve">mica y Social (CONPES) del año 2018, determinó </w:t>
            </w:r>
            <w:r w:rsidR="00AC202E" w:rsidRPr="00B210D2">
              <w:rPr>
                <w:rFonts w:cs="Arial"/>
                <w:sz w:val="22"/>
                <w:szCs w:val="22"/>
                <w:lang w:val="es-CO" w:eastAsia="es-CO"/>
              </w:rPr>
              <w:t xml:space="preserve">la necesidad de construir un diagnóstico de habitabilidad de ex integrantes de las FARC- EP y sus familias, conducente a la definición de una ruta para promover soluciones en materia de </w:t>
            </w:r>
            <w:r w:rsidR="00B54EDD" w:rsidRPr="00B210D2">
              <w:rPr>
                <w:rFonts w:cs="Arial"/>
                <w:sz w:val="22"/>
                <w:szCs w:val="22"/>
                <w:lang w:val="es-CO" w:eastAsia="es-CO"/>
              </w:rPr>
              <w:t>habitabilidad y vivienda</w:t>
            </w:r>
            <w:r w:rsidR="00B31D24" w:rsidRPr="00B210D2">
              <w:rPr>
                <w:rFonts w:cs="Arial"/>
                <w:sz w:val="22"/>
                <w:szCs w:val="22"/>
                <w:lang w:val="es-CO" w:eastAsia="es-CO"/>
              </w:rPr>
              <w:t xml:space="preserve">, en suelo </w:t>
            </w:r>
            <w:r w:rsidR="00B54EDD" w:rsidRPr="00B210D2">
              <w:rPr>
                <w:rFonts w:cs="Arial"/>
                <w:sz w:val="22"/>
                <w:szCs w:val="22"/>
                <w:lang w:val="es-CO" w:eastAsia="es-CO"/>
              </w:rPr>
              <w:t>rural y</w:t>
            </w:r>
            <w:r w:rsidR="00B31D24" w:rsidRPr="00B210D2">
              <w:rPr>
                <w:rFonts w:cs="Arial"/>
                <w:sz w:val="22"/>
                <w:szCs w:val="22"/>
                <w:lang w:val="es-CO" w:eastAsia="es-CO"/>
              </w:rPr>
              <w:t xml:space="preserve"> urbano</w:t>
            </w:r>
            <w:r w:rsidR="00AC202E" w:rsidRPr="00B210D2">
              <w:rPr>
                <w:rFonts w:cs="Arial"/>
                <w:sz w:val="22"/>
                <w:szCs w:val="22"/>
                <w:lang w:val="es-CO" w:eastAsia="es-CO"/>
              </w:rPr>
              <w:t xml:space="preserve">. </w:t>
            </w:r>
          </w:p>
          <w:p w:rsidR="00573388" w:rsidRPr="00B210D2" w:rsidRDefault="00573388" w:rsidP="00B210D2">
            <w:pPr>
              <w:pStyle w:val="NormalWeb"/>
              <w:spacing w:before="0" w:beforeAutospacing="0" w:after="0" w:afterAutospacing="0"/>
              <w:ind w:right="49"/>
              <w:jc w:val="both"/>
              <w:rPr>
                <w:rFonts w:ascii="Arial" w:hAnsi="Arial" w:cs="Arial"/>
                <w:sz w:val="22"/>
                <w:szCs w:val="22"/>
              </w:rPr>
            </w:pPr>
          </w:p>
          <w:p w:rsidR="00D434D0" w:rsidRPr="00B210D2" w:rsidRDefault="00795C6B" w:rsidP="00B210D2">
            <w:pPr>
              <w:ind w:left="494" w:right="49" w:hanging="283"/>
              <w:jc w:val="both"/>
              <w:rPr>
                <w:rFonts w:cs="Arial"/>
                <w:sz w:val="22"/>
                <w:szCs w:val="22"/>
                <w:u w:val="single"/>
                <w:lang w:val="es-CO" w:eastAsia="es-CO"/>
              </w:rPr>
            </w:pPr>
            <w:r w:rsidRPr="00B210D2">
              <w:rPr>
                <w:rFonts w:cs="Arial"/>
                <w:sz w:val="22"/>
                <w:szCs w:val="22"/>
                <w:u w:val="single"/>
                <w:lang w:val="es-CO" w:eastAsia="es-CO"/>
              </w:rPr>
              <w:t>3.2 Vigencia de la ley o norma reglamentada o desarrollada</w:t>
            </w:r>
          </w:p>
          <w:p w:rsidR="00072AA1" w:rsidRPr="00B210D2" w:rsidRDefault="00072AA1" w:rsidP="00B210D2">
            <w:pPr>
              <w:ind w:right="49"/>
              <w:jc w:val="both"/>
              <w:rPr>
                <w:rFonts w:cs="Arial"/>
                <w:sz w:val="22"/>
                <w:szCs w:val="22"/>
                <w:lang w:val="es-CO" w:eastAsia="es-CO"/>
              </w:rPr>
            </w:pPr>
          </w:p>
          <w:p w:rsidR="00197962" w:rsidRPr="00B210D2" w:rsidRDefault="00573388" w:rsidP="00B210D2">
            <w:pPr>
              <w:numPr>
                <w:ilvl w:val="0"/>
                <w:numId w:val="17"/>
              </w:numPr>
              <w:ind w:right="49"/>
              <w:jc w:val="both"/>
              <w:rPr>
                <w:rFonts w:cs="Arial"/>
                <w:sz w:val="22"/>
                <w:szCs w:val="22"/>
                <w:lang w:val="es-CO" w:eastAsia="es-CO"/>
              </w:rPr>
            </w:pPr>
            <w:r w:rsidRPr="00B210D2">
              <w:rPr>
                <w:rFonts w:cs="Arial"/>
                <w:iCs/>
                <w:sz w:val="22"/>
                <w:szCs w:val="22"/>
              </w:rPr>
              <w:t>Todas</w:t>
            </w:r>
            <w:r w:rsidRPr="00B210D2">
              <w:rPr>
                <w:rFonts w:cs="Arial"/>
                <w:iCs/>
                <w:sz w:val="22"/>
                <w:szCs w:val="22"/>
                <w:lang w:val="es-CO" w:eastAsia="es-CO"/>
              </w:rPr>
              <w:t xml:space="preserve"> </w:t>
            </w:r>
            <w:r w:rsidRPr="00B210D2">
              <w:rPr>
                <w:rFonts w:cs="Arial"/>
                <w:sz w:val="22"/>
                <w:szCs w:val="22"/>
                <w:lang w:val="es-CO" w:eastAsia="es-CO"/>
              </w:rPr>
              <w:t xml:space="preserve">las normas </w:t>
            </w:r>
            <w:r w:rsidR="00AC202E" w:rsidRPr="00B210D2">
              <w:rPr>
                <w:rFonts w:cs="Arial"/>
                <w:sz w:val="22"/>
                <w:szCs w:val="22"/>
                <w:lang w:val="es-CO" w:eastAsia="es-CO"/>
              </w:rPr>
              <w:t xml:space="preserve">que fundamentan la </w:t>
            </w:r>
            <w:r w:rsidR="00B31D24" w:rsidRPr="00B210D2">
              <w:rPr>
                <w:rFonts w:cs="Arial"/>
                <w:sz w:val="22"/>
                <w:szCs w:val="22"/>
                <w:lang w:val="es-CO" w:eastAsia="es-CO"/>
              </w:rPr>
              <w:t>competencia reglamentaria del Mi</w:t>
            </w:r>
            <w:r w:rsidR="009D5040">
              <w:rPr>
                <w:rFonts w:cs="Arial"/>
                <w:sz w:val="22"/>
                <w:szCs w:val="22"/>
                <w:lang w:val="es-CO" w:eastAsia="es-CO"/>
              </w:rPr>
              <w:t>nisterio de Vivienda, Ciudad y T</w:t>
            </w:r>
            <w:r w:rsidR="00B31D24" w:rsidRPr="00B210D2">
              <w:rPr>
                <w:rFonts w:cs="Arial"/>
                <w:sz w:val="22"/>
                <w:szCs w:val="22"/>
                <w:lang w:val="es-CO" w:eastAsia="es-CO"/>
              </w:rPr>
              <w:t xml:space="preserve">erritorio, para el caso particular, </w:t>
            </w:r>
            <w:r w:rsidR="00AC202E" w:rsidRPr="00B210D2">
              <w:rPr>
                <w:rFonts w:cs="Arial"/>
                <w:sz w:val="22"/>
                <w:szCs w:val="22"/>
                <w:lang w:val="es-CO" w:eastAsia="es-CO"/>
              </w:rPr>
              <w:t xml:space="preserve">se encuentran vigentes. </w:t>
            </w:r>
            <w:r w:rsidRPr="00B210D2">
              <w:rPr>
                <w:rFonts w:cs="Arial"/>
                <w:sz w:val="22"/>
                <w:szCs w:val="22"/>
                <w:lang w:val="es-CO" w:eastAsia="es-CO"/>
              </w:rPr>
              <w:t xml:space="preserve"> </w:t>
            </w:r>
          </w:p>
          <w:p w:rsidR="00573388" w:rsidRPr="00B210D2" w:rsidRDefault="00573388" w:rsidP="00B210D2">
            <w:pPr>
              <w:ind w:left="494" w:right="49" w:hanging="283"/>
              <w:jc w:val="both"/>
              <w:rPr>
                <w:rFonts w:cs="Arial"/>
                <w:sz w:val="22"/>
                <w:szCs w:val="22"/>
                <w:lang w:val="es-CO" w:eastAsia="es-CO"/>
              </w:rPr>
            </w:pPr>
          </w:p>
          <w:p w:rsidR="00795C6B" w:rsidRPr="00B210D2" w:rsidRDefault="00795C6B" w:rsidP="00B210D2">
            <w:pPr>
              <w:ind w:left="494" w:right="49" w:hanging="283"/>
              <w:jc w:val="both"/>
              <w:rPr>
                <w:rFonts w:cs="Arial"/>
                <w:sz w:val="22"/>
                <w:szCs w:val="22"/>
                <w:u w:val="single"/>
                <w:lang w:val="es-CO" w:eastAsia="es-CO"/>
              </w:rPr>
            </w:pPr>
            <w:r w:rsidRPr="00B210D2">
              <w:rPr>
                <w:rFonts w:cs="Arial"/>
                <w:sz w:val="22"/>
                <w:szCs w:val="22"/>
                <w:u w:val="single"/>
                <w:lang w:val="es-CO" w:eastAsia="es-CO"/>
              </w:rPr>
              <w:t>3.3. Disposiciones deroga</w:t>
            </w:r>
            <w:r w:rsidR="00D434D0" w:rsidRPr="00B210D2">
              <w:rPr>
                <w:rFonts w:cs="Arial"/>
                <w:sz w:val="22"/>
                <w:szCs w:val="22"/>
                <w:u w:val="single"/>
                <w:lang w:val="es-CO" w:eastAsia="es-CO"/>
              </w:rPr>
              <w:t>da</w:t>
            </w:r>
            <w:r w:rsidRPr="00B210D2">
              <w:rPr>
                <w:rFonts w:cs="Arial"/>
                <w:sz w:val="22"/>
                <w:szCs w:val="22"/>
                <w:u w:val="single"/>
                <w:lang w:val="es-CO" w:eastAsia="es-CO"/>
              </w:rPr>
              <w:t>s, subrogadas, modificadas, adicionadas</w:t>
            </w:r>
            <w:r w:rsidR="00D05B67" w:rsidRPr="00B210D2">
              <w:rPr>
                <w:rFonts w:cs="Arial"/>
                <w:sz w:val="22"/>
                <w:szCs w:val="22"/>
                <w:u w:val="single"/>
                <w:lang w:val="es-CO" w:eastAsia="es-CO"/>
              </w:rPr>
              <w:t xml:space="preserve"> o sustituidas </w:t>
            </w:r>
          </w:p>
          <w:p w:rsidR="00072AA1" w:rsidRPr="00B210D2" w:rsidRDefault="00072AA1" w:rsidP="00B210D2">
            <w:pPr>
              <w:ind w:right="49"/>
              <w:jc w:val="both"/>
              <w:rPr>
                <w:rFonts w:eastAsia="Arial Unicode MS" w:cs="Arial"/>
                <w:sz w:val="22"/>
                <w:szCs w:val="22"/>
                <w:lang w:val="es-CO" w:eastAsia="es-CO"/>
              </w:rPr>
            </w:pPr>
          </w:p>
          <w:p w:rsidR="00197962" w:rsidRPr="00B210D2" w:rsidRDefault="00072AA1" w:rsidP="00B210D2">
            <w:pPr>
              <w:numPr>
                <w:ilvl w:val="0"/>
                <w:numId w:val="17"/>
              </w:numPr>
              <w:ind w:right="49"/>
              <w:jc w:val="both"/>
              <w:rPr>
                <w:rFonts w:cs="Arial"/>
                <w:sz w:val="22"/>
                <w:szCs w:val="22"/>
                <w:lang w:val="es-CO" w:eastAsia="es-CO"/>
              </w:rPr>
            </w:pPr>
            <w:r w:rsidRPr="00B210D2">
              <w:rPr>
                <w:rFonts w:cs="Arial"/>
                <w:color w:val="000000"/>
                <w:sz w:val="22"/>
                <w:szCs w:val="22"/>
                <w:lang w:eastAsia="es-CO"/>
              </w:rPr>
              <w:t xml:space="preserve">Se </w:t>
            </w:r>
            <w:r w:rsidR="00AC202E" w:rsidRPr="00B210D2">
              <w:rPr>
                <w:rFonts w:cs="Arial"/>
                <w:sz w:val="22"/>
                <w:szCs w:val="22"/>
              </w:rPr>
              <w:t xml:space="preserve">adiciona la sección 13 al capítulo 1 del título 1 de la parte 1 del libro 2 del Decreto 1077 de 2015, compilatorio del sector vivienda, ciudad y territorio. </w:t>
            </w:r>
          </w:p>
          <w:p w:rsidR="00F1155A" w:rsidRPr="00B210D2" w:rsidRDefault="00F1155A" w:rsidP="00B210D2">
            <w:pPr>
              <w:pStyle w:val="NormalWeb"/>
              <w:spacing w:before="0" w:beforeAutospacing="0" w:after="0" w:afterAutospacing="0"/>
              <w:ind w:right="49"/>
              <w:jc w:val="both"/>
              <w:rPr>
                <w:rFonts w:ascii="Arial" w:hAnsi="Arial" w:cs="Arial"/>
                <w:sz w:val="22"/>
                <w:szCs w:val="22"/>
                <w:lang w:val="es-CO" w:eastAsia="es-CO"/>
              </w:rPr>
            </w:pPr>
          </w:p>
          <w:p w:rsidR="00D05B67" w:rsidRPr="00B210D2" w:rsidRDefault="00D05B67" w:rsidP="00B210D2">
            <w:pPr>
              <w:ind w:left="494" w:right="49" w:hanging="283"/>
              <w:jc w:val="both"/>
              <w:rPr>
                <w:rFonts w:cs="Arial"/>
                <w:sz w:val="22"/>
                <w:szCs w:val="22"/>
                <w:u w:val="single"/>
                <w:lang w:val="es-CO" w:eastAsia="es-CO"/>
              </w:rPr>
            </w:pPr>
            <w:r w:rsidRPr="00B210D2">
              <w:rPr>
                <w:rFonts w:cs="Arial"/>
                <w:sz w:val="22"/>
                <w:szCs w:val="22"/>
                <w:u w:val="single"/>
                <w:lang w:val="es-CO" w:eastAsia="es-CO"/>
              </w:rPr>
              <w:t>3.4 Revisión y análisis de la jurisprudencia que tenga impacto o sea relevante para la expedición del proyecto normativo (órganos de cierre de cada jurisdicción)</w:t>
            </w:r>
          </w:p>
          <w:p w:rsidR="00D05B67" w:rsidRPr="00B210D2" w:rsidRDefault="00D05B67" w:rsidP="00B210D2">
            <w:pPr>
              <w:ind w:right="49"/>
              <w:jc w:val="both"/>
              <w:rPr>
                <w:rFonts w:cs="Arial"/>
                <w:sz w:val="22"/>
                <w:szCs w:val="22"/>
                <w:lang w:val="es-CO" w:eastAsia="es-CO"/>
              </w:rPr>
            </w:pPr>
          </w:p>
          <w:p w:rsidR="00197962" w:rsidRPr="00B210D2" w:rsidRDefault="00197962" w:rsidP="00B210D2">
            <w:pPr>
              <w:numPr>
                <w:ilvl w:val="0"/>
                <w:numId w:val="17"/>
              </w:numPr>
              <w:ind w:right="49"/>
              <w:jc w:val="both"/>
              <w:rPr>
                <w:rFonts w:cs="Arial"/>
                <w:sz w:val="22"/>
                <w:szCs w:val="22"/>
                <w:lang w:val="es-CO" w:eastAsia="es-CO"/>
              </w:rPr>
            </w:pPr>
            <w:r w:rsidRPr="00B210D2">
              <w:rPr>
                <w:rFonts w:cs="Arial"/>
                <w:sz w:val="22"/>
                <w:szCs w:val="22"/>
                <w:lang w:val="es-CO" w:eastAsia="es-CO"/>
              </w:rPr>
              <w:t>N/A</w:t>
            </w:r>
          </w:p>
          <w:p w:rsidR="00197962" w:rsidRPr="00B210D2" w:rsidRDefault="00197962" w:rsidP="00B210D2">
            <w:pPr>
              <w:ind w:right="49"/>
              <w:jc w:val="both"/>
              <w:rPr>
                <w:rFonts w:cs="Arial"/>
                <w:sz w:val="22"/>
                <w:szCs w:val="22"/>
                <w:lang w:val="es-CO" w:eastAsia="es-CO"/>
              </w:rPr>
            </w:pPr>
          </w:p>
          <w:p w:rsidR="00D05B67" w:rsidRPr="00B210D2" w:rsidRDefault="00D05B67" w:rsidP="00B210D2">
            <w:pPr>
              <w:ind w:left="494" w:right="49" w:hanging="283"/>
              <w:jc w:val="both"/>
              <w:rPr>
                <w:rFonts w:cs="Arial"/>
                <w:sz w:val="22"/>
                <w:szCs w:val="22"/>
                <w:u w:val="single"/>
                <w:lang w:val="es-CO" w:eastAsia="es-CO"/>
              </w:rPr>
            </w:pPr>
            <w:r w:rsidRPr="00B210D2">
              <w:rPr>
                <w:rFonts w:cs="Arial"/>
                <w:sz w:val="22"/>
                <w:szCs w:val="22"/>
                <w:u w:val="single"/>
                <w:lang w:val="es-CO" w:eastAsia="es-CO"/>
              </w:rPr>
              <w:t xml:space="preserve">3.5 Circunstancias jurídicas adicionales </w:t>
            </w:r>
          </w:p>
          <w:p w:rsidR="00072AA1" w:rsidRPr="00B210D2" w:rsidRDefault="00072AA1" w:rsidP="00B210D2">
            <w:pPr>
              <w:ind w:right="49"/>
              <w:jc w:val="both"/>
              <w:rPr>
                <w:rFonts w:cs="Arial"/>
                <w:sz w:val="22"/>
                <w:szCs w:val="22"/>
                <w:lang w:val="es-CO" w:eastAsia="es-CO"/>
              </w:rPr>
            </w:pPr>
          </w:p>
          <w:p w:rsidR="00795C6B" w:rsidRPr="00B210D2" w:rsidRDefault="00197962" w:rsidP="00B210D2">
            <w:pPr>
              <w:numPr>
                <w:ilvl w:val="0"/>
                <w:numId w:val="17"/>
              </w:numPr>
              <w:ind w:right="49"/>
              <w:jc w:val="both"/>
              <w:rPr>
                <w:rFonts w:cs="Arial"/>
                <w:sz w:val="22"/>
                <w:szCs w:val="22"/>
                <w:lang w:val="es-CO" w:eastAsia="es-CO"/>
              </w:rPr>
            </w:pPr>
            <w:r w:rsidRPr="00B210D2">
              <w:rPr>
                <w:rFonts w:cs="Arial"/>
                <w:sz w:val="22"/>
                <w:szCs w:val="22"/>
                <w:lang w:val="es-CO" w:eastAsia="es-CO"/>
              </w:rPr>
              <w:t>N/A</w:t>
            </w:r>
          </w:p>
        </w:tc>
      </w:tr>
      <w:tr w:rsidR="00DF60FD" w:rsidRPr="009F7CED" w:rsidTr="00184400">
        <w:tblPrEx>
          <w:tblCellMar>
            <w:top w:w="0" w:type="dxa"/>
            <w:bottom w:w="0" w:type="dxa"/>
          </w:tblCellMar>
        </w:tblPrEx>
        <w:trPr>
          <w:trHeight w:val="925"/>
        </w:trPr>
        <w:tc>
          <w:tcPr>
            <w:tcW w:w="107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43EFF" w:rsidRPr="00B210D2" w:rsidRDefault="00843EFF" w:rsidP="00B210D2">
            <w:pPr>
              <w:ind w:right="49"/>
              <w:rPr>
                <w:rFonts w:cs="Arial"/>
                <w:b/>
                <w:color w:val="000000"/>
                <w:sz w:val="22"/>
                <w:szCs w:val="22"/>
              </w:rPr>
            </w:pPr>
          </w:p>
          <w:p w:rsidR="00DF60FD" w:rsidRPr="00B210D2" w:rsidRDefault="00DF60FD" w:rsidP="00B210D2">
            <w:pPr>
              <w:numPr>
                <w:ilvl w:val="0"/>
                <w:numId w:val="2"/>
              </w:numPr>
              <w:ind w:right="49"/>
              <w:rPr>
                <w:rFonts w:cs="Arial"/>
                <w:b/>
                <w:color w:val="000000"/>
                <w:sz w:val="22"/>
                <w:szCs w:val="22"/>
              </w:rPr>
            </w:pPr>
            <w:r w:rsidRPr="00B210D2">
              <w:rPr>
                <w:rFonts w:cs="Arial"/>
                <w:b/>
                <w:color w:val="000000"/>
                <w:sz w:val="22"/>
                <w:szCs w:val="22"/>
              </w:rPr>
              <w:t xml:space="preserve">IMPACTO ECONÓMICO </w:t>
            </w:r>
            <w:r w:rsidR="00D05B67" w:rsidRPr="00B210D2">
              <w:rPr>
                <w:rFonts w:cs="Arial"/>
                <w:color w:val="000000"/>
                <w:sz w:val="22"/>
                <w:szCs w:val="22"/>
              </w:rPr>
              <w:t>(Si se requiere)</w:t>
            </w:r>
          </w:p>
          <w:p w:rsidR="00795C6B" w:rsidRPr="00B210D2" w:rsidRDefault="00795C6B" w:rsidP="00B210D2">
            <w:pPr>
              <w:pStyle w:val="Cuadrculamedia1-nfasis2"/>
              <w:spacing w:after="0" w:line="240" w:lineRule="auto"/>
              <w:ind w:right="49"/>
              <w:jc w:val="both"/>
              <w:rPr>
                <w:rFonts w:ascii="Arial" w:hAnsi="Arial" w:cs="Arial"/>
                <w:i/>
                <w:color w:val="808080"/>
                <w:sz w:val="18"/>
                <w:szCs w:val="18"/>
              </w:rPr>
            </w:pPr>
            <w:r w:rsidRPr="00B210D2">
              <w:rPr>
                <w:rFonts w:ascii="Arial" w:hAnsi="Arial" w:cs="Arial"/>
                <w:i/>
                <w:color w:val="808080"/>
                <w:sz w:val="18"/>
                <w:szCs w:val="18"/>
              </w:rPr>
              <w:t>(Por favor señale el costo o ahorro de la implementación del acto administrativo)</w:t>
            </w:r>
          </w:p>
          <w:p w:rsidR="00B3206B" w:rsidRPr="00B210D2" w:rsidRDefault="00B3206B" w:rsidP="00B210D2">
            <w:pPr>
              <w:pStyle w:val="Cuadrculamedia1-nfasis2"/>
              <w:spacing w:after="0" w:line="240" w:lineRule="auto"/>
              <w:ind w:left="0" w:right="49"/>
              <w:jc w:val="both"/>
              <w:rPr>
                <w:rFonts w:ascii="Arial" w:hAnsi="Arial" w:cs="Arial"/>
                <w:bCs/>
              </w:rPr>
            </w:pPr>
          </w:p>
          <w:p w:rsidR="008E6C8B" w:rsidRPr="00B210D2" w:rsidRDefault="008E6C8B" w:rsidP="00B210D2">
            <w:pPr>
              <w:pStyle w:val="Cuadrculamedia1-nfasis2"/>
              <w:spacing w:after="0" w:line="240" w:lineRule="auto"/>
              <w:ind w:left="0" w:right="49"/>
              <w:jc w:val="both"/>
              <w:rPr>
                <w:rFonts w:ascii="Arial" w:hAnsi="Arial" w:cs="Arial"/>
                <w:bCs/>
              </w:rPr>
            </w:pPr>
            <w:r w:rsidRPr="00B210D2">
              <w:rPr>
                <w:rFonts w:ascii="Arial" w:hAnsi="Arial" w:cs="Arial"/>
                <w:bCs/>
              </w:rPr>
              <w:t xml:space="preserve">Las disposiciones contenidas en el proyecto de </w:t>
            </w:r>
            <w:r w:rsidR="00AC202E" w:rsidRPr="00B210D2">
              <w:rPr>
                <w:rFonts w:ascii="Arial" w:hAnsi="Arial" w:cs="Arial"/>
                <w:bCs/>
              </w:rPr>
              <w:t>decreto</w:t>
            </w:r>
            <w:r w:rsidR="00072AA1" w:rsidRPr="00B210D2">
              <w:rPr>
                <w:rFonts w:ascii="Arial" w:hAnsi="Arial" w:cs="Arial"/>
                <w:bCs/>
              </w:rPr>
              <w:t xml:space="preserve"> que se fu</w:t>
            </w:r>
            <w:r w:rsidR="009D5040">
              <w:rPr>
                <w:rFonts w:ascii="Arial" w:hAnsi="Arial" w:cs="Arial"/>
                <w:bCs/>
              </w:rPr>
              <w:t>n</w:t>
            </w:r>
            <w:r w:rsidR="00072AA1" w:rsidRPr="00B210D2">
              <w:rPr>
                <w:rFonts w:ascii="Arial" w:hAnsi="Arial" w:cs="Arial"/>
                <w:bCs/>
              </w:rPr>
              <w:t xml:space="preserve">damenta a través de la </w:t>
            </w:r>
            <w:r w:rsidR="00B31D24" w:rsidRPr="00B210D2">
              <w:rPr>
                <w:rFonts w:ascii="Arial" w:hAnsi="Arial" w:cs="Arial"/>
                <w:bCs/>
              </w:rPr>
              <w:t>presente memoria justificativa</w:t>
            </w:r>
            <w:r w:rsidR="00AC202E" w:rsidRPr="00B210D2">
              <w:rPr>
                <w:rFonts w:ascii="Arial" w:hAnsi="Arial" w:cs="Arial"/>
                <w:bCs/>
              </w:rPr>
              <w:t xml:space="preserve"> </w:t>
            </w:r>
            <w:r w:rsidRPr="00B210D2">
              <w:rPr>
                <w:rFonts w:ascii="Arial" w:hAnsi="Arial" w:cs="Arial"/>
                <w:bCs/>
              </w:rPr>
              <w:t>no causan</w:t>
            </w:r>
            <w:r w:rsidR="00B31D24" w:rsidRPr="00B210D2">
              <w:rPr>
                <w:rFonts w:ascii="Arial" w:hAnsi="Arial" w:cs="Arial"/>
                <w:bCs/>
              </w:rPr>
              <w:t>,</w:t>
            </w:r>
            <w:r w:rsidRPr="00B210D2">
              <w:rPr>
                <w:rFonts w:ascii="Arial" w:hAnsi="Arial" w:cs="Arial"/>
                <w:bCs/>
              </w:rPr>
              <w:t xml:space="preserve"> por sí m</w:t>
            </w:r>
            <w:r w:rsidR="00072AA1" w:rsidRPr="00B210D2">
              <w:rPr>
                <w:rFonts w:ascii="Arial" w:hAnsi="Arial" w:cs="Arial"/>
                <w:bCs/>
              </w:rPr>
              <w:t>ismas</w:t>
            </w:r>
            <w:r w:rsidR="00B31D24" w:rsidRPr="00B210D2">
              <w:rPr>
                <w:rFonts w:ascii="Arial" w:hAnsi="Arial" w:cs="Arial"/>
                <w:bCs/>
              </w:rPr>
              <w:t>,</w:t>
            </w:r>
            <w:r w:rsidR="00072AA1" w:rsidRPr="00B210D2">
              <w:rPr>
                <w:rFonts w:ascii="Arial" w:hAnsi="Arial" w:cs="Arial"/>
                <w:bCs/>
              </w:rPr>
              <w:t xml:space="preserve"> un impacto económico para</w:t>
            </w:r>
            <w:r w:rsidR="00D434D0" w:rsidRPr="00B210D2">
              <w:rPr>
                <w:rFonts w:ascii="Arial" w:hAnsi="Arial" w:cs="Arial"/>
                <w:bCs/>
              </w:rPr>
              <w:t xml:space="preserve"> </w:t>
            </w:r>
            <w:r w:rsidRPr="00B210D2">
              <w:rPr>
                <w:rFonts w:ascii="Arial" w:hAnsi="Arial" w:cs="Arial"/>
                <w:bCs/>
              </w:rPr>
              <w:t xml:space="preserve">el Estado o los particulares. </w:t>
            </w:r>
          </w:p>
          <w:p w:rsidR="004F3C1D" w:rsidRPr="00B210D2" w:rsidRDefault="004F3C1D" w:rsidP="00B210D2">
            <w:pPr>
              <w:pStyle w:val="Cuadrculamedia1-nfasis2"/>
              <w:spacing w:after="0" w:line="240" w:lineRule="auto"/>
              <w:ind w:left="0" w:right="49"/>
              <w:jc w:val="both"/>
              <w:rPr>
                <w:rFonts w:ascii="Arial" w:hAnsi="Arial" w:cs="Arial"/>
                <w:bCs/>
              </w:rPr>
            </w:pPr>
          </w:p>
        </w:tc>
      </w:tr>
      <w:tr w:rsidR="00DF60FD" w:rsidRPr="009F7CED" w:rsidTr="00184400">
        <w:tblPrEx>
          <w:tblCellMar>
            <w:top w:w="0" w:type="dxa"/>
            <w:bottom w:w="0" w:type="dxa"/>
          </w:tblCellMar>
        </w:tblPrEx>
        <w:trPr>
          <w:trHeight w:val="66"/>
        </w:trPr>
        <w:tc>
          <w:tcPr>
            <w:tcW w:w="107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F60FD" w:rsidRPr="00B210D2" w:rsidRDefault="00795C6B" w:rsidP="00B210D2">
            <w:pPr>
              <w:numPr>
                <w:ilvl w:val="0"/>
                <w:numId w:val="2"/>
              </w:numPr>
              <w:ind w:right="49"/>
              <w:rPr>
                <w:rFonts w:cs="Arial"/>
                <w:b/>
                <w:color w:val="000000"/>
                <w:sz w:val="22"/>
                <w:szCs w:val="22"/>
              </w:rPr>
            </w:pPr>
            <w:r w:rsidRPr="00B210D2">
              <w:rPr>
                <w:rFonts w:cs="Arial"/>
                <w:b/>
                <w:color w:val="000000"/>
                <w:sz w:val="22"/>
                <w:szCs w:val="22"/>
              </w:rPr>
              <w:t xml:space="preserve">VIABILIDAD O </w:t>
            </w:r>
            <w:r w:rsidR="00DF60FD" w:rsidRPr="00B210D2">
              <w:rPr>
                <w:rFonts w:cs="Arial"/>
                <w:b/>
                <w:color w:val="000000"/>
                <w:sz w:val="22"/>
                <w:szCs w:val="22"/>
              </w:rPr>
              <w:t xml:space="preserve">DISPONIBILIDAD PRESUPUESTAL </w:t>
            </w:r>
            <w:r w:rsidR="00D05B67" w:rsidRPr="00B210D2">
              <w:rPr>
                <w:rFonts w:cs="Arial"/>
                <w:color w:val="000000"/>
                <w:sz w:val="22"/>
                <w:szCs w:val="22"/>
              </w:rPr>
              <w:t>(Si se requiere)</w:t>
            </w:r>
          </w:p>
          <w:p w:rsidR="00D05B67" w:rsidRPr="00B210D2" w:rsidRDefault="00D05B67" w:rsidP="00B210D2">
            <w:pPr>
              <w:pStyle w:val="Cuadrculamedia1-nfasis2"/>
              <w:spacing w:after="0" w:line="240" w:lineRule="auto"/>
              <w:ind w:right="49"/>
              <w:jc w:val="both"/>
              <w:rPr>
                <w:rFonts w:ascii="Arial" w:hAnsi="Arial" w:cs="Arial"/>
                <w:i/>
                <w:color w:val="808080"/>
                <w:sz w:val="18"/>
                <w:szCs w:val="18"/>
              </w:rPr>
            </w:pPr>
            <w:r w:rsidRPr="00B210D2">
              <w:rPr>
                <w:rFonts w:ascii="Arial" w:hAnsi="Arial" w:cs="Arial"/>
                <w:i/>
                <w:color w:val="808080"/>
                <w:sz w:val="18"/>
                <w:szCs w:val="18"/>
              </w:rPr>
              <w:t xml:space="preserve">(Por favor indique si cuenta con los recursos presupuestales disponibles para la implementación del proyecto normativo) </w:t>
            </w:r>
          </w:p>
          <w:p w:rsidR="00B3206B" w:rsidRPr="00B210D2" w:rsidRDefault="00B3206B" w:rsidP="00B210D2">
            <w:pPr>
              <w:ind w:right="49"/>
              <w:jc w:val="both"/>
              <w:rPr>
                <w:rFonts w:cs="Arial"/>
                <w:sz w:val="22"/>
                <w:szCs w:val="22"/>
                <w:lang w:eastAsia="es-CO"/>
              </w:rPr>
            </w:pPr>
          </w:p>
          <w:p w:rsidR="00696582" w:rsidRPr="00B210D2" w:rsidRDefault="00AC202E" w:rsidP="00B210D2">
            <w:pPr>
              <w:ind w:right="49"/>
              <w:jc w:val="both"/>
              <w:rPr>
                <w:rFonts w:cs="Arial"/>
                <w:sz w:val="22"/>
                <w:szCs w:val="22"/>
                <w:lang w:eastAsia="es-CO"/>
              </w:rPr>
            </w:pPr>
            <w:r w:rsidRPr="00B210D2">
              <w:rPr>
                <w:rFonts w:cs="Arial"/>
                <w:color w:val="000000"/>
                <w:sz w:val="22"/>
                <w:szCs w:val="22"/>
                <w:lang w:eastAsia="es-CO"/>
              </w:rPr>
              <w:t>El proyecto de decreto no genera un impacto presupuestal, por cuanto los subsidios familiares de vivienda se asignarán de conformida</w:t>
            </w:r>
            <w:r w:rsidR="00B31D24" w:rsidRPr="00B210D2">
              <w:rPr>
                <w:rFonts w:cs="Arial"/>
                <w:color w:val="000000"/>
                <w:sz w:val="22"/>
                <w:szCs w:val="22"/>
                <w:lang w:eastAsia="es-CO"/>
              </w:rPr>
              <w:t>d con el marco fiscal de mediano</w:t>
            </w:r>
            <w:r w:rsidRPr="00B210D2">
              <w:rPr>
                <w:rFonts w:cs="Arial"/>
                <w:color w:val="000000"/>
                <w:sz w:val="22"/>
                <w:szCs w:val="22"/>
                <w:lang w:eastAsia="es-CO"/>
              </w:rPr>
              <w:t xml:space="preserve"> plazo del sector vivienda. </w:t>
            </w:r>
            <w:r w:rsidR="00072AA1" w:rsidRPr="00B210D2">
              <w:rPr>
                <w:rFonts w:cs="Arial"/>
                <w:color w:val="000000"/>
                <w:sz w:val="22"/>
                <w:szCs w:val="22"/>
                <w:lang w:eastAsia="es-CO"/>
              </w:rPr>
              <w:t xml:space="preserve"> </w:t>
            </w:r>
          </w:p>
          <w:p w:rsidR="008E6C8B" w:rsidRPr="00B210D2" w:rsidRDefault="008E6C8B" w:rsidP="00B210D2">
            <w:pPr>
              <w:ind w:right="49"/>
              <w:jc w:val="both"/>
              <w:rPr>
                <w:rFonts w:cs="Arial"/>
                <w:sz w:val="22"/>
                <w:szCs w:val="22"/>
                <w:lang w:eastAsia="es-CO"/>
              </w:rPr>
            </w:pPr>
          </w:p>
        </w:tc>
      </w:tr>
      <w:tr w:rsidR="00DF60FD" w:rsidRPr="009F7CED" w:rsidTr="00184400">
        <w:tblPrEx>
          <w:tblCellMar>
            <w:top w:w="0" w:type="dxa"/>
            <w:bottom w:w="0" w:type="dxa"/>
          </w:tblCellMar>
        </w:tblPrEx>
        <w:trPr>
          <w:trHeight w:val="1295"/>
        </w:trPr>
        <w:tc>
          <w:tcPr>
            <w:tcW w:w="10773" w:type="dxa"/>
            <w:gridSpan w:val="3"/>
            <w:tcBorders>
              <w:top w:val="single" w:sz="4" w:space="0" w:color="auto"/>
              <w:bottom w:val="single" w:sz="4" w:space="0" w:color="auto"/>
            </w:tcBorders>
            <w:shd w:val="clear" w:color="auto" w:fill="FFFFFF"/>
            <w:vAlign w:val="center"/>
          </w:tcPr>
          <w:p w:rsidR="00DF60FD" w:rsidRPr="00B210D2" w:rsidRDefault="00DF60FD" w:rsidP="00B210D2">
            <w:pPr>
              <w:numPr>
                <w:ilvl w:val="0"/>
                <w:numId w:val="2"/>
              </w:numPr>
              <w:ind w:right="49"/>
              <w:jc w:val="both"/>
              <w:rPr>
                <w:rFonts w:cs="Arial"/>
                <w:b/>
                <w:color w:val="000000"/>
                <w:sz w:val="22"/>
                <w:szCs w:val="22"/>
              </w:rPr>
            </w:pPr>
            <w:r w:rsidRPr="00B210D2">
              <w:rPr>
                <w:rFonts w:cs="Arial"/>
                <w:b/>
                <w:color w:val="000000"/>
                <w:sz w:val="22"/>
                <w:szCs w:val="22"/>
              </w:rPr>
              <w:t xml:space="preserve"> IMPACTO MEDIOAMBIENTAL O SOBRE EL PATRIMONIO CULTURAL DE LA NACIÓN </w:t>
            </w:r>
            <w:r w:rsidR="00D05B67" w:rsidRPr="00B210D2">
              <w:rPr>
                <w:rFonts w:cs="Arial"/>
                <w:color w:val="000000"/>
                <w:sz w:val="22"/>
                <w:szCs w:val="22"/>
              </w:rPr>
              <w:t>(Si se requiere)</w:t>
            </w:r>
          </w:p>
          <w:p w:rsidR="00D05B67" w:rsidRPr="00B210D2" w:rsidRDefault="00D05B67" w:rsidP="00B210D2">
            <w:pPr>
              <w:ind w:left="778" w:right="49"/>
              <w:jc w:val="both"/>
              <w:rPr>
                <w:rFonts w:cs="Arial"/>
                <w:b/>
                <w:color w:val="000000"/>
                <w:sz w:val="18"/>
                <w:szCs w:val="18"/>
              </w:rPr>
            </w:pPr>
            <w:r w:rsidRPr="00B210D2">
              <w:rPr>
                <w:rFonts w:cs="Arial"/>
                <w:i/>
                <w:color w:val="808080"/>
                <w:sz w:val="18"/>
                <w:szCs w:val="18"/>
              </w:rPr>
              <w:t xml:space="preserve">(Por favor indique el proyecto normativo tiene impacto sobre el medio ambiente o el Patrimonio cultural de la Nación) </w:t>
            </w:r>
          </w:p>
          <w:p w:rsidR="00D05B67" w:rsidRPr="00B210D2" w:rsidRDefault="00D05B67" w:rsidP="00B210D2">
            <w:pPr>
              <w:ind w:right="49"/>
              <w:jc w:val="both"/>
              <w:rPr>
                <w:rFonts w:cs="Arial"/>
                <w:b/>
                <w:color w:val="000000"/>
                <w:sz w:val="22"/>
                <w:szCs w:val="22"/>
              </w:rPr>
            </w:pPr>
          </w:p>
          <w:p w:rsidR="00197962" w:rsidRPr="00B210D2" w:rsidRDefault="008E6C8B" w:rsidP="00B210D2">
            <w:pPr>
              <w:pStyle w:val="Cuadrculamedia1-nfasis2"/>
              <w:spacing w:after="0" w:line="240" w:lineRule="auto"/>
              <w:ind w:left="0" w:right="49"/>
              <w:jc w:val="both"/>
              <w:rPr>
                <w:rFonts w:ascii="Arial" w:hAnsi="Arial" w:cs="Arial"/>
                <w:bCs/>
              </w:rPr>
            </w:pPr>
            <w:r w:rsidRPr="00B210D2">
              <w:rPr>
                <w:rFonts w:ascii="Arial" w:hAnsi="Arial" w:cs="Arial"/>
                <w:bCs/>
              </w:rPr>
              <w:t xml:space="preserve">Las disposiciones contenidas en el proyecto de </w:t>
            </w:r>
            <w:r w:rsidR="00AC202E" w:rsidRPr="00B210D2">
              <w:rPr>
                <w:rFonts w:ascii="Arial" w:hAnsi="Arial" w:cs="Arial"/>
                <w:bCs/>
              </w:rPr>
              <w:t>decreto</w:t>
            </w:r>
            <w:r w:rsidRPr="00B210D2">
              <w:rPr>
                <w:rFonts w:ascii="Arial" w:hAnsi="Arial" w:cs="Arial"/>
                <w:bCs/>
              </w:rPr>
              <w:t xml:space="preserve"> no causan un </w:t>
            </w:r>
            <w:r w:rsidR="00197962" w:rsidRPr="00B210D2">
              <w:rPr>
                <w:rFonts w:ascii="Arial" w:hAnsi="Arial" w:cs="Arial"/>
                <w:bCs/>
              </w:rPr>
              <w:t xml:space="preserve">impacto medioambiental o sobre el patrimonio cultural de la </w:t>
            </w:r>
            <w:r w:rsidRPr="00B210D2">
              <w:rPr>
                <w:rFonts w:ascii="Arial" w:hAnsi="Arial" w:cs="Arial"/>
                <w:bCs/>
              </w:rPr>
              <w:t>N</w:t>
            </w:r>
            <w:r w:rsidR="00197962" w:rsidRPr="00B210D2">
              <w:rPr>
                <w:rFonts w:ascii="Arial" w:hAnsi="Arial" w:cs="Arial"/>
                <w:bCs/>
              </w:rPr>
              <w:t>ación.</w:t>
            </w:r>
          </w:p>
          <w:p w:rsidR="00696582" w:rsidRPr="00B210D2" w:rsidRDefault="00696582" w:rsidP="00B210D2">
            <w:pPr>
              <w:ind w:right="49"/>
              <w:jc w:val="both"/>
              <w:rPr>
                <w:rFonts w:cs="Arial"/>
                <w:b/>
                <w:color w:val="000000"/>
                <w:sz w:val="22"/>
                <w:szCs w:val="22"/>
              </w:rPr>
            </w:pPr>
          </w:p>
        </w:tc>
      </w:tr>
      <w:tr w:rsidR="00DF60FD" w:rsidRPr="009F7CED" w:rsidTr="00184400">
        <w:tblPrEx>
          <w:tblCellMar>
            <w:top w:w="0" w:type="dxa"/>
            <w:bottom w:w="0" w:type="dxa"/>
          </w:tblCellMar>
        </w:tblPrEx>
        <w:trPr>
          <w:trHeight w:val="317"/>
        </w:trPr>
        <w:tc>
          <w:tcPr>
            <w:tcW w:w="10773" w:type="dxa"/>
            <w:gridSpan w:val="3"/>
            <w:tcBorders>
              <w:top w:val="single" w:sz="4" w:space="0" w:color="auto"/>
              <w:bottom w:val="single" w:sz="4" w:space="0" w:color="auto"/>
            </w:tcBorders>
            <w:shd w:val="clear" w:color="auto" w:fill="FFFFFF"/>
            <w:vAlign w:val="center"/>
          </w:tcPr>
          <w:p w:rsidR="00D05B67" w:rsidRPr="00B210D2" w:rsidRDefault="00D05B67" w:rsidP="00B210D2">
            <w:pPr>
              <w:numPr>
                <w:ilvl w:val="0"/>
                <w:numId w:val="2"/>
              </w:numPr>
              <w:ind w:right="49"/>
              <w:jc w:val="both"/>
              <w:rPr>
                <w:rFonts w:cs="Arial"/>
                <w:sz w:val="22"/>
                <w:szCs w:val="22"/>
              </w:rPr>
            </w:pPr>
            <w:r w:rsidRPr="00B210D2">
              <w:rPr>
                <w:rFonts w:cs="Arial"/>
                <w:b/>
                <w:sz w:val="22"/>
                <w:szCs w:val="22"/>
              </w:rPr>
              <w:t>ESTUDIOS TÉCNICOS QUE SUSTENTEN EL PROYECTO NORMATIVO</w:t>
            </w:r>
            <w:r w:rsidRPr="00B210D2">
              <w:rPr>
                <w:rFonts w:cs="Arial"/>
                <w:sz w:val="22"/>
                <w:szCs w:val="22"/>
              </w:rPr>
              <w:t xml:space="preserve"> (Si cuenta con ellos)</w:t>
            </w:r>
            <w:r w:rsidR="00696582" w:rsidRPr="00B210D2">
              <w:rPr>
                <w:rFonts w:cs="Arial"/>
                <w:sz w:val="22"/>
                <w:szCs w:val="22"/>
              </w:rPr>
              <w:t xml:space="preserve"> </w:t>
            </w:r>
          </w:p>
        </w:tc>
      </w:tr>
      <w:tr w:rsidR="00DF60FD" w:rsidRPr="009F7CED" w:rsidTr="00184400">
        <w:tblPrEx>
          <w:tblCellMar>
            <w:top w:w="0" w:type="dxa"/>
            <w:bottom w:w="0" w:type="dxa"/>
          </w:tblCellMar>
        </w:tblPrEx>
        <w:trPr>
          <w:trHeight w:val="66"/>
        </w:trPr>
        <w:tc>
          <w:tcPr>
            <w:tcW w:w="10773" w:type="dxa"/>
            <w:gridSpan w:val="3"/>
            <w:tcBorders>
              <w:top w:val="single" w:sz="4" w:space="0" w:color="auto"/>
              <w:bottom w:val="single" w:sz="4" w:space="0" w:color="auto"/>
            </w:tcBorders>
            <w:shd w:val="clear" w:color="auto" w:fill="FFFFFF"/>
            <w:vAlign w:val="center"/>
          </w:tcPr>
          <w:p w:rsidR="00D434D0" w:rsidRPr="00B210D2" w:rsidRDefault="00D434D0" w:rsidP="00B210D2">
            <w:pPr>
              <w:ind w:right="49"/>
              <w:jc w:val="both"/>
              <w:outlineLvl w:val="0"/>
              <w:rPr>
                <w:rFonts w:cs="Arial"/>
                <w:sz w:val="22"/>
                <w:szCs w:val="22"/>
              </w:rPr>
            </w:pPr>
          </w:p>
          <w:p w:rsidR="00843EFF" w:rsidRPr="00B210D2" w:rsidRDefault="00D434D0" w:rsidP="00B210D2">
            <w:pPr>
              <w:ind w:right="49"/>
              <w:jc w:val="both"/>
              <w:outlineLvl w:val="0"/>
              <w:rPr>
                <w:rFonts w:cs="Arial"/>
                <w:sz w:val="22"/>
                <w:szCs w:val="22"/>
              </w:rPr>
            </w:pPr>
            <w:r w:rsidRPr="00B210D2">
              <w:rPr>
                <w:rFonts w:cs="Arial"/>
                <w:sz w:val="22"/>
                <w:szCs w:val="22"/>
              </w:rPr>
              <w:t>N/A</w:t>
            </w:r>
          </w:p>
          <w:p w:rsidR="00D434D0" w:rsidRPr="00B210D2" w:rsidRDefault="00D434D0" w:rsidP="00B210D2">
            <w:pPr>
              <w:ind w:right="49"/>
              <w:jc w:val="both"/>
              <w:outlineLvl w:val="0"/>
              <w:rPr>
                <w:rFonts w:cs="Arial"/>
                <w:sz w:val="22"/>
                <w:szCs w:val="22"/>
              </w:rPr>
            </w:pPr>
          </w:p>
        </w:tc>
      </w:tr>
      <w:tr w:rsidR="00DF60FD" w:rsidRPr="009F7CED" w:rsidTr="00184400">
        <w:tblPrEx>
          <w:tblCellMar>
            <w:top w:w="0" w:type="dxa"/>
            <w:bottom w:w="0" w:type="dxa"/>
          </w:tblCellMar>
        </w:tblPrEx>
        <w:trPr>
          <w:trHeight w:val="66"/>
        </w:trPr>
        <w:tc>
          <w:tcPr>
            <w:tcW w:w="10773" w:type="dxa"/>
            <w:gridSpan w:val="3"/>
            <w:tcBorders>
              <w:top w:val="single" w:sz="4" w:space="0" w:color="auto"/>
              <w:bottom w:val="single" w:sz="4" w:space="0" w:color="auto"/>
            </w:tcBorders>
            <w:shd w:val="clear" w:color="auto" w:fill="FFFFFF"/>
            <w:vAlign w:val="center"/>
          </w:tcPr>
          <w:p w:rsidR="00DF60FD" w:rsidRPr="00B210D2" w:rsidRDefault="00DF60FD" w:rsidP="00B210D2">
            <w:pPr>
              <w:ind w:right="49"/>
              <w:jc w:val="center"/>
              <w:rPr>
                <w:rFonts w:cs="Arial"/>
                <w:sz w:val="22"/>
                <w:szCs w:val="22"/>
                <w:u w:val="single"/>
              </w:rPr>
            </w:pPr>
          </w:p>
        </w:tc>
      </w:tr>
      <w:tr w:rsidR="00DF60FD" w:rsidRPr="00D965B1" w:rsidTr="00184400">
        <w:tblPrEx>
          <w:tblCellMar>
            <w:top w:w="0" w:type="dxa"/>
            <w:bottom w:w="0" w:type="dxa"/>
          </w:tblCellMar>
        </w:tblPrEx>
        <w:trPr>
          <w:trHeight w:val="416"/>
        </w:trPr>
        <w:tc>
          <w:tcPr>
            <w:tcW w:w="10773" w:type="dxa"/>
            <w:gridSpan w:val="3"/>
            <w:tcBorders>
              <w:top w:val="single" w:sz="4" w:space="0" w:color="auto"/>
              <w:bottom w:val="single" w:sz="4" w:space="0" w:color="auto"/>
            </w:tcBorders>
            <w:shd w:val="clear" w:color="auto" w:fill="5B8AFF"/>
            <w:vAlign w:val="center"/>
          </w:tcPr>
          <w:p w:rsidR="00F55DC4" w:rsidRPr="00B210D2" w:rsidRDefault="00DF60FD" w:rsidP="00B210D2">
            <w:pPr>
              <w:ind w:right="49"/>
              <w:jc w:val="center"/>
              <w:rPr>
                <w:rFonts w:cs="Arial"/>
                <w:color w:val="FFFFFF"/>
                <w:sz w:val="22"/>
                <w:szCs w:val="22"/>
              </w:rPr>
            </w:pPr>
            <w:r w:rsidRPr="00B210D2">
              <w:rPr>
                <w:rFonts w:cs="Arial"/>
                <w:b/>
                <w:color w:val="FFFFFF"/>
                <w:sz w:val="22"/>
                <w:szCs w:val="22"/>
              </w:rPr>
              <w:t>ANEXOS</w:t>
            </w:r>
            <w:r w:rsidR="00D05B67" w:rsidRPr="00B210D2">
              <w:rPr>
                <w:rFonts w:cs="Arial"/>
                <w:b/>
                <w:color w:val="FFFFFF"/>
                <w:sz w:val="22"/>
                <w:szCs w:val="22"/>
              </w:rPr>
              <w:t>:</w:t>
            </w:r>
            <w:r w:rsidR="00696582" w:rsidRPr="00B210D2">
              <w:rPr>
                <w:rFonts w:cs="Arial"/>
                <w:color w:val="FFFFFF"/>
                <w:sz w:val="22"/>
                <w:szCs w:val="22"/>
              </w:rPr>
              <w:t xml:space="preserve"> </w:t>
            </w:r>
          </w:p>
        </w:tc>
      </w:tr>
      <w:tr w:rsidR="00D05B67" w:rsidRPr="009F7CED" w:rsidTr="00184400">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D05B67" w:rsidRPr="00B210D2" w:rsidRDefault="00D05B67" w:rsidP="00B210D2">
            <w:pPr>
              <w:ind w:right="49"/>
              <w:jc w:val="both"/>
              <w:rPr>
                <w:rFonts w:cs="Arial"/>
                <w:sz w:val="22"/>
                <w:szCs w:val="22"/>
              </w:rPr>
            </w:pPr>
            <w:r w:rsidRPr="00B210D2">
              <w:rPr>
                <w:rFonts w:cs="Arial"/>
                <w:sz w:val="22"/>
                <w:szCs w:val="22"/>
              </w:rPr>
              <w:t xml:space="preserve">Certificación de cumplimiento de requisitos de consulta, publicidad y de incorporación en la agenda regulatoria </w:t>
            </w:r>
          </w:p>
          <w:p w:rsidR="00D05B67" w:rsidRPr="00B210D2" w:rsidRDefault="00D05B67" w:rsidP="00B210D2">
            <w:pPr>
              <w:ind w:right="49"/>
              <w:jc w:val="both"/>
              <w:rPr>
                <w:rFonts w:cs="Arial"/>
                <w:i/>
                <w:color w:val="808080"/>
                <w:sz w:val="18"/>
                <w:szCs w:val="18"/>
              </w:rPr>
            </w:pPr>
            <w:r w:rsidRPr="00B210D2">
              <w:rPr>
                <w:rFonts w:cs="Arial"/>
                <w:i/>
                <w:color w:val="808080"/>
                <w:sz w:val="18"/>
                <w:szCs w:val="18"/>
              </w:rPr>
              <w:t>(Firmada por el servidor público competente –entidad originadora)</w:t>
            </w:r>
          </w:p>
        </w:tc>
        <w:tc>
          <w:tcPr>
            <w:tcW w:w="3118" w:type="dxa"/>
            <w:tcBorders>
              <w:top w:val="single" w:sz="4" w:space="0" w:color="auto"/>
              <w:left w:val="single" w:sz="4" w:space="0" w:color="auto"/>
              <w:bottom w:val="single" w:sz="4" w:space="0" w:color="auto"/>
            </w:tcBorders>
            <w:shd w:val="clear" w:color="auto" w:fill="FFFFFF"/>
            <w:vAlign w:val="center"/>
          </w:tcPr>
          <w:p w:rsidR="00D05B67" w:rsidRPr="00295700" w:rsidRDefault="00295700" w:rsidP="00072AA1">
            <w:pPr>
              <w:ind w:right="49"/>
              <w:jc w:val="center"/>
              <w:rPr>
                <w:rFonts w:cs="Arial"/>
                <w:color w:val="808080"/>
                <w:sz w:val="22"/>
                <w:szCs w:val="22"/>
              </w:rPr>
            </w:pPr>
            <w:r w:rsidRPr="00295700">
              <w:rPr>
                <w:rFonts w:cs="Arial"/>
                <w:color w:val="808080"/>
                <w:sz w:val="22"/>
                <w:szCs w:val="22"/>
              </w:rPr>
              <w:t>X</w:t>
            </w:r>
          </w:p>
        </w:tc>
      </w:tr>
      <w:tr w:rsidR="00D05B67" w:rsidRPr="009F7CED" w:rsidTr="00184400">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D05B67" w:rsidRPr="00B210D2" w:rsidRDefault="00D05B67" w:rsidP="00B210D2">
            <w:pPr>
              <w:ind w:right="49"/>
              <w:jc w:val="both"/>
              <w:rPr>
                <w:rFonts w:cs="Arial"/>
                <w:sz w:val="22"/>
                <w:szCs w:val="22"/>
              </w:rPr>
            </w:pPr>
            <w:r w:rsidRPr="00B210D2">
              <w:rPr>
                <w:rFonts w:cs="Arial"/>
                <w:sz w:val="22"/>
                <w:szCs w:val="22"/>
              </w:rPr>
              <w:t>Concepto</w:t>
            </w:r>
            <w:r w:rsidR="005F30C3" w:rsidRPr="00B210D2">
              <w:rPr>
                <w:rFonts w:cs="Arial"/>
                <w:sz w:val="22"/>
                <w:szCs w:val="22"/>
              </w:rPr>
              <w:t>(s)</w:t>
            </w:r>
            <w:r w:rsidRPr="00B210D2">
              <w:rPr>
                <w:rFonts w:cs="Arial"/>
                <w:sz w:val="22"/>
                <w:szCs w:val="22"/>
              </w:rPr>
              <w:t xml:space="preserve"> de Min</w:t>
            </w:r>
            <w:r w:rsidR="005F30C3" w:rsidRPr="00B210D2">
              <w:rPr>
                <w:rFonts w:cs="Arial"/>
                <w:sz w:val="22"/>
                <w:szCs w:val="22"/>
              </w:rPr>
              <w:t>isterio de</w:t>
            </w:r>
            <w:r w:rsidRPr="00B210D2">
              <w:rPr>
                <w:rFonts w:cs="Arial"/>
                <w:sz w:val="22"/>
                <w:szCs w:val="22"/>
              </w:rPr>
              <w:t xml:space="preserve"> Comercio</w:t>
            </w:r>
            <w:r w:rsidR="005F30C3" w:rsidRPr="00B210D2">
              <w:rPr>
                <w:rFonts w:cs="Arial"/>
                <w:sz w:val="22"/>
                <w:szCs w:val="22"/>
              </w:rPr>
              <w:t>, Industria y Turismo</w:t>
            </w:r>
          </w:p>
          <w:p w:rsidR="00D05B67" w:rsidRPr="00B210D2" w:rsidRDefault="005F30C3" w:rsidP="00B210D2">
            <w:pPr>
              <w:ind w:right="49"/>
              <w:jc w:val="both"/>
              <w:rPr>
                <w:rFonts w:cs="Arial"/>
                <w:i/>
                <w:color w:val="808080"/>
                <w:sz w:val="18"/>
                <w:szCs w:val="18"/>
              </w:rPr>
            </w:pPr>
            <w:r w:rsidRPr="00B210D2">
              <w:rPr>
                <w:rFonts w:cs="Arial"/>
                <w:i/>
                <w:color w:val="808080"/>
                <w:sz w:val="18"/>
                <w:szCs w:val="18"/>
              </w:rPr>
              <w:t>(Cuando se trate de un proyecto de reglamento técnico o de procedimientos de evaluación de conformidad)</w:t>
            </w:r>
          </w:p>
        </w:tc>
        <w:tc>
          <w:tcPr>
            <w:tcW w:w="3118" w:type="dxa"/>
            <w:tcBorders>
              <w:top w:val="single" w:sz="4" w:space="0" w:color="auto"/>
              <w:left w:val="single" w:sz="4" w:space="0" w:color="auto"/>
              <w:bottom w:val="single" w:sz="4" w:space="0" w:color="auto"/>
            </w:tcBorders>
            <w:shd w:val="clear" w:color="auto" w:fill="FFFFFF"/>
            <w:vAlign w:val="center"/>
          </w:tcPr>
          <w:p w:rsidR="00D05B67" w:rsidRDefault="0080235F" w:rsidP="00072AA1">
            <w:pPr>
              <w:ind w:right="49"/>
              <w:jc w:val="center"/>
              <w:rPr>
                <w:rFonts w:cs="Arial"/>
                <w:sz w:val="22"/>
                <w:szCs w:val="22"/>
              </w:rPr>
            </w:pPr>
            <w:r w:rsidRPr="005F30C3">
              <w:rPr>
                <w:rFonts w:cs="Arial"/>
                <w:i/>
                <w:color w:val="808080"/>
                <w:sz w:val="22"/>
                <w:szCs w:val="22"/>
              </w:rPr>
              <w:t>(Marque con una x)</w:t>
            </w:r>
          </w:p>
        </w:tc>
      </w:tr>
      <w:tr w:rsidR="005F30C3" w:rsidRPr="009F7CED" w:rsidTr="00184400">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5F30C3" w:rsidRPr="00B210D2" w:rsidRDefault="005F30C3" w:rsidP="00B210D2">
            <w:pPr>
              <w:ind w:right="49"/>
              <w:jc w:val="both"/>
              <w:rPr>
                <w:rFonts w:cs="Arial"/>
                <w:sz w:val="22"/>
                <w:szCs w:val="22"/>
              </w:rPr>
            </w:pPr>
            <w:r w:rsidRPr="00B210D2">
              <w:rPr>
                <w:rFonts w:cs="Arial"/>
                <w:sz w:val="22"/>
                <w:szCs w:val="22"/>
              </w:rPr>
              <w:t xml:space="preserve">Informe de observaciones y respuestas </w:t>
            </w:r>
          </w:p>
          <w:p w:rsidR="005F30C3" w:rsidRPr="00B210D2" w:rsidRDefault="005F30C3" w:rsidP="00B210D2">
            <w:pPr>
              <w:ind w:right="49"/>
              <w:jc w:val="both"/>
              <w:rPr>
                <w:rFonts w:cs="Arial"/>
                <w:i/>
                <w:color w:val="808080"/>
                <w:sz w:val="18"/>
                <w:szCs w:val="18"/>
              </w:rPr>
            </w:pPr>
            <w:r w:rsidRPr="00B210D2">
              <w:rPr>
                <w:rFonts w:cs="Arial"/>
                <w:i/>
                <w:color w:val="808080"/>
                <w:sz w:val="18"/>
                <w:szCs w:val="18"/>
              </w:rPr>
              <w:t>(Análisis del informe con la evaluación de las observaciones de los ciudadanos y grupos de interés sobre el proyecto normativo)</w:t>
            </w:r>
          </w:p>
        </w:tc>
        <w:tc>
          <w:tcPr>
            <w:tcW w:w="3118" w:type="dxa"/>
            <w:tcBorders>
              <w:top w:val="single" w:sz="4" w:space="0" w:color="auto"/>
              <w:left w:val="single" w:sz="4" w:space="0" w:color="auto"/>
              <w:bottom w:val="single" w:sz="4" w:space="0" w:color="auto"/>
            </w:tcBorders>
            <w:shd w:val="clear" w:color="auto" w:fill="FFFFFF"/>
            <w:vAlign w:val="center"/>
          </w:tcPr>
          <w:p w:rsidR="005F30C3" w:rsidRPr="006347EF" w:rsidRDefault="00AC202E" w:rsidP="00072AA1">
            <w:pPr>
              <w:ind w:right="49"/>
              <w:jc w:val="center"/>
              <w:rPr>
                <w:rFonts w:cs="Arial"/>
                <w:sz w:val="22"/>
                <w:szCs w:val="22"/>
              </w:rPr>
            </w:pPr>
            <w:r w:rsidRPr="005F30C3">
              <w:rPr>
                <w:rFonts w:cs="Arial"/>
                <w:i/>
                <w:color w:val="808080"/>
                <w:sz w:val="22"/>
                <w:szCs w:val="22"/>
              </w:rPr>
              <w:t>(Marque con una x)</w:t>
            </w:r>
          </w:p>
        </w:tc>
      </w:tr>
      <w:tr w:rsidR="005F30C3" w:rsidRPr="009F7CED" w:rsidTr="00184400">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5F30C3" w:rsidRPr="00B210D2" w:rsidRDefault="005F30C3" w:rsidP="00B210D2">
            <w:pPr>
              <w:ind w:right="49"/>
              <w:jc w:val="both"/>
              <w:rPr>
                <w:rFonts w:cs="Arial"/>
                <w:sz w:val="22"/>
                <w:szCs w:val="22"/>
              </w:rPr>
            </w:pPr>
            <w:r w:rsidRPr="00B210D2">
              <w:rPr>
                <w:rFonts w:cs="Arial"/>
                <w:sz w:val="22"/>
                <w:szCs w:val="22"/>
              </w:rPr>
              <w:t>Concepto de Abogacía de la Competencia de la Superintendencia de Industria y Comercio</w:t>
            </w:r>
          </w:p>
          <w:p w:rsidR="005F30C3" w:rsidRPr="00B210D2" w:rsidRDefault="005F30C3" w:rsidP="00B210D2">
            <w:pPr>
              <w:ind w:right="49"/>
              <w:jc w:val="both"/>
              <w:rPr>
                <w:rFonts w:cs="Arial"/>
                <w:i/>
                <w:color w:val="808080"/>
                <w:sz w:val="18"/>
                <w:szCs w:val="18"/>
              </w:rPr>
            </w:pPr>
            <w:r w:rsidRPr="00B210D2">
              <w:rPr>
                <w:rFonts w:cs="Arial"/>
                <w:i/>
                <w:color w:val="808080"/>
                <w:sz w:val="18"/>
                <w:szCs w:val="18"/>
              </w:rPr>
              <w:t>(Cuando los proyectos normativos tengan incidencia en la libre competencia de los mercados)</w:t>
            </w:r>
          </w:p>
        </w:tc>
        <w:tc>
          <w:tcPr>
            <w:tcW w:w="3118" w:type="dxa"/>
            <w:tcBorders>
              <w:top w:val="single" w:sz="4" w:space="0" w:color="auto"/>
              <w:left w:val="single" w:sz="4" w:space="0" w:color="auto"/>
              <w:bottom w:val="single" w:sz="4" w:space="0" w:color="auto"/>
            </w:tcBorders>
            <w:shd w:val="clear" w:color="auto" w:fill="FFFFFF"/>
            <w:vAlign w:val="center"/>
          </w:tcPr>
          <w:p w:rsidR="005F30C3" w:rsidRPr="00072AA1" w:rsidRDefault="0080235F" w:rsidP="00072AA1">
            <w:pPr>
              <w:ind w:right="49"/>
              <w:jc w:val="center"/>
              <w:rPr>
                <w:rFonts w:cs="Arial"/>
                <w:sz w:val="22"/>
                <w:szCs w:val="22"/>
              </w:rPr>
            </w:pPr>
            <w:r w:rsidRPr="005F30C3">
              <w:rPr>
                <w:rFonts w:cs="Arial"/>
                <w:i/>
                <w:color w:val="808080"/>
                <w:sz w:val="22"/>
                <w:szCs w:val="22"/>
              </w:rPr>
              <w:t>(Marque con una x)</w:t>
            </w:r>
          </w:p>
        </w:tc>
      </w:tr>
      <w:tr w:rsidR="005F30C3" w:rsidRPr="009F7CED" w:rsidTr="00184400">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5F30C3" w:rsidRPr="00B210D2" w:rsidRDefault="005F30C3" w:rsidP="00B210D2">
            <w:pPr>
              <w:ind w:right="49"/>
              <w:jc w:val="both"/>
              <w:rPr>
                <w:rFonts w:cs="Arial"/>
                <w:sz w:val="22"/>
                <w:szCs w:val="22"/>
              </w:rPr>
            </w:pPr>
            <w:r w:rsidRPr="00B210D2">
              <w:rPr>
                <w:rFonts w:cs="Arial"/>
                <w:sz w:val="22"/>
                <w:szCs w:val="22"/>
              </w:rPr>
              <w:t>Concepto de aprobación nuevos trámites del Departamento Administrativo de la Función Pública</w:t>
            </w:r>
          </w:p>
          <w:p w:rsidR="005F30C3" w:rsidRPr="00B210D2" w:rsidRDefault="005F30C3" w:rsidP="00B210D2">
            <w:pPr>
              <w:ind w:right="49"/>
              <w:jc w:val="both"/>
              <w:rPr>
                <w:rFonts w:cs="Arial"/>
                <w:sz w:val="22"/>
                <w:szCs w:val="22"/>
              </w:rPr>
            </w:pPr>
            <w:r w:rsidRPr="00B210D2">
              <w:rPr>
                <w:rFonts w:cs="Arial"/>
                <w:i/>
                <w:color w:val="808080"/>
                <w:sz w:val="22"/>
                <w:szCs w:val="22"/>
              </w:rPr>
              <w:t>(</w:t>
            </w:r>
            <w:r w:rsidRPr="00B210D2">
              <w:rPr>
                <w:rFonts w:cs="Arial"/>
                <w:i/>
                <w:color w:val="808080"/>
                <w:sz w:val="18"/>
                <w:szCs w:val="18"/>
              </w:rPr>
              <w:t>Cuando el proyecto normativo adopte o modifique un trámite)</w:t>
            </w:r>
          </w:p>
        </w:tc>
        <w:tc>
          <w:tcPr>
            <w:tcW w:w="3118" w:type="dxa"/>
            <w:tcBorders>
              <w:top w:val="single" w:sz="4" w:space="0" w:color="auto"/>
              <w:left w:val="single" w:sz="4" w:space="0" w:color="auto"/>
              <w:bottom w:val="single" w:sz="4" w:space="0" w:color="auto"/>
            </w:tcBorders>
            <w:shd w:val="clear" w:color="auto" w:fill="FFFFFF"/>
            <w:vAlign w:val="center"/>
          </w:tcPr>
          <w:p w:rsidR="005F30C3" w:rsidRDefault="0080235F" w:rsidP="00072AA1">
            <w:pPr>
              <w:ind w:right="49"/>
              <w:jc w:val="center"/>
              <w:rPr>
                <w:rFonts w:cs="Arial"/>
                <w:sz w:val="22"/>
                <w:szCs w:val="22"/>
              </w:rPr>
            </w:pPr>
            <w:r w:rsidRPr="005F30C3">
              <w:rPr>
                <w:rFonts w:cs="Arial"/>
                <w:i/>
                <w:color w:val="808080"/>
                <w:sz w:val="22"/>
                <w:szCs w:val="22"/>
              </w:rPr>
              <w:t>(Marque con una x)</w:t>
            </w:r>
          </w:p>
        </w:tc>
      </w:tr>
      <w:tr w:rsidR="005F30C3" w:rsidRPr="009F7CED" w:rsidTr="00184400">
        <w:tblPrEx>
          <w:tblCellMar>
            <w:top w:w="0" w:type="dxa"/>
            <w:bottom w:w="0" w:type="dxa"/>
          </w:tblCellMar>
        </w:tblPrEx>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rsidR="005F30C3" w:rsidRPr="00B210D2" w:rsidRDefault="005F30C3" w:rsidP="00B210D2">
            <w:pPr>
              <w:ind w:right="49"/>
              <w:jc w:val="both"/>
              <w:rPr>
                <w:rFonts w:cs="Arial"/>
                <w:sz w:val="22"/>
                <w:szCs w:val="22"/>
              </w:rPr>
            </w:pPr>
            <w:r w:rsidRPr="00B210D2">
              <w:rPr>
                <w:rFonts w:cs="Arial"/>
                <w:sz w:val="22"/>
                <w:szCs w:val="22"/>
              </w:rPr>
              <w:t xml:space="preserve">Otro </w:t>
            </w:r>
          </w:p>
          <w:p w:rsidR="005F30C3" w:rsidRPr="00B210D2" w:rsidRDefault="005F30C3" w:rsidP="00B210D2">
            <w:pPr>
              <w:ind w:right="49"/>
              <w:jc w:val="both"/>
              <w:rPr>
                <w:rFonts w:cs="Arial"/>
                <w:sz w:val="22"/>
                <w:szCs w:val="22"/>
              </w:rPr>
            </w:pPr>
            <w:r w:rsidRPr="00B210D2">
              <w:rPr>
                <w:rFonts w:cs="Arial"/>
                <w:i/>
                <w:color w:val="808080"/>
                <w:sz w:val="22"/>
                <w:szCs w:val="22"/>
              </w:rPr>
              <w:t>(</w:t>
            </w:r>
            <w:r w:rsidRPr="00B210D2">
              <w:rPr>
                <w:rFonts w:cs="Arial"/>
                <w:i/>
                <w:color w:val="808080"/>
                <w:sz w:val="18"/>
                <w:szCs w:val="22"/>
              </w:rPr>
              <w:t>Cualquier otro aspecto que la entidad originadora de la norma considere relevante o de importancia)</w:t>
            </w:r>
          </w:p>
        </w:tc>
        <w:tc>
          <w:tcPr>
            <w:tcW w:w="3118" w:type="dxa"/>
            <w:tcBorders>
              <w:top w:val="single" w:sz="4" w:space="0" w:color="auto"/>
              <w:left w:val="single" w:sz="4" w:space="0" w:color="auto"/>
              <w:bottom w:val="single" w:sz="4" w:space="0" w:color="auto"/>
            </w:tcBorders>
            <w:shd w:val="clear" w:color="auto" w:fill="FFFFFF"/>
            <w:vAlign w:val="center"/>
          </w:tcPr>
          <w:p w:rsidR="005F30C3" w:rsidRDefault="005F30C3" w:rsidP="0080235F">
            <w:pPr>
              <w:ind w:right="49"/>
              <w:jc w:val="center"/>
              <w:rPr>
                <w:rFonts w:cs="Arial"/>
                <w:sz w:val="22"/>
                <w:szCs w:val="22"/>
              </w:rPr>
            </w:pPr>
            <w:r w:rsidRPr="005F30C3">
              <w:rPr>
                <w:rFonts w:cs="Arial"/>
                <w:i/>
                <w:color w:val="808080"/>
                <w:sz w:val="22"/>
                <w:szCs w:val="22"/>
              </w:rPr>
              <w:t>(Marque con una x)</w:t>
            </w:r>
          </w:p>
        </w:tc>
      </w:tr>
    </w:tbl>
    <w:p w:rsidR="00B32F25" w:rsidRDefault="00B32F25" w:rsidP="00295700">
      <w:pPr>
        <w:pStyle w:val="Cuadrculamedia1-nfasis2"/>
        <w:spacing w:after="0" w:line="240" w:lineRule="auto"/>
        <w:ind w:left="0" w:right="49"/>
        <w:rPr>
          <w:rFonts w:ascii="Arial" w:hAnsi="Arial" w:cs="Arial"/>
          <w:lang w:val="es-ES" w:eastAsia="es-ES"/>
        </w:rPr>
      </w:pPr>
    </w:p>
    <w:p w:rsidR="00295700" w:rsidRDefault="00295700" w:rsidP="00295700">
      <w:pPr>
        <w:ind w:right="-377"/>
        <w:jc w:val="both"/>
        <w:rPr>
          <w:rFonts w:cs="Arial"/>
          <w:sz w:val="22"/>
          <w:szCs w:val="22"/>
        </w:rPr>
      </w:pPr>
    </w:p>
    <w:p w:rsidR="00C30D14" w:rsidRPr="009F7CED" w:rsidRDefault="00C30D14" w:rsidP="00295700">
      <w:pPr>
        <w:ind w:right="-377"/>
        <w:jc w:val="both"/>
        <w:rPr>
          <w:rFonts w:cs="Arial"/>
          <w:sz w:val="22"/>
          <w:szCs w:val="22"/>
        </w:rPr>
      </w:pPr>
    </w:p>
    <w:p w:rsidR="00295700" w:rsidRDefault="00295700" w:rsidP="00295700">
      <w:pPr>
        <w:jc w:val="both"/>
        <w:rPr>
          <w:rFonts w:cs="Arial"/>
          <w:b/>
        </w:rPr>
      </w:pPr>
      <w:r>
        <w:rPr>
          <w:rFonts w:cs="Arial"/>
          <w:b/>
        </w:rPr>
        <w:t>_________________</w:t>
      </w:r>
    </w:p>
    <w:p w:rsidR="00295700" w:rsidRPr="00B210D2" w:rsidRDefault="00295700" w:rsidP="00295700">
      <w:pPr>
        <w:rPr>
          <w:rFonts w:cs="Arial"/>
          <w:b/>
          <w:sz w:val="22"/>
          <w:szCs w:val="22"/>
        </w:rPr>
      </w:pPr>
      <w:r w:rsidRPr="00B210D2">
        <w:rPr>
          <w:rFonts w:cs="Arial"/>
          <w:b/>
          <w:sz w:val="22"/>
          <w:szCs w:val="22"/>
        </w:rPr>
        <w:t>JUAN CARLOS COVILLA MARTÍNEZ</w:t>
      </w:r>
    </w:p>
    <w:p w:rsidR="00295700" w:rsidRPr="00B210D2" w:rsidRDefault="00295700" w:rsidP="00295700">
      <w:pPr>
        <w:rPr>
          <w:rFonts w:cs="Arial"/>
          <w:b/>
          <w:sz w:val="22"/>
          <w:szCs w:val="22"/>
        </w:rPr>
      </w:pPr>
      <w:r w:rsidRPr="00B210D2">
        <w:rPr>
          <w:rFonts w:cs="Arial"/>
          <w:b/>
          <w:sz w:val="22"/>
          <w:szCs w:val="22"/>
        </w:rPr>
        <w:t xml:space="preserve">Jefe Oficina Asesora Jurídica </w:t>
      </w:r>
    </w:p>
    <w:p w:rsidR="00295700" w:rsidRPr="00B210D2" w:rsidRDefault="00295700" w:rsidP="00295700">
      <w:pPr>
        <w:rPr>
          <w:rFonts w:cs="Arial"/>
          <w:b/>
          <w:sz w:val="22"/>
          <w:szCs w:val="22"/>
        </w:rPr>
      </w:pPr>
      <w:r w:rsidRPr="00B210D2">
        <w:rPr>
          <w:rFonts w:cs="Arial"/>
          <w:b/>
          <w:sz w:val="22"/>
          <w:szCs w:val="22"/>
        </w:rPr>
        <w:t>Ministerio de Vivienda, Ciudad y Territorio</w:t>
      </w:r>
    </w:p>
    <w:p w:rsidR="00295700" w:rsidRPr="00B210D2" w:rsidRDefault="00295700" w:rsidP="00295700">
      <w:pPr>
        <w:rPr>
          <w:rFonts w:cs="Arial"/>
          <w:b/>
          <w:sz w:val="22"/>
          <w:szCs w:val="22"/>
        </w:rPr>
      </w:pPr>
    </w:p>
    <w:p w:rsidR="00295700" w:rsidRPr="00B210D2" w:rsidRDefault="00295700" w:rsidP="00295700">
      <w:pPr>
        <w:rPr>
          <w:rFonts w:cs="Arial"/>
          <w:b/>
          <w:sz w:val="22"/>
          <w:szCs w:val="22"/>
        </w:rPr>
      </w:pPr>
    </w:p>
    <w:p w:rsidR="00295700" w:rsidRPr="00B210D2" w:rsidRDefault="00295700" w:rsidP="00295700">
      <w:pPr>
        <w:rPr>
          <w:rFonts w:cs="Arial"/>
          <w:b/>
          <w:sz w:val="22"/>
          <w:szCs w:val="22"/>
        </w:rPr>
      </w:pPr>
    </w:p>
    <w:p w:rsidR="00B31D24" w:rsidRPr="00B210D2" w:rsidRDefault="00B31D24" w:rsidP="00295700">
      <w:pPr>
        <w:rPr>
          <w:rFonts w:cs="Arial"/>
          <w:b/>
          <w:sz w:val="22"/>
          <w:szCs w:val="22"/>
        </w:rPr>
      </w:pPr>
    </w:p>
    <w:p w:rsidR="00B31D24" w:rsidRPr="00B210D2" w:rsidRDefault="00B31D24" w:rsidP="00295700">
      <w:pPr>
        <w:rPr>
          <w:rFonts w:cs="Arial"/>
          <w:b/>
          <w:sz w:val="22"/>
          <w:szCs w:val="22"/>
        </w:rPr>
      </w:pPr>
    </w:p>
    <w:p w:rsidR="00295700" w:rsidRPr="00B210D2" w:rsidRDefault="00295700" w:rsidP="00295700">
      <w:pPr>
        <w:rPr>
          <w:rFonts w:cs="Arial"/>
          <w:b/>
          <w:sz w:val="22"/>
          <w:szCs w:val="22"/>
        </w:rPr>
      </w:pPr>
    </w:p>
    <w:p w:rsidR="00295700" w:rsidRPr="00B210D2" w:rsidRDefault="00295700" w:rsidP="00295700">
      <w:pPr>
        <w:rPr>
          <w:rFonts w:cs="Arial"/>
          <w:b/>
          <w:sz w:val="22"/>
          <w:szCs w:val="22"/>
        </w:rPr>
      </w:pPr>
      <w:r w:rsidRPr="00B210D2">
        <w:rPr>
          <w:rFonts w:cs="Arial"/>
          <w:b/>
          <w:sz w:val="22"/>
          <w:szCs w:val="22"/>
        </w:rPr>
        <w:t>_____________________</w:t>
      </w:r>
    </w:p>
    <w:p w:rsidR="00295700" w:rsidRPr="00B210D2" w:rsidRDefault="00295700" w:rsidP="00295700">
      <w:pPr>
        <w:rPr>
          <w:rFonts w:cs="Arial"/>
          <w:b/>
          <w:sz w:val="22"/>
          <w:szCs w:val="22"/>
        </w:rPr>
      </w:pPr>
      <w:r w:rsidRPr="00B210D2">
        <w:rPr>
          <w:rFonts w:cs="Arial"/>
          <w:b/>
          <w:sz w:val="22"/>
          <w:szCs w:val="22"/>
        </w:rPr>
        <w:t>FELIPE WALTER CORREA</w:t>
      </w:r>
    </w:p>
    <w:p w:rsidR="00295700" w:rsidRPr="00B210D2" w:rsidRDefault="00295700" w:rsidP="00295700">
      <w:pPr>
        <w:rPr>
          <w:rFonts w:cs="Arial"/>
          <w:b/>
          <w:sz w:val="22"/>
          <w:szCs w:val="22"/>
        </w:rPr>
      </w:pPr>
      <w:r w:rsidRPr="00B210D2">
        <w:rPr>
          <w:rFonts w:cs="Arial"/>
          <w:b/>
          <w:sz w:val="22"/>
          <w:szCs w:val="22"/>
        </w:rPr>
        <w:t>Director del Sistema Habitacional</w:t>
      </w:r>
    </w:p>
    <w:p w:rsidR="00295700" w:rsidRPr="00B210D2" w:rsidRDefault="00295700" w:rsidP="00295700">
      <w:pPr>
        <w:rPr>
          <w:rFonts w:cs="Arial"/>
          <w:b/>
          <w:sz w:val="22"/>
          <w:szCs w:val="22"/>
        </w:rPr>
      </w:pPr>
      <w:r w:rsidRPr="00B210D2">
        <w:rPr>
          <w:rFonts w:cs="Arial"/>
          <w:b/>
          <w:sz w:val="22"/>
          <w:szCs w:val="22"/>
        </w:rPr>
        <w:t>Ministerio de Vivienda, Ciudad y Territorio</w:t>
      </w:r>
    </w:p>
    <w:p w:rsidR="00295700" w:rsidRPr="00835387" w:rsidRDefault="00295700" w:rsidP="00295700">
      <w:pPr>
        <w:pStyle w:val="Cuadrculamedia1-nfasis2"/>
        <w:spacing w:after="0" w:line="240" w:lineRule="auto"/>
        <w:ind w:left="0" w:right="49"/>
        <w:rPr>
          <w:rFonts w:ascii="Arial" w:hAnsi="Arial" w:cs="Arial"/>
          <w:bCs/>
        </w:rPr>
      </w:pPr>
    </w:p>
    <w:sectPr w:rsidR="00295700" w:rsidRPr="00835387" w:rsidSect="00696582">
      <w:headerReference w:type="default" r:id="rId9"/>
      <w:footerReference w:type="default" r:id="rId10"/>
      <w:headerReference w:type="first" r:id="rId11"/>
      <w:type w:val="continuous"/>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3A8" w:rsidRDefault="007703A8">
      <w:r>
        <w:separator/>
      </w:r>
    </w:p>
  </w:endnote>
  <w:endnote w:type="continuationSeparator" w:id="0">
    <w:p w:rsidR="007703A8" w:rsidRDefault="0077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6C6A" w:rsidRDefault="00836C6A">
    <w:pPr>
      <w:pStyle w:val="Piedepgina"/>
      <w:jc w:val="right"/>
    </w:pPr>
    <w:r>
      <w:fldChar w:fldCharType="begin"/>
    </w:r>
    <w:r w:rsidR="00E7034A">
      <w:instrText>PAGE</w:instrText>
    </w:r>
    <w:r>
      <w:instrText xml:space="preserve">   \* MERGEFORMAT</w:instrText>
    </w:r>
    <w:r>
      <w:fldChar w:fldCharType="separate"/>
    </w:r>
    <w:r w:rsidR="009D5040">
      <w:rPr>
        <w:noProof/>
      </w:rPr>
      <w:t>2</w:t>
    </w:r>
    <w:r>
      <w:fldChar w:fldCharType="end"/>
    </w:r>
  </w:p>
  <w:p w:rsidR="00F07A7D" w:rsidRPr="0084294E" w:rsidRDefault="00F07A7D"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3A8" w:rsidRDefault="007703A8">
      <w:r>
        <w:separator/>
      </w:r>
    </w:p>
  </w:footnote>
  <w:footnote w:type="continuationSeparator" w:id="0">
    <w:p w:rsidR="007703A8" w:rsidRDefault="00770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696582" w:rsidTr="001447C1">
      <w:tc>
        <w:tcPr>
          <w:tcW w:w="4253" w:type="dxa"/>
          <w:shd w:val="clear" w:color="auto" w:fill="auto"/>
        </w:tcPr>
        <w:p w:rsidR="00696582" w:rsidRDefault="00E7034A" w:rsidP="001447C1">
          <w:pPr>
            <w:pStyle w:val="Encabezado"/>
          </w:pPr>
          <w:r w:rsidRPr="00D965B1">
            <w:rPr>
              <w:noProof/>
              <w:lang w:val="es-ES_tradnl" w:eastAsia="es-ES_tradnl"/>
            </w:rPr>
            <w:drawing>
              <wp:inline distT="0" distB="0" distL="0" distR="0">
                <wp:extent cx="2562860" cy="53911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539115"/>
                        </a:xfrm>
                        <a:prstGeom prst="rect">
                          <a:avLst/>
                        </a:prstGeom>
                        <a:noFill/>
                        <a:ln>
                          <a:noFill/>
                        </a:ln>
                      </pic:spPr>
                    </pic:pic>
                  </a:graphicData>
                </a:graphic>
              </wp:inline>
            </w:drawing>
          </w:r>
        </w:p>
      </w:tc>
      <w:tc>
        <w:tcPr>
          <w:tcW w:w="6545" w:type="dxa"/>
          <w:shd w:val="clear" w:color="auto" w:fill="auto"/>
          <w:vAlign w:val="center"/>
        </w:tcPr>
        <w:p w:rsidR="00696582" w:rsidRDefault="00696582" w:rsidP="001447C1">
          <w:pPr>
            <w:pStyle w:val="Ttulo2"/>
            <w:ind w:left="72" w:right="72"/>
          </w:pPr>
          <w:r w:rsidRPr="00FD3D04">
            <w:rPr>
              <w:rFonts w:cs="Arial"/>
              <w:bCs/>
              <w:color w:val="000000"/>
              <w:sz w:val="24"/>
              <w:szCs w:val="24"/>
            </w:rPr>
            <w:t>FORMATO MEMORIA JUSTIFICATIVA</w:t>
          </w:r>
        </w:p>
      </w:tc>
    </w:tr>
  </w:tbl>
  <w:p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350767" w:rsidTr="00FD3D04">
      <w:tc>
        <w:tcPr>
          <w:tcW w:w="4253" w:type="dxa"/>
          <w:shd w:val="clear" w:color="auto" w:fill="auto"/>
        </w:tcPr>
        <w:p w:rsidR="00350767" w:rsidRDefault="00E7034A">
          <w:pPr>
            <w:pStyle w:val="Encabezado"/>
          </w:pPr>
          <w:r w:rsidRPr="00D965B1">
            <w:rPr>
              <w:noProof/>
              <w:lang w:val="es-ES_tradnl" w:eastAsia="es-ES_tradnl"/>
            </w:rPr>
            <w:drawing>
              <wp:inline distT="0" distB="0" distL="0" distR="0">
                <wp:extent cx="2562860" cy="53911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860" cy="539115"/>
                        </a:xfrm>
                        <a:prstGeom prst="rect">
                          <a:avLst/>
                        </a:prstGeom>
                        <a:noFill/>
                        <a:ln>
                          <a:noFill/>
                        </a:ln>
                      </pic:spPr>
                    </pic:pic>
                  </a:graphicData>
                </a:graphic>
              </wp:inline>
            </w:drawing>
          </w:r>
        </w:p>
      </w:tc>
      <w:tc>
        <w:tcPr>
          <w:tcW w:w="6545" w:type="dxa"/>
          <w:shd w:val="clear" w:color="auto" w:fill="auto"/>
          <w:vAlign w:val="center"/>
        </w:tcPr>
        <w:p w:rsidR="00350767" w:rsidRDefault="00350767" w:rsidP="00FD3D04">
          <w:pPr>
            <w:pStyle w:val="Ttulo2"/>
            <w:ind w:left="72" w:right="72"/>
          </w:pPr>
          <w:r w:rsidRPr="00FD3D04">
            <w:rPr>
              <w:rFonts w:cs="Arial"/>
              <w:bCs/>
              <w:color w:val="000000"/>
              <w:sz w:val="24"/>
              <w:szCs w:val="24"/>
            </w:rPr>
            <w:t>FORMATO MEMORIA JUSTIFICATIVA</w:t>
          </w:r>
        </w:p>
      </w:tc>
    </w:tr>
  </w:tbl>
  <w:p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7ED"/>
    <w:multiLevelType w:val="hybridMultilevel"/>
    <w:tmpl w:val="47DC4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1A138D"/>
    <w:multiLevelType w:val="hybridMultilevel"/>
    <w:tmpl w:val="4CDA94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0957C5"/>
    <w:multiLevelType w:val="hybridMultilevel"/>
    <w:tmpl w:val="0C9877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DC9039E"/>
    <w:multiLevelType w:val="hybridMultilevel"/>
    <w:tmpl w:val="8FDEDB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C8D575C"/>
    <w:multiLevelType w:val="multilevel"/>
    <w:tmpl w:val="EA460C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EB090B"/>
    <w:multiLevelType w:val="hybridMultilevel"/>
    <w:tmpl w:val="DBAE36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31816CC2"/>
    <w:multiLevelType w:val="hybridMultilevel"/>
    <w:tmpl w:val="5F2A3E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C257100"/>
    <w:multiLevelType w:val="hybridMultilevel"/>
    <w:tmpl w:val="50368C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5A763775"/>
    <w:multiLevelType w:val="hybridMultilevel"/>
    <w:tmpl w:val="66E02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B6E54B8"/>
    <w:multiLevelType w:val="hybridMultilevel"/>
    <w:tmpl w:val="42C4BE2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5C420DAA"/>
    <w:multiLevelType w:val="hybridMultilevel"/>
    <w:tmpl w:val="733AE8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C492040"/>
    <w:multiLevelType w:val="hybridMultilevel"/>
    <w:tmpl w:val="538EE6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6F76727"/>
    <w:multiLevelType w:val="hybridMultilevel"/>
    <w:tmpl w:val="D06EBD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A4E06B6"/>
    <w:multiLevelType w:val="multilevel"/>
    <w:tmpl w:val="44F84E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591EFE"/>
    <w:multiLevelType w:val="hybridMultilevel"/>
    <w:tmpl w:val="1348F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550963"/>
    <w:multiLevelType w:val="hybridMultilevel"/>
    <w:tmpl w:val="10E465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5"/>
  </w:num>
  <w:num w:numId="4">
    <w:abstractNumId w:val="13"/>
  </w:num>
  <w:num w:numId="5">
    <w:abstractNumId w:val="3"/>
  </w:num>
  <w:num w:numId="6">
    <w:abstractNumId w:val="5"/>
  </w:num>
  <w:num w:numId="7">
    <w:abstractNumId w:val="6"/>
  </w:num>
  <w:num w:numId="8">
    <w:abstractNumId w:val="11"/>
  </w:num>
  <w:num w:numId="9">
    <w:abstractNumId w:val="16"/>
  </w:num>
  <w:num w:numId="10">
    <w:abstractNumId w:val="12"/>
  </w:num>
  <w:num w:numId="11">
    <w:abstractNumId w:val="8"/>
  </w:num>
  <w:num w:numId="12">
    <w:abstractNumId w:val="10"/>
    <w:lvlOverride w:ilvl="0"/>
    <w:lvlOverride w:ilvl="1"/>
    <w:lvlOverride w:ilvl="2"/>
    <w:lvlOverride w:ilvl="3"/>
    <w:lvlOverride w:ilvl="4"/>
    <w:lvlOverride w:ilvl="5"/>
    <w:lvlOverride w:ilvl="6"/>
    <w:lvlOverride w:ilvl="7"/>
    <w:lvlOverride w:ilvl="8"/>
  </w:num>
  <w:num w:numId="13">
    <w:abstractNumId w:val="1"/>
  </w:num>
  <w:num w:numId="14">
    <w:abstractNumId w:val="14"/>
  </w:num>
  <w:num w:numId="15">
    <w:abstractNumId w:val="9"/>
  </w:num>
  <w:num w:numId="16">
    <w:abstractNumId w:val="0"/>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103B"/>
    <w:rsid w:val="000026E6"/>
    <w:rsid w:val="00003D24"/>
    <w:rsid w:val="00006F83"/>
    <w:rsid w:val="00007F07"/>
    <w:rsid w:val="00013C42"/>
    <w:rsid w:val="00014D67"/>
    <w:rsid w:val="00016A94"/>
    <w:rsid w:val="00021FCC"/>
    <w:rsid w:val="00024F34"/>
    <w:rsid w:val="0002546A"/>
    <w:rsid w:val="00027A88"/>
    <w:rsid w:val="00032CBF"/>
    <w:rsid w:val="0004205E"/>
    <w:rsid w:val="00047A6E"/>
    <w:rsid w:val="00050524"/>
    <w:rsid w:val="00051607"/>
    <w:rsid w:val="00066463"/>
    <w:rsid w:val="00072AA1"/>
    <w:rsid w:val="0007636F"/>
    <w:rsid w:val="00081CEE"/>
    <w:rsid w:val="00084B49"/>
    <w:rsid w:val="00086B16"/>
    <w:rsid w:val="00092C0A"/>
    <w:rsid w:val="00094D9F"/>
    <w:rsid w:val="000A2591"/>
    <w:rsid w:val="000A35DA"/>
    <w:rsid w:val="000A3E34"/>
    <w:rsid w:val="000B30A6"/>
    <w:rsid w:val="000B39C5"/>
    <w:rsid w:val="000B50F1"/>
    <w:rsid w:val="000B5210"/>
    <w:rsid w:val="000C41BE"/>
    <w:rsid w:val="000C5526"/>
    <w:rsid w:val="000C614C"/>
    <w:rsid w:val="000C6C52"/>
    <w:rsid w:val="000D1904"/>
    <w:rsid w:val="000D2DA8"/>
    <w:rsid w:val="000D512E"/>
    <w:rsid w:val="000E0152"/>
    <w:rsid w:val="000E370D"/>
    <w:rsid w:val="000E65A4"/>
    <w:rsid w:val="000E7C05"/>
    <w:rsid w:val="00105533"/>
    <w:rsid w:val="001072FB"/>
    <w:rsid w:val="00111C24"/>
    <w:rsid w:val="00116659"/>
    <w:rsid w:val="001175AA"/>
    <w:rsid w:val="00125A3A"/>
    <w:rsid w:val="00126916"/>
    <w:rsid w:val="00126980"/>
    <w:rsid w:val="001303DD"/>
    <w:rsid w:val="001348DA"/>
    <w:rsid w:val="001365B5"/>
    <w:rsid w:val="00136CD0"/>
    <w:rsid w:val="0013737F"/>
    <w:rsid w:val="00142BF2"/>
    <w:rsid w:val="001447C1"/>
    <w:rsid w:val="00145BCA"/>
    <w:rsid w:val="0015216F"/>
    <w:rsid w:val="00153523"/>
    <w:rsid w:val="00157729"/>
    <w:rsid w:val="00164587"/>
    <w:rsid w:val="001665A3"/>
    <w:rsid w:val="001743EF"/>
    <w:rsid w:val="00174A31"/>
    <w:rsid w:val="00176852"/>
    <w:rsid w:val="00177232"/>
    <w:rsid w:val="001830C3"/>
    <w:rsid w:val="00184400"/>
    <w:rsid w:val="00187186"/>
    <w:rsid w:val="001937B0"/>
    <w:rsid w:val="001978EB"/>
    <w:rsid w:val="00197962"/>
    <w:rsid w:val="001A2AF1"/>
    <w:rsid w:val="001A3DE9"/>
    <w:rsid w:val="001B7C43"/>
    <w:rsid w:val="001C013E"/>
    <w:rsid w:val="001D05FE"/>
    <w:rsid w:val="001D1743"/>
    <w:rsid w:val="001D17CF"/>
    <w:rsid w:val="001D5327"/>
    <w:rsid w:val="001E2543"/>
    <w:rsid w:val="001E6C60"/>
    <w:rsid w:val="001F238A"/>
    <w:rsid w:val="00212DD2"/>
    <w:rsid w:val="002171A2"/>
    <w:rsid w:val="002217D1"/>
    <w:rsid w:val="002264B8"/>
    <w:rsid w:val="00235361"/>
    <w:rsid w:val="00236F62"/>
    <w:rsid w:val="00237D76"/>
    <w:rsid w:val="00243396"/>
    <w:rsid w:val="00247581"/>
    <w:rsid w:val="00251FCE"/>
    <w:rsid w:val="00252F13"/>
    <w:rsid w:val="00254313"/>
    <w:rsid w:val="0026513E"/>
    <w:rsid w:val="00266C75"/>
    <w:rsid w:val="002729A5"/>
    <w:rsid w:val="002827C3"/>
    <w:rsid w:val="002862C1"/>
    <w:rsid w:val="00286449"/>
    <w:rsid w:val="00287EC3"/>
    <w:rsid w:val="00290598"/>
    <w:rsid w:val="00293F29"/>
    <w:rsid w:val="002941D1"/>
    <w:rsid w:val="00295700"/>
    <w:rsid w:val="002A2A12"/>
    <w:rsid w:val="002A71E5"/>
    <w:rsid w:val="002C05D0"/>
    <w:rsid w:val="002C1293"/>
    <w:rsid w:val="002C6429"/>
    <w:rsid w:val="002D096D"/>
    <w:rsid w:val="002D11FE"/>
    <w:rsid w:val="002D2CB2"/>
    <w:rsid w:val="002D35EC"/>
    <w:rsid w:val="002D3FE3"/>
    <w:rsid w:val="002D5E8B"/>
    <w:rsid w:val="002E4A97"/>
    <w:rsid w:val="002E71C4"/>
    <w:rsid w:val="002F226A"/>
    <w:rsid w:val="002F5593"/>
    <w:rsid w:val="002F7714"/>
    <w:rsid w:val="00300400"/>
    <w:rsid w:val="00301DC2"/>
    <w:rsid w:val="00314345"/>
    <w:rsid w:val="003225A7"/>
    <w:rsid w:val="003227FD"/>
    <w:rsid w:val="00325A55"/>
    <w:rsid w:val="003343DB"/>
    <w:rsid w:val="00335D30"/>
    <w:rsid w:val="00336655"/>
    <w:rsid w:val="00342B3C"/>
    <w:rsid w:val="00346554"/>
    <w:rsid w:val="003503EB"/>
    <w:rsid w:val="00350767"/>
    <w:rsid w:val="00350E4B"/>
    <w:rsid w:val="003533A1"/>
    <w:rsid w:val="003651DE"/>
    <w:rsid w:val="00367CB8"/>
    <w:rsid w:val="00367FDF"/>
    <w:rsid w:val="003711C0"/>
    <w:rsid w:val="00372B0F"/>
    <w:rsid w:val="00373197"/>
    <w:rsid w:val="0038390A"/>
    <w:rsid w:val="003849F0"/>
    <w:rsid w:val="00385AA5"/>
    <w:rsid w:val="00387D5D"/>
    <w:rsid w:val="003A0BBF"/>
    <w:rsid w:val="003A3C08"/>
    <w:rsid w:val="003A6449"/>
    <w:rsid w:val="003A73D2"/>
    <w:rsid w:val="003B3447"/>
    <w:rsid w:val="003B3C1A"/>
    <w:rsid w:val="003B3F46"/>
    <w:rsid w:val="003B4DDE"/>
    <w:rsid w:val="003B5433"/>
    <w:rsid w:val="003B625C"/>
    <w:rsid w:val="003C0C28"/>
    <w:rsid w:val="003C0F32"/>
    <w:rsid w:val="003C6CAC"/>
    <w:rsid w:val="003D3516"/>
    <w:rsid w:val="003E1394"/>
    <w:rsid w:val="003E582F"/>
    <w:rsid w:val="00401B59"/>
    <w:rsid w:val="00405CE5"/>
    <w:rsid w:val="0041604F"/>
    <w:rsid w:val="004164AD"/>
    <w:rsid w:val="00420E51"/>
    <w:rsid w:val="00427DD9"/>
    <w:rsid w:val="004317DB"/>
    <w:rsid w:val="00432C5C"/>
    <w:rsid w:val="00437C19"/>
    <w:rsid w:val="00461D1F"/>
    <w:rsid w:val="00464099"/>
    <w:rsid w:val="00467A74"/>
    <w:rsid w:val="00470148"/>
    <w:rsid w:val="00470526"/>
    <w:rsid w:val="00481EB8"/>
    <w:rsid w:val="004848A4"/>
    <w:rsid w:val="00486B56"/>
    <w:rsid w:val="0049040C"/>
    <w:rsid w:val="0049552E"/>
    <w:rsid w:val="004A0755"/>
    <w:rsid w:val="004A6BE3"/>
    <w:rsid w:val="004A6C34"/>
    <w:rsid w:val="004B078F"/>
    <w:rsid w:val="004C4371"/>
    <w:rsid w:val="004C7D38"/>
    <w:rsid w:val="004D0D86"/>
    <w:rsid w:val="004D10C6"/>
    <w:rsid w:val="004D2643"/>
    <w:rsid w:val="004D294E"/>
    <w:rsid w:val="004D3D03"/>
    <w:rsid w:val="004D4586"/>
    <w:rsid w:val="004D6329"/>
    <w:rsid w:val="004D7C49"/>
    <w:rsid w:val="004E034B"/>
    <w:rsid w:val="004E17FC"/>
    <w:rsid w:val="004E274E"/>
    <w:rsid w:val="004E517F"/>
    <w:rsid w:val="004F3C1D"/>
    <w:rsid w:val="004F4998"/>
    <w:rsid w:val="004F778E"/>
    <w:rsid w:val="004F7A38"/>
    <w:rsid w:val="0050148F"/>
    <w:rsid w:val="00502F91"/>
    <w:rsid w:val="005173D4"/>
    <w:rsid w:val="00520AAA"/>
    <w:rsid w:val="00520B2A"/>
    <w:rsid w:val="005338E4"/>
    <w:rsid w:val="00533A15"/>
    <w:rsid w:val="0054286C"/>
    <w:rsid w:val="00543E5A"/>
    <w:rsid w:val="00545A32"/>
    <w:rsid w:val="00545AC2"/>
    <w:rsid w:val="0054645F"/>
    <w:rsid w:val="005616ED"/>
    <w:rsid w:val="005629D0"/>
    <w:rsid w:val="00563365"/>
    <w:rsid w:val="00564A4E"/>
    <w:rsid w:val="00572C8C"/>
    <w:rsid w:val="00573388"/>
    <w:rsid w:val="005815B6"/>
    <w:rsid w:val="00584E85"/>
    <w:rsid w:val="005871DA"/>
    <w:rsid w:val="00587695"/>
    <w:rsid w:val="0059054D"/>
    <w:rsid w:val="0059316B"/>
    <w:rsid w:val="005949A8"/>
    <w:rsid w:val="00597D01"/>
    <w:rsid w:val="005A077D"/>
    <w:rsid w:val="005A4320"/>
    <w:rsid w:val="005A498D"/>
    <w:rsid w:val="005A6F43"/>
    <w:rsid w:val="005B25F4"/>
    <w:rsid w:val="005C19CA"/>
    <w:rsid w:val="005C4522"/>
    <w:rsid w:val="005D156B"/>
    <w:rsid w:val="005D49BF"/>
    <w:rsid w:val="005E71F7"/>
    <w:rsid w:val="005E7A89"/>
    <w:rsid w:val="005F30C3"/>
    <w:rsid w:val="005F61D0"/>
    <w:rsid w:val="005F6F84"/>
    <w:rsid w:val="005F7863"/>
    <w:rsid w:val="0060353B"/>
    <w:rsid w:val="00620876"/>
    <w:rsid w:val="00624FD0"/>
    <w:rsid w:val="00630C5E"/>
    <w:rsid w:val="006315B4"/>
    <w:rsid w:val="006347EF"/>
    <w:rsid w:val="00635AC3"/>
    <w:rsid w:val="00636FFB"/>
    <w:rsid w:val="00654CCF"/>
    <w:rsid w:val="00657E82"/>
    <w:rsid w:val="00665F82"/>
    <w:rsid w:val="0067186C"/>
    <w:rsid w:val="00671E11"/>
    <w:rsid w:val="006779DA"/>
    <w:rsid w:val="006779F9"/>
    <w:rsid w:val="00687EB3"/>
    <w:rsid w:val="00692980"/>
    <w:rsid w:val="00693246"/>
    <w:rsid w:val="0069506F"/>
    <w:rsid w:val="00696582"/>
    <w:rsid w:val="006A1DBB"/>
    <w:rsid w:val="006B4E40"/>
    <w:rsid w:val="006B6871"/>
    <w:rsid w:val="006C103A"/>
    <w:rsid w:val="006C4E6A"/>
    <w:rsid w:val="006C50E8"/>
    <w:rsid w:val="006D2189"/>
    <w:rsid w:val="006D464D"/>
    <w:rsid w:val="006E25B9"/>
    <w:rsid w:val="006E6F11"/>
    <w:rsid w:val="006F0B6B"/>
    <w:rsid w:val="006F144D"/>
    <w:rsid w:val="006F461B"/>
    <w:rsid w:val="006F622C"/>
    <w:rsid w:val="00700FF6"/>
    <w:rsid w:val="00704D44"/>
    <w:rsid w:val="00710DAB"/>
    <w:rsid w:val="00715A68"/>
    <w:rsid w:val="00715DD5"/>
    <w:rsid w:val="00715ECF"/>
    <w:rsid w:val="00717A04"/>
    <w:rsid w:val="00717BFE"/>
    <w:rsid w:val="007208C5"/>
    <w:rsid w:val="00725BB4"/>
    <w:rsid w:val="00730D3B"/>
    <w:rsid w:val="0073180A"/>
    <w:rsid w:val="00732997"/>
    <w:rsid w:val="007336C3"/>
    <w:rsid w:val="00735033"/>
    <w:rsid w:val="007378C3"/>
    <w:rsid w:val="0075152A"/>
    <w:rsid w:val="00756485"/>
    <w:rsid w:val="0075705D"/>
    <w:rsid w:val="007626E1"/>
    <w:rsid w:val="00767F65"/>
    <w:rsid w:val="007703A8"/>
    <w:rsid w:val="00770D6C"/>
    <w:rsid w:val="00783515"/>
    <w:rsid w:val="00785FF7"/>
    <w:rsid w:val="00787C94"/>
    <w:rsid w:val="007917AC"/>
    <w:rsid w:val="00791BCB"/>
    <w:rsid w:val="007921BD"/>
    <w:rsid w:val="00793A02"/>
    <w:rsid w:val="00795C6B"/>
    <w:rsid w:val="007A1566"/>
    <w:rsid w:val="007A3995"/>
    <w:rsid w:val="007A5AC5"/>
    <w:rsid w:val="007B622D"/>
    <w:rsid w:val="007C4288"/>
    <w:rsid w:val="007C484E"/>
    <w:rsid w:val="007D4853"/>
    <w:rsid w:val="007D57C4"/>
    <w:rsid w:val="007D6B9F"/>
    <w:rsid w:val="007D6FD3"/>
    <w:rsid w:val="007E0429"/>
    <w:rsid w:val="007E3837"/>
    <w:rsid w:val="007E41DE"/>
    <w:rsid w:val="007E4CE3"/>
    <w:rsid w:val="007F2B1F"/>
    <w:rsid w:val="00802332"/>
    <w:rsid w:val="0080235F"/>
    <w:rsid w:val="00802F7A"/>
    <w:rsid w:val="00804E43"/>
    <w:rsid w:val="00806A1C"/>
    <w:rsid w:val="0080773A"/>
    <w:rsid w:val="008173F3"/>
    <w:rsid w:val="0082117C"/>
    <w:rsid w:val="008227E9"/>
    <w:rsid w:val="008252C5"/>
    <w:rsid w:val="00826D5A"/>
    <w:rsid w:val="00831860"/>
    <w:rsid w:val="00832F2D"/>
    <w:rsid w:val="00835387"/>
    <w:rsid w:val="00836C6A"/>
    <w:rsid w:val="00841C9F"/>
    <w:rsid w:val="0084294E"/>
    <w:rsid w:val="00843EFF"/>
    <w:rsid w:val="008442A5"/>
    <w:rsid w:val="008453B0"/>
    <w:rsid w:val="008477A9"/>
    <w:rsid w:val="00852DF7"/>
    <w:rsid w:val="0085416A"/>
    <w:rsid w:val="00856B0F"/>
    <w:rsid w:val="00856D48"/>
    <w:rsid w:val="0087186A"/>
    <w:rsid w:val="00872C56"/>
    <w:rsid w:val="00874F67"/>
    <w:rsid w:val="00876AC2"/>
    <w:rsid w:val="00883F43"/>
    <w:rsid w:val="00884C98"/>
    <w:rsid w:val="00884CE2"/>
    <w:rsid w:val="00885E7D"/>
    <w:rsid w:val="00892C69"/>
    <w:rsid w:val="0089363F"/>
    <w:rsid w:val="00894D05"/>
    <w:rsid w:val="00896ED8"/>
    <w:rsid w:val="008A0346"/>
    <w:rsid w:val="008A209D"/>
    <w:rsid w:val="008A2436"/>
    <w:rsid w:val="008A4E8C"/>
    <w:rsid w:val="008A563D"/>
    <w:rsid w:val="008A5FD5"/>
    <w:rsid w:val="008B19E0"/>
    <w:rsid w:val="008B3B0A"/>
    <w:rsid w:val="008C2BA0"/>
    <w:rsid w:val="008C69F2"/>
    <w:rsid w:val="008D1D44"/>
    <w:rsid w:val="008D3E6C"/>
    <w:rsid w:val="008D48F1"/>
    <w:rsid w:val="008D4B3B"/>
    <w:rsid w:val="008E04EC"/>
    <w:rsid w:val="008E3737"/>
    <w:rsid w:val="008E41D7"/>
    <w:rsid w:val="008E43F4"/>
    <w:rsid w:val="008E4AB2"/>
    <w:rsid w:val="008E6C8B"/>
    <w:rsid w:val="008E7C96"/>
    <w:rsid w:val="008F42F6"/>
    <w:rsid w:val="008F5282"/>
    <w:rsid w:val="00911992"/>
    <w:rsid w:val="00912BAC"/>
    <w:rsid w:val="00915D62"/>
    <w:rsid w:val="00925058"/>
    <w:rsid w:val="00926CDB"/>
    <w:rsid w:val="00930113"/>
    <w:rsid w:val="009356EC"/>
    <w:rsid w:val="00937E0D"/>
    <w:rsid w:val="00937FB2"/>
    <w:rsid w:val="0094114F"/>
    <w:rsid w:val="00955495"/>
    <w:rsid w:val="0095690D"/>
    <w:rsid w:val="009609C5"/>
    <w:rsid w:val="00961A51"/>
    <w:rsid w:val="00965B1A"/>
    <w:rsid w:val="00971B57"/>
    <w:rsid w:val="00976933"/>
    <w:rsid w:val="00981893"/>
    <w:rsid w:val="00984974"/>
    <w:rsid w:val="00986438"/>
    <w:rsid w:val="00987DBF"/>
    <w:rsid w:val="009970F9"/>
    <w:rsid w:val="009A5590"/>
    <w:rsid w:val="009C3837"/>
    <w:rsid w:val="009C44BD"/>
    <w:rsid w:val="009C48B9"/>
    <w:rsid w:val="009C537F"/>
    <w:rsid w:val="009D0585"/>
    <w:rsid w:val="009D2BB3"/>
    <w:rsid w:val="009D5040"/>
    <w:rsid w:val="009E0846"/>
    <w:rsid w:val="009E1EF4"/>
    <w:rsid w:val="009E1F32"/>
    <w:rsid w:val="009E4BD5"/>
    <w:rsid w:val="009F1BE0"/>
    <w:rsid w:val="009F7CED"/>
    <w:rsid w:val="00A04569"/>
    <w:rsid w:val="00A0736A"/>
    <w:rsid w:val="00A07DE7"/>
    <w:rsid w:val="00A120D6"/>
    <w:rsid w:val="00A1301A"/>
    <w:rsid w:val="00A14C37"/>
    <w:rsid w:val="00A161B9"/>
    <w:rsid w:val="00A219D7"/>
    <w:rsid w:val="00A274C7"/>
    <w:rsid w:val="00A2785C"/>
    <w:rsid w:val="00A33DCF"/>
    <w:rsid w:val="00A377FE"/>
    <w:rsid w:val="00A4128C"/>
    <w:rsid w:val="00A41AC2"/>
    <w:rsid w:val="00A41AEF"/>
    <w:rsid w:val="00A447B3"/>
    <w:rsid w:val="00A500DD"/>
    <w:rsid w:val="00A52C3F"/>
    <w:rsid w:val="00A55DB6"/>
    <w:rsid w:val="00A61784"/>
    <w:rsid w:val="00A64120"/>
    <w:rsid w:val="00A66D8F"/>
    <w:rsid w:val="00A72973"/>
    <w:rsid w:val="00A74AFD"/>
    <w:rsid w:val="00A80613"/>
    <w:rsid w:val="00A83370"/>
    <w:rsid w:val="00A83A98"/>
    <w:rsid w:val="00A85AEA"/>
    <w:rsid w:val="00A9220A"/>
    <w:rsid w:val="00A94019"/>
    <w:rsid w:val="00A9543E"/>
    <w:rsid w:val="00AA28E8"/>
    <w:rsid w:val="00AB0708"/>
    <w:rsid w:val="00AB0C45"/>
    <w:rsid w:val="00AB508D"/>
    <w:rsid w:val="00AB6652"/>
    <w:rsid w:val="00AC1AF8"/>
    <w:rsid w:val="00AC202E"/>
    <w:rsid w:val="00AC447D"/>
    <w:rsid w:val="00AC618D"/>
    <w:rsid w:val="00AD1558"/>
    <w:rsid w:val="00AD5446"/>
    <w:rsid w:val="00AD623F"/>
    <w:rsid w:val="00AD73D5"/>
    <w:rsid w:val="00AE03F3"/>
    <w:rsid w:val="00AE581E"/>
    <w:rsid w:val="00AE6712"/>
    <w:rsid w:val="00AF5E71"/>
    <w:rsid w:val="00B13AE3"/>
    <w:rsid w:val="00B210D2"/>
    <w:rsid w:val="00B25550"/>
    <w:rsid w:val="00B30DCD"/>
    <w:rsid w:val="00B31D24"/>
    <w:rsid w:val="00B3206B"/>
    <w:rsid w:val="00B32F25"/>
    <w:rsid w:val="00B35647"/>
    <w:rsid w:val="00B377D3"/>
    <w:rsid w:val="00B4178F"/>
    <w:rsid w:val="00B4216E"/>
    <w:rsid w:val="00B448DC"/>
    <w:rsid w:val="00B46041"/>
    <w:rsid w:val="00B463AC"/>
    <w:rsid w:val="00B51095"/>
    <w:rsid w:val="00B510D4"/>
    <w:rsid w:val="00B531A8"/>
    <w:rsid w:val="00B54EDD"/>
    <w:rsid w:val="00B6123C"/>
    <w:rsid w:val="00B61CA6"/>
    <w:rsid w:val="00B6299B"/>
    <w:rsid w:val="00B65F1B"/>
    <w:rsid w:val="00B66D03"/>
    <w:rsid w:val="00B7000F"/>
    <w:rsid w:val="00B729FC"/>
    <w:rsid w:val="00B73EC6"/>
    <w:rsid w:val="00B766E4"/>
    <w:rsid w:val="00B8326D"/>
    <w:rsid w:val="00B84AF8"/>
    <w:rsid w:val="00B872E2"/>
    <w:rsid w:val="00B87816"/>
    <w:rsid w:val="00B937B6"/>
    <w:rsid w:val="00BA450F"/>
    <w:rsid w:val="00BB4807"/>
    <w:rsid w:val="00BB545F"/>
    <w:rsid w:val="00BD4B65"/>
    <w:rsid w:val="00BE280C"/>
    <w:rsid w:val="00BE4B3E"/>
    <w:rsid w:val="00BF054E"/>
    <w:rsid w:val="00BF0DB9"/>
    <w:rsid w:val="00C03C32"/>
    <w:rsid w:val="00C12B93"/>
    <w:rsid w:val="00C1339D"/>
    <w:rsid w:val="00C134C3"/>
    <w:rsid w:val="00C22CBA"/>
    <w:rsid w:val="00C25244"/>
    <w:rsid w:val="00C26C14"/>
    <w:rsid w:val="00C27D76"/>
    <w:rsid w:val="00C30D14"/>
    <w:rsid w:val="00C31D59"/>
    <w:rsid w:val="00C36892"/>
    <w:rsid w:val="00C4009A"/>
    <w:rsid w:val="00C401C2"/>
    <w:rsid w:val="00C46330"/>
    <w:rsid w:val="00C47F73"/>
    <w:rsid w:val="00C52E86"/>
    <w:rsid w:val="00C6077B"/>
    <w:rsid w:val="00C61441"/>
    <w:rsid w:val="00C7294E"/>
    <w:rsid w:val="00C75EC5"/>
    <w:rsid w:val="00C87715"/>
    <w:rsid w:val="00C91F90"/>
    <w:rsid w:val="00C97526"/>
    <w:rsid w:val="00CA57DF"/>
    <w:rsid w:val="00CB0063"/>
    <w:rsid w:val="00CB0BB9"/>
    <w:rsid w:val="00CB0C7D"/>
    <w:rsid w:val="00CB4D37"/>
    <w:rsid w:val="00CB66F7"/>
    <w:rsid w:val="00CC0C62"/>
    <w:rsid w:val="00CC259C"/>
    <w:rsid w:val="00CC2E0E"/>
    <w:rsid w:val="00CC42D1"/>
    <w:rsid w:val="00CC5B3E"/>
    <w:rsid w:val="00CE12E5"/>
    <w:rsid w:val="00CE1A87"/>
    <w:rsid w:val="00CE28CE"/>
    <w:rsid w:val="00CE5490"/>
    <w:rsid w:val="00CF207B"/>
    <w:rsid w:val="00CF25EF"/>
    <w:rsid w:val="00D020C3"/>
    <w:rsid w:val="00D04A96"/>
    <w:rsid w:val="00D05B67"/>
    <w:rsid w:val="00D05D52"/>
    <w:rsid w:val="00D0710D"/>
    <w:rsid w:val="00D24980"/>
    <w:rsid w:val="00D26D53"/>
    <w:rsid w:val="00D31F43"/>
    <w:rsid w:val="00D36D54"/>
    <w:rsid w:val="00D40E59"/>
    <w:rsid w:val="00D415E6"/>
    <w:rsid w:val="00D434D0"/>
    <w:rsid w:val="00D444C5"/>
    <w:rsid w:val="00D530DC"/>
    <w:rsid w:val="00D62023"/>
    <w:rsid w:val="00D7070F"/>
    <w:rsid w:val="00D709DD"/>
    <w:rsid w:val="00D72F29"/>
    <w:rsid w:val="00D768D9"/>
    <w:rsid w:val="00D8294A"/>
    <w:rsid w:val="00D83F98"/>
    <w:rsid w:val="00D84A75"/>
    <w:rsid w:val="00D85F90"/>
    <w:rsid w:val="00D90649"/>
    <w:rsid w:val="00D91E89"/>
    <w:rsid w:val="00D9213D"/>
    <w:rsid w:val="00D965B1"/>
    <w:rsid w:val="00D96F1F"/>
    <w:rsid w:val="00D97DF9"/>
    <w:rsid w:val="00DA6526"/>
    <w:rsid w:val="00DA6C54"/>
    <w:rsid w:val="00DB1EAF"/>
    <w:rsid w:val="00DC16E5"/>
    <w:rsid w:val="00DC54A3"/>
    <w:rsid w:val="00DD181C"/>
    <w:rsid w:val="00DD2F2C"/>
    <w:rsid w:val="00DD48D9"/>
    <w:rsid w:val="00DE1540"/>
    <w:rsid w:val="00DE520C"/>
    <w:rsid w:val="00DF1E66"/>
    <w:rsid w:val="00DF60FD"/>
    <w:rsid w:val="00DF6410"/>
    <w:rsid w:val="00E007F7"/>
    <w:rsid w:val="00E05F18"/>
    <w:rsid w:val="00E06A27"/>
    <w:rsid w:val="00E10931"/>
    <w:rsid w:val="00E12202"/>
    <w:rsid w:val="00E242C5"/>
    <w:rsid w:val="00E24673"/>
    <w:rsid w:val="00E24F26"/>
    <w:rsid w:val="00E25FEA"/>
    <w:rsid w:val="00E261B4"/>
    <w:rsid w:val="00E26BB9"/>
    <w:rsid w:val="00E31E85"/>
    <w:rsid w:val="00E34ECF"/>
    <w:rsid w:val="00E407FF"/>
    <w:rsid w:val="00E40C34"/>
    <w:rsid w:val="00E41E2C"/>
    <w:rsid w:val="00E44207"/>
    <w:rsid w:val="00E44CFC"/>
    <w:rsid w:val="00E66C57"/>
    <w:rsid w:val="00E66D00"/>
    <w:rsid w:val="00E7034A"/>
    <w:rsid w:val="00E7112B"/>
    <w:rsid w:val="00E7224C"/>
    <w:rsid w:val="00E729F2"/>
    <w:rsid w:val="00E75DBD"/>
    <w:rsid w:val="00E805D3"/>
    <w:rsid w:val="00E80826"/>
    <w:rsid w:val="00E84DA1"/>
    <w:rsid w:val="00E84EBB"/>
    <w:rsid w:val="00E91332"/>
    <w:rsid w:val="00EA3045"/>
    <w:rsid w:val="00EC1DE8"/>
    <w:rsid w:val="00EC2105"/>
    <w:rsid w:val="00EC2A2F"/>
    <w:rsid w:val="00EC2D9F"/>
    <w:rsid w:val="00EC35AE"/>
    <w:rsid w:val="00EC6413"/>
    <w:rsid w:val="00ED4708"/>
    <w:rsid w:val="00EE0D69"/>
    <w:rsid w:val="00EE0F26"/>
    <w:rsid w:val="00EE2ABB"/>
    <w:rsid w:val="00EF192B"/>
    <w:rsid w:val="00F06B8A"/>
    <w:rsid w:val="00F07A7D"/>
    <w:rsid w:val="00F1155A"/>
    <w:rsid w:val="00F153C1"/>
    <w:rsid w:val="00F16839"/>
    <w:rsid w:val="00F211E7"/>
    <w:rsid w:val="00F21D37"/>
    <w:rsid w:val="00F221F0"/>
    <w:rsid w:val="00F26136"/>
    <w:rsid w:val="00F2713B"/>
    <w:rsid w:val="00F305D8"/>
    <w:rsid w:val="00F34CE1"/>
    <w:rsid w:val="00F37106"/>
    <w:rsid w:val="00F44A2E"/>
    <w:rsid w:val="00F47D57"/>
    <w:rsid w:val="00F55DC4"/>
    <w:rsid w:val="00F576B3"/>
    <w:rsid w:val="00F6477B"/>
    <w:rsid w:val="00F745E1"/>
    <w:rsid w:val="00F75A79"/>
    <w:rsid w:val="00F7620E"/>
    <w:rsid w:val="00F76341"/>
    <w:rsid w:val="00F775AD"/>
    <w:rsid w:val="00F77A8F"/>
    <w:rsid w:val="00F80E07"/>
    <w:rsid w:val="00F90326"/>
    <w:rsid w:val="00F90F86"/>
    <w:rsid w:val="00F92951"/>
    <w:rsid w:val="00F92DF0"/>
    <w:rsid w:val="00FA0454"/>
    <w:rsid w:val="00FA0DB3"/>
    <w:rsid w:val="00FA4A9E"/>
    <w:rsid w:val="00FA76BE"/>
    <w:rsid w:val="00FB1248"/>
    <w:rsid w:val="00FB217D"/>
    <w:rsid w:val="00FB29CC"/>
    <w:rsid w:val="00FC0522"/>
    <w:rsid w:val="00FC2DE3"/>
    <w:rsid w:val="00FD3D04"/>
    <w:rsid w:val="00FD49A0"/>
    <w:rsid w:val="00FD56B0"/>
    <w:rsid w:val="00FE27DE"/>
    <w:rsid w:val="00FF66C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67B7DBC-D936-4B73-B2ED-6292388C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uiPriority="35"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Pr>
      <w:rFonts w:ascii="Arial" w:hAnsi="Arial"/>
      <w:lang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BodyText21">
    <w:name w:val="Body Text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BodyText31">
    <w:name w:val="Body Text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styleId="Cuadrculamedia1-nfasis2">
    <w:name w:val="Medium Grid 1 Accent 2"/>
    <w:aliases w:val="Normal. Viñetas,Medium Grid 1 - Accent 21,titulo 3,Bullets,Lista vistosa - Énfasis 11,Párrafo de lista1,List1,Fluvial1,Ha,HOJA,Bolita,Párrafo de lista4,BOLADEF,Párrafo de lista3,Párrafo de lista21,BOLA,Nivel 1 OS"/>
    <w:basedOn w:val="Normal"/>
    <w:link w:val="Cuadrculamedia1-nfasis2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basedOn w:val="Normal"/>
    <w:link w:val="TextonotapieCar"/>
    <w:uiPriority w:val="99"/>
    <w:rsid w:val="00925058"/>
    <w:rPr>
      <w:rFonts w:ascii="Times" w:eastAsia="Times" w:hAnsi="Times"/>
      <w:lang w:val="en-US"/>
    </w:rPr>
  </w:style>
  <w:style w:type="character" w:customStyle="1" w:styleId="TextonotapieCar">
    <w:name w:val="Texto nota pie Car"/>
    <w:link w:val="Textonotapie"/>
    <w:uiPriority w:val="99"/>
    <w:rsid w:val="00925058"/>
    <w:rPr>
      <w:rFonts w:ascii="Times" w:eastAsia="Times" w:hAnsi="Times"/>
      <w:lang w:val="en-US" w:eastAsia="es-ES"/>
    </w:rPr>
  </w:style>
  <w:style w:type="character" w:styleId="Refdenotaalpie">
    <w:name w:val="footnote reference"/>
    <w:uiPriority w:val="99"/>
    <w:rsid w:val="00925058"/>
    <w:rPr>
      <w:vertAlign w:val="superscript"/>
    </w:rPr>
  </w:style>
  <w:style w:type="paragraph" w:styleId="Sombreadomedio1-nfasis1">
    <w:name w:val="Medium Shading 1 Accent 1"/>
    <w:qFormat/>
    <w:rsid w:val="00236F62"/>
    <w:rPr>
      <w:rFonts w:ascii="Calibri" w:eastAsia="Calibri" w:hAnsi="Calibri"/>
      <w:sz w:val="22"/>
      <w:szCs w:val="22"/>
      <w:lang w:val="es-CO"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Cuadrculamedia1-nfasis2Car">
    <w:name w:val="Cuadrícula media 1 - Énfasis 2 Car"/>
    <w:aliases w:val="Normal. Viñetas Car,Medium Grid 1 - Accent 21 Car,titulo 3 Car,Bullets Car,Lista vistosa - Énfasis 11 Car,Párrafo de lista1 Car,List1 Car,Fluvial1 Car,Ha Car,HOJA Car,Bolita Car,Párrafo de lista4 Car,BOLADEF Car"/>
    <w:link w:val="Cuadrculamedia1-nfasis2"/>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vistosa-nfasis1">
    <w:name w:val="Colorful List Accent 1"/>
    <w:basedOn w:val="Normal"/>
    <w:uiPriority w:val="72"/>
    <w:qFormat/>
    <w:rsid w:val="0049040C"/>
    <w:pPr>
      <w:ind w:left="720"/>
      <w:contextualSpacing/>
    </w:pPr>
    <w:rPr>
      <w:rFonts w:ascii="Times New Roman" w:hAnsi="Times New Roman"/>
      <w:sz w:val="24"/>
      <w:szCs w:val="24"/>
      <w:lang w:val="es-CO"/>
    </w:rPr>
  </w:style>
  <w:style w:type="paragraph" w:customStyle="1" w:styleId="TableParagraph">
    <w:name w:val="Table Paragraph"/>
    <w:basedOn w:val="Normal"/>
    <w:uiPriority w:val="1"/>
    <w:qFormat/>
    <w:rsid w:val="0049040C"/>
    <w:pPr>
      <w:suppressAutoHyphens/>
      <w:ind w:left="107"/>
    </w:pPr>
    <w:rPr>
      <w:rFonts w:eastAsia="Arial" w:cs="Arial"/>
      <w:sz w:val="22"/>
      <w:szCs w:val="22"/>
      <w:lang w:bidi="es-ES"/>
    </w:rPr>
  </w:style>
  <w:style w:type="paragraph" w:customStyle="1" w:styleId="caption">
    <w:name w:val="caption"/>
    <w:basedOn w:val="Normal"/>
    <w:rsid w:val="0049040C"/>
    <w:pPr>
      <w:suppressAutoHyphens/>
      <w:spacing w:after="200"/>
    </w:pPr>
    <w:rPr>
      <w:rFonts w:ascii="Times New Roman" w:hAnsi="Times New Roman"/>
      <w:i/>
      <w:iCs/>
      <w:color w:val="1F497D"/>
      <w:sz w:val="18"/>
      <w:szCs w:val="18"/>
      <w:lang w:val="es-CO" w:eastAsia="ar-SA"/>
    </w:rPr>
  </w:style>
  <w:style w:type="paragraph" w:customStyle="1" w:styleId="footnotetext">
    <w:name w:val="footnote text"/>
    <w:basedOn w:val="Normal"/>
    <w:rsid w:val="0049040C"/>
    <w:pPr>
      <w:suppressAutoHyphens/>
    </w:pPr>
    <w:rPr>
      <w:rFonts w:eastAsia="Arial" w:cs="Arial"/>
      <w:lang w:bidi="es-ES"/>
    </w:rPr>
  </w:style>
  <w:style w:type="paragraph" w:styleId="Descripcin">
    <w:name w:val="caption"/>
    <w:basedOn w:val="Normal"/>
    <w:next w:val="Normal"/>
    <w:uiPriority w:val="35"/>
    <w:qFormat/>
    <w:rsid w:val="0049040C"/>
    <w:pPr>
      <w:spacing w:after="200"/>
    </w:pPr>
    <w:rPr>
      <w:rFonts w:ascii="Calibri" w:eastAsia="Calibri" w:hAnsi="Calibri" w:cs="Arial"/>
      <w:i/>
      <w:iCs/>
      <w:color w:val="44546A"/>
      <w:sz w:val="18"/>
      <w:szCs w:val="18"/>
      <w:lang w:val="es-CO" w:eastAsia="en-US"/>
    </w:rPr>
  </w:style>
  <w:style w:type="character" w:customStyle="1" w:styleId="baj">
    <w:name w:val="b_aj"/>
    <w:rsid w:val="00197962"/>
  </w:style>
  <w:style w:type="paragraph" w:customStyle="1" w:styleId="paragraph">
    <w:name w:val="paragraph"/>
    <w:basedOn w:val="Normal"/>
    <w:uiPriority w:val="99"/>
    <w:rsid w:val="00E10931"/>
    <w:pPr>
      <w:spacing w:before="100" w:beforeAutospacing="1" w:after="100" w:afterAutospacing="1" w:line="254" w:lineRule="auto"/>
    </w:pPr>
    <w:rPr>
      <w:rFonts w:ascii="Calibri" w:eastAsia="Calibri" w:hAnsi="Calibri"/>
      <w:sz w:val="22"/>
      <w:szCs w:val="22"/>
      <w:lang w:val="es-CO" w:eastAsia="es-CO"/>
    </w:rPr>
  </w:style>
  <w:style w:type="character" w:customStyle="1" w:styleId="normaltextrun">
    <w:name w:val="normaltextrun"/>
    <w:rsid w:val="00E10931"/>
  </w:style>
  <w:style w:type="character" w:customStyle="1" w:styleId="eop">
    <w:name w:val="eop"/>
    <w:rsid w:val="00E10931"/>
  </w:style>
  <w:style w:type="paragraph" w:customStyle="1" w:styleId="xxmsonormal">
    <w:name w:val="x_x_msonormal"/>
    <w:basedOn w:val="Normal"/>
    <w:uiPriority w:val="99"/>
    <w:rsid w:val="00573388"/>
    <w:pPr>
      <w:spacing w:before="100" w:beforeAutospacing="1" w:after="100" w:afterAutospacing="1"/>
    </w:pPr>
    <w:rPr>
      <w:rFonts w:ascii="Times New Roman" w:hAnsi="Times New Roman"/>
      <w:sz w:val="24"/>
      <w:szCs w:val="24"/>
      <w:lang w:val="es-CO" w:eastAsia="es-CO"/>
    </w:rPr>
  </w:style>
  <w:style w:type="character" w:customStyle="1" w:styleId="MediumGrid1-Accent2Char">
    <w:name w:val="Medium Grid 1 - Accent 2 Char"/>
    <w:aliases w:val="titulo 3 Char,Bullets Char,Lista vistosa - Énfasis 11 Char,Párrafo de lista1 Char,List Char,Fluvial1 Char,Ha Char,Normal. Viñetas Char,HOJA Char,Bolita Char,Párrafo de lista4 Char,BOLADEF Char,Párrafo de lista3 Char"/>
    <w:uiPriority w:val="34"/>
    <w:locked/>
    <w:rsid w:val="00F77A8F"/>
    <w:rPr>
      <w:rFonts w:ascii="Calibri" w:eastAsia="Calibri" w:hAnsi="Calibri"/>
      <w:sz w:val="22"/>
      <w:szCs w:val="22"/>
    </w:rPr>
  </w:style>
  <w:style w:type="paragraph" w:styleId="Cuadrculamedia2">
    <w:name w:val="Medium Grid 2"/>
    <w:uiPriority w:val="1"/>
    <w:qFormat/>
    <w:rsid w:val="00915D62"/>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7207">
      <w:bodyDiv w:val="1"/>
      <w:marLeft w:val="0"/>
      <w:marRight w:val="0"/>
      <w:marTop w:val="0"/>
      <w:marBottom w:val="0"/>
      <w:divBdr>
        <w:top w:val="none" w:sz="0" w:space="0" w:color="auto"/>
        <w:left w:val="none" w:sz="0" w:space="0" w:color="auto"/>
        <w:bottom w:val="none" w:sz="0" w:space="0" w:color="auto"/>
        <w:right w:val="none" w:sz="0" w:space="0" w:color="auto"/>
      </w:divBdr>
      <w:divsChild>
        <w:div w:id="977338801">
          <w:marLeft w:val="0"/>
          <w:marRight w:val="0"/>
          <w:marTop w:val="0"/>
          <w:marBottom w:val="0"/>
          <w:divBdr>
            <w:top w:val="none" w:sz="0" w:space="0" w:color="auto"/>
            <w:left w:val="none" w:sz="0" w:space="0" w:color="auto"/>
            <w:bottom w:val="none" w:sz="0" w:space="0" w:color="auto"/>
            <w:right w:val="none" w:sz="0" w:space="0" w:color="auto"/>
          </w:divBdr>
        </w:div>
        <w:div w:id="1033338142">
          <w:marLeft w:val="0"/>
          <w:marRight w:val="0"/>
          <w:marTop w:val="0"/>
          <w:marBottom w:val="150"/>
          <w:divBdr>
            <w:top w:val="none" w:sz="0" w:space="0" w:color="auto"/>
            <w:left w:val="none" w:sz="0" w:space="0" w:color="auto"/>
            <w:bottom w:val="none" w:sz="0" w:space="0" w:color="auto"/>
            <w:right w:val="none" w:sz="0" w:space="0" w:color="auto"/>
          </w:divBdr>
        </w:div>
        <w:div w:id="2086878864">
          <w:marLeft w:val="0"/>
          <w:marRight w:val="0"/>
          <w:marTop w:val="0"/>
          <w:marBottom w:val="150"/>
          <w:divBdr>
            <w:top w:val="none" w:sz="0" w:space="0" w:color="auto"/>
            <w:left w:val="none" w:sz="0" w:space="0" w:color="auto"/>
            <w:bottom w:val="none" w:sz="0" w:space="0" w:color="auto"/>
            <w:right w:val="none" w:sz="0" w:space="0" w:color="auto"/>
          </w:divBdr>
        </w:div>
      </w:divsChild>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884563909">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37131818">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13699723">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 w:id="21230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AD892-73B6-5943-9BB9-27DE6A52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4470</Words>
  <Characters>24590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dafp</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dc:description/>
  <cp:lastModifiedBy>Usuario de Microsoft Office</cp:lastModifiedBy>
  <cp:revision>105</cp:revision>
  <cp:lastPrinted>2019-07-09T00:30:00Z</cp:lastPrinted>
  <dcterms:created xsi:type="dcterms:W3CDTF">2022-02-04T15:59:00Z</dcterms:created>
  <dcterms:modified xsi:type="dcterms:W3CDTF">2022-02-04T15:59:00Z</dcterms:modified>
</cp:coreProperties>
</file>