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4"/>
        <w:gridCol w:w="4221"/>
        <w:gridCol w:w="3119"/>
      </w:tblGrid>
      <w:tr w:rsidR="005C4522" w:rsidRPr="009F7CED" w14:paraId="4FCEF694" w14:textId="77777777" w:rsidTr="00696582">
        <w:trPr>
          <w:trHeight w:val="97"/>
        </w:trPr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8AFF"/>
            <w:vAlign w:val="center"/>
          </w:tcPr>
          <w:p w14:paraId="304E5DAA" w14:textId="77777777" w:rsidR="0026513E" w:rsidRPr="00D965B1" w:rsidRDefault="00795C6B" w:rsidP="002264B8">
            <w:pPr>
              <w:pStyle w:val="Ttulo2"/>
              <w:ind w:right="72"/>
              <w:jc w:val="left"/>
              <w:rPr>
                <w:rFonts w:cs="Arial"/>
                <w:bCs/>
                <w:color w:val="FFFFFF"/>
                <w:sz w:val="22"/>
                <w:szCs w:val="22"/>
              </w:rPr>
            </w:pPr>
            <w:r w:rsidRPr="00D965B1">
              <w:rPr>
                <w:rFonts w:cs="Arial"/>
                <w:color w:val="FFFFFF"/>
                <w:sz w:val="22"/>
                <w:szCs w:val="22"/>
                <w:lang w:val="es-CO"/>
              </w:rPr>
              <w:t>Entidad</w:t>
            </w:r>
            <w:r w:rsidR="00086B16" w:rsidRPr="00D965B1">
              <w:rPr>
                <w:rFonts w:cs="Arial"/>
                <w:color w:val="FFFFFF"/>
                <w:sz w:val="22"/>
                <w:szCs w:val="22"/>
                <w:lang w:val="es-CO"/>
              </w:rPr>
              <w:t xml:space="preserve"> </w:t>
            </w:r>
            <w:r w:rsidRPr="00D965B1">
              <w:rPr>
                <w:rFonts w:cs="Arial"/>
                <w:color w:val="FFFFFF"/>
                <w:sz w:val="22"/>
                <w:szCs w:val="22"/>
                <w:lang w:val="es-CO"/>
              </w:rPr>
              <w:t>originadora</w:t>
            </w:r>
            <w:r w:rsidR="00293F29" w:rsidRPr="00D965B1">
              <w:rPr>
                <w:rFonts w:cs="Arial"/>
                <w:color w:val="FFFFFF"/>
                <w:sz w:val="22"/>
                <w:szCs w:val="22"/>
                <w:lang w:val="es-CO"/>
              </w:rPr>
              <w:t>: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6C037F" w14:textId="77777777" w:rsidR="0026513E" w:rsidRPr="00CD4DFE" w:rsidRDefault="00941E01" w:rsidP="00795C6B">
            <w:pPr>
              <w:pStyle w:val="Ttulo2"/>
              <w:ind w:left="72" w:right="72"/>
              <w:jc w:val="left"/>
              <w:rPr>
                <w:rFonts w:cs="Arial"/>
                <w:b w:val="0"/>
                <w:bCs/>
                <w:i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Ministerio de Ambiente, Ciudad y Territorio</w:t>
            </w:r>
          </w:p>
        </w:tc>
      </w:tr>
      <w:tr w:rsidR="005C4522" w:rsidRPr="009F7CED" w14:paraId="1C3F61FF" w14:textId="77777777" w:rsidTr="00696582">
        <w:trPr>
          <w:trHeight w:val="97"/>
        </w:trPr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8AFF"/>
            <w:vAlign w:val="center"/>
          </w:tcPr>
          <w:p w14:paraId="51D664A1" w14:textId="77777777" w:rsidR="00C47F73" w:rsidRPr="00D965B1" w:rsidRDefault="0026513E" w:rsidP="002264B8">
            <w:pPr>
              <w:pStyle w:val="Ttulo2"/>
              <w:ind w:right="72"/>
              <w:jc w:val="left"/>
              <w:rPr>
                <w:rFonts w:cs="Arial"/>
                <w:bCs/>
                <w:color w:val="FFFFFF"/>
                <w:sz w:val="22"/>
                <w:szCs w:val="22"/>
              </w:rPr>
            </w:pPr>
            <w:r w:rsidRPr="00D965B1">
              <w:rPr>
                <w:rFonts w:cs="Arial"/>
                <w:bCs/>
                <w:color w:val="FFFFFF"/>
                <w:sz w:val="22"/>
                <w:szCs w:val="22"/>
              </w:rPr>
              <w:t>Fecha</w:t>
            </w:r>
            <w:r w:rsidR="00BB545F" w:rsidRPr="00D965B1">
              <w:rPr>
                <w:rFonts w:cs="Arial"/>
                <w:bCs/>
                <w:color w:val="FFFFFF"/>
                <w:sz w:val="22"/>
                <w:szCs w:val="22"/>
              </w:rPr>
              <w:t xml:space="preserve"> (</w:t>
            </w:r>
            <w:proofErr w:type="spellStart"/>
            <w:r w:rsidR="00BB545F" w:rsidRPr="00D965B1">
              <w:rPr>
                <w:rFonts w:cs="Arial"/>
                <w:bCs/>
                <w:color w:val="FFFFFF"/>
                <w:sz w:val="22"/>
                <w:szCs w:val="22"/>
              </w:rPr>
              <w:t>dd</w:t>
            </w:r>
            <w:proofErr w:type="spellEnd"/>
            <w:r w:rsidR="00BB545F" w:rsidRPr="00D965B1">
              <w:rPr>
                <w:rFonts w:cs="Arial"/>
                <w:bCs/>
                <w:color w:val="FFFFFF"/>
                <w:sz w:val="22"/>
                <w:szCs w:val="22"/>
              </w:rPr>
              <w:t>/mm/</w:t>
            </w:r>
            <w:proofErr w:type="spellStart"/>
            <w:r w:rsidR="00BB545F" w:rsidRPr="00D965B1">
              <w:rPr>
                <w:rFonts w:cs="Arial"/>
                <w:bCs/>
                <w:color w:val="FFFFFF"/>
                <w:sz w:val="22"/>
                <w:szCs w:val="22"/>
              </w:rPr>
              <w:t>aa</w:t>
            </w:r>
            <w:proofErr w:type="spellEnd"/>
            <w:r w:rsidR="00BB545F" w:rsidRPr="00D965B1">
              <w:rPr>
                <w:rFonts w:cs="Arial"/>
                <w:bCs/>
                <w:color w:val="FFFFFF"/>
                <w:sz w:val="22"/>
                <w:szCs w:val="22"/>
              </w:rPr>
              <w:t>)</w:t>
            </w:r>
            <w:r w:rsidR="00293F29" w:rsidRPr="00D965B1">
              <w:rPr>
                <w:rFonts w:cs="Arial"/>
                <w:bCs/>
                <w:color w:val="FFFFFF"/>
                <w:sz w:val="22"/>
                <w:szCs w:val="22"/>
              </w:rPr>
              <w:t>: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DF5EAA" w14:textId="1CDD888A" w:rsidR="00C47F73" w:rsidRPr="00FB02A6" w:rsidRDefault="00EF4494" w:rsidP="005F30C3">
            <w:pPr>
              <w:pStyle w:val="Ttulo2"/>
              <w:ind w:left="72" w:right="72"/>
              <w:jc w:val="left"/>
              <w:rPr>
                <w:rFonts w:cs="Arial"/>
                <w:b w:val="0"/>
                <w:iCs/>
                <w:sz w:val="22"/>
                <w:szCs w:val="22"/>
              </w:rPr>
            </w:pPr>
            <w:r>
              <w:rPr>
                <w:rFonts w:cs="Arial"/>
                <w:b w:val="0"/>
                <w:iCs/>
                <w:sz w:val="22"/>
                <w:szCs w:val="22"/>
              </w:rPr>
              <w:t>01/02/2022</w:t>
            </w:r>
          </w:p>
        </w:tc>
      </w:tr>
      <w:tr w:rsidR="005C4522" w:rsidRPr="009F7CED" w14:paraId="509E73B7" w14:textId="77777777" w:rsidTr="00696582">
        <w:trPr>
          <w:trHeight w:val="97"/>
        </w:trPr>
        <w:tc>
          <w:tcPr>
            <w:tcW w:w="3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8AFF"/>
            <w:vAlign w:val="center"/>
          </w:tcPr>
          <w:p w14:paraId="469F3CFE" w14:textId="77777777" w:rsidR="0059316B" w:rsidRPr="00D965B1" w:rsidRDefault="00A55DB6" w:rsidP="002264B8">
            <w:pPr>
              <w:pStyle w:val="Ttulo2"/>
              <w:ind w:right="72"/>
              <w:jc w:val="left"/>
              <w:rPr>
                <w:rFonts w:cs="Arial"/>
                <w:bCs/>
                <w:color w:val="FFFFFF"/>
                <w:sz w:val="22"/>
                <w:szCs w:val="22"/>
              </w:rPr>
            </w:pPr>
            <w:r w:rsidRPr="00D965B1">
              <w:rPr>
                <w:rFonts w:cs="Arial"/>
                <w:bCs/>
                <w:color w:val="FFFFFF"/>
                <w:sz w:val="22"/>
                <w:szCs w:val="22"/>
              </w:rPr>
              <w:t xml:space="preserve">Proyecto de </w:t>
            </w:r>
            <w:r w:rsidR="00587695" w:rsidRPr="00D965B1">
              <w:rPr>
                <w:rFonts w:cs="Arial"/>
                <w:bCs/>
                <w:color w:val="FFFFFF"/>
                <w:sz w:val="22"/>
                <w:szCs w:val="22"/>
              </w:rPr>
              <w:t>D</w:t>
            </w:r>
            <w:r w:rsidRPr="00D965B1">
              <w:rPr>
                <w:rFonts w:cs="Arial"/>
                <w:bCs/>
                <w:color w:val="FFFFFF"/>
                <w:sz w:val="22"/>
                <w:szCs w:val="22"/>
              </w:rPr>
              <w:t>ecreto</w:t>
            </w:r>
            <w:r w:rsidR="00795C6B" w:rsidRPr="00D965B1">
              <w:rPr>
                <w:rFonts w:cs="Arial"/>
                <w:bCs/>
                <w:color w:val="FFFFFF"/>
                <w:sz w:val="22"/>
                <w:szCs w:val="22"/>
              </w:rPr>
              <w:t>/Resolución</w:t>
            </w:r>
            <w:r w:rsidR="00293F29" w:rsidRPr="00D965B1">
              <w:rPr>
                <w:rFonts w:cs="Arial"/>
                <w:bCs/>
                <w:color w:val="FFFFFF"/>
                <w:sz w:val="22"/>
                <w:szCs w:val="22"/>
              </w:rPr>
              <w:t>: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F3AF71" w14:textId="77777777" w:rsidR="00CD4DFE" w:rsidRPr="00741191" w:rsidRDefault="007A19A1" w:rsidP="00741191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7A19A1">
              <w:rPr>
                <w:rStyle w:val="Ninguno"/>
                <w:rFonts w:cs="Arial"/>
                <w:i/>
                <w:iCs/>
                <w:color w:val="000000"/>
                <w:sz w:val="22"/>
                <w:szCs w:val="22"/>
              </w:rPr>
              <w:t xml:space="preserve">"Por medio del cual se modifica parcialmente </w:t>
            </w:r>
            <w:r w:rsidR="00941E01">
              <w:rPr>
                <w:rStyle w:val="Ninguno"/>
                <w:rFonts w:cs="Arial"/>
                <w:i/>
                <w:iCs/>
                <w:color w:val="000000"/>
                <w:sz w:val="22"/>
                <w:szCs w:val="22"/>
              </w:rPr>
              <w:t>el Decreto 1077 de 2015 en materia de planificación, manejo, aprovechamiento económico y sostenibilidad del espacio público”</w:t>
            </w:r>
          </w:p>
        </w:tc>
      </w:tr>
      <w:tr w:rsidR="00DF60FD" w:rsidRPr="009F7CED" w14:paraId="350DC3B9" w14:textId="77777777" w:rsidTr="0075705D">
        <w:trPr>
          <w:trHeight w:val="674"/>
        </w:trPr>
        <w:tc>
          <w:tcPr>
            <w:tcW w:w="10774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9CA225F" w14:textId="77777777" w:rsidR="00980829" w:rsidRPr="00354C35" w:rsidRDefault="00980829" w:rsidP="00980829">
            <w:pPr>
              <w:numPr>
                <w:ilvl w:val="0"/>
                <w:numId w:val="44"/>
              </w:numPr>
              <w:ind w:left="494"/>
              <w:rPr>
                <w:rFonts w:cs="Arial"/>
                <w:b/>
                <w:color w:val="000000"/>
                <w:sz w:val="22"/>
                <w:szCs w:val="22"/>
              </w:rPr>
            </w:pPr>
            <w:r w:rsidRPr="005F30C3">
              <w:rPr>
                <w:rFonts w:cs="Arial"/>
                <w:b/>
                <w:color w:val="000000"/>
                <w:sz w:val="22"/>
                <w:szCs w:val="22"/>
                <w:lang w:val="es-CO"/>
              </w:rPr>
              <w:t>ANTECEDENTES Y RAZONES DE OPORTUNIDAD Y CONVENIENCIA QUE JUSTIFICAN SU EXPEDICIÓN.</w:t>
            </w:r>
          </w:p>
          <w:p w14:paraId="26C6C789" w14:textId="77777777" w:rsidR="007721C6" w:rsidRPr="007721C6" w:rsidRDefault="007721C6" w:rsidP="007721C6">
            <w:pPr>
              <w:pStyle w:val="NormalWeb"/>
              <w:spacing w:line="254" w:lineRule="atLeast"/>
              <w:jc w:val="both"/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</w:pPr>
            <w:r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Diferentes acuerdo firmados de manera reciente configuran la agenda global actual en materia de desarrollo sostenible: La Nueva Agenda Urbana, la </w:t>
            </w:r>
            <w:r w:rsidRPr="007721C6">
              <w:rPr>
                <w:rFonts w:ascii="Arial" w:eastAsia="Times New Roman" w:hAnsi="Arial" w:cs="Arial"/>
                <w:color w:val="141414"/>
                <w:sz w:val="22"/>
                <w:szCs w:val="22"/>
                <w:lang w:val="en-US" w:eastAsia="es-419"/>
              </w:rPr>
              <w:t>Agenda 203</w:t>
            </w:r>
            <w:r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0 </w:t>
            </w:r>
            <w:r w:rsidRPr="007721C6">
              <w:rPr>
                <w:rFonts w:ascii="Arial" w:eastAsia="Times New Roman" w:hAnsi="Arial" w:cs="Arial"/>
                <w:color w:val="141414"/>
                <w:sz w:val="22"/>
                <w:szCs w:val="22"/>
                <w:lang w:val="en-US" w:eastAsia="es-419"/>
              </w:rPr>
              <w:t>para el Desarrollo Sostenible</w:t>
            </w:r>
            <w:r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 - </w:t>
            </w:r>
            <w:r w:rsidRPr="007721C6">
              <w:rPr>
                <w:rFonts w:ascii="Arial" w:eastAsia="Times New Roman" w:hAnsi="Arial" w:cs="Arial"/>
                <w:color w:val="141414"/>
                <w:sz w:val="22"/>
                <w:szCs w:val="22"/>
                <w:lang w:val="en-US" w:eastAsia="es-419"/>
              </w:rPr>
              <w:t>incluidos los Objetivos de Desarrollo Sostenible—, la Agenda</w:t>
            </w:r>
            <w:r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 </w:t>
            </w:r>
            <w:r w:rsidRPr="007721C6">
              <w:rPr>
                <w:rFonts w:ascii="Arial" w:eastAsia="Times New Roman" w:hAnsi="Arial" w:cs="Arial"/>
                <w:color w:val="141414"/>
                <w:sz w:val="22"/>
                <w:szCs w:val="22"/>
                <w:lang w:val="en-US" w:eastAsia="es-419"/>
              </w:rPr>
              <w:t>de Acción de Addis Abeba de la Tercera Conferencia Internacional sobre la Financiación para</w:t>
            </w:r>
            <w:r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 </w:t>
            </w:r>
            <w:r w:rsidRPr="007721C6">
              <w:rPr>
                <w:rFonts w:ascii="Arial" w:eastAsia="Times New Roman" w:hAnsi="Arial" w:cs="Arial"/>
                <w:color w:val="141414"/>
                <w:sz w:val="22"/>
                <w:szCs w:val="22"/>
                <w:lang w:val="en-US" w:eastAsia="es-419"/>
              </w:rPr>
              <w:t>el Desarroll</w:t>
            </w:r>
            <w:r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>o,</w:t>
            </w:r>
            <w:r w:rsidRPr="007721C6">
              <w:rPr>
                <w:rFonts w:ascii="Arial" w:eastAsia="Times New Roman" w:hAnsi="Arial" w:cs="Arial"/>
                <w:color w:val="141414"/>
                <w:sz w:val="22"/>
                <w:szCs w:val="22"/>
                <w:lang w:val="en-US" w:eastAsia="es-419"/>
              </w:rPr>
              <w:t xml:space="preserve"> el Acuerdo de París aprobado en virtud de la Convención Marco de las Naciones</w:t>
            </w:r>
            <w:r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 </w:t>
            </w:r>
            <w:r w:rsidRPr="007721C6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>Unidas sobre el Cambio Climático</w:t>
            </w:r>
            <w:r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>,</w:t>
            </w:r>
            <w:r w:rsidRPr="007721C6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 el Marco de </w:t>
            </w:r>
            <w:proofErr w:type="spellStart"/>
            <w:r w:rsidRPr="007721C6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>Sendái</w:t>
            </w:r>
            <w:proofErr w:type="spellEnd"/>
            <w:r w:rsidRPr="007721C6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 para la Reducción del Riesgo de Desastres</w:t>
            </w:r>
            <w:r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 </w:t>
            </w:r>
            <w:r w:rsidRPr="007721C6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2015-2030, </w:t>
            </w:r>
            <w:r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la </w:t>
            </w:r>
            <w:r w:rsidRPr="007721C6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>Declaración de Río sobre el Medio Ambiente y el Desarrollo, la Cumbre Mundial sobre el Desarrollo</w:t>
            </w:r>
            <w:r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 </w:t>
            </w:r>
            <w:r w:rsidRPr="007721C6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>Sostenible, la Cumbre Mundial sobre Desarrollo Social, el Programa de Acción de la Conferencia</w:t>
            </w:r>
            <w:r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 </w:t>
            </w:r>
            <w:r w:rsidRPr="007721C6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>Internacional sobre la Población y el Desarrollo</w:t>
            </w:r>
            <w:r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>,</w:t>
            </w:r>
            <w:r w:rsidRPr="007721C6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 </w:t>
            </w:r>
            <w:r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y </w:t>
            </w:r>
            <w:r w:rsidRPr="007721C6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>la Plataforma de Acción de Beijing, la Conferencia</w:t>
            </w:r>
            <w:r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 </w:t>
            </w:r>
            <w:r w:rsidRPr="007721C6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>de las Naciones Unidas sobre el Desarrollo Sostenible y las actividades de seguimiento de esas</w:t>
            </w:r>
            <w:r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 </w:t>
            </w:r>
            <w:r w:rsidRPr="007721C6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>conferencias.</w:t>
            </w:r>
          </w:p>
          <w:p w14:paraId="32E1972E" w14:textId="77777777" w:rsidR="00691BA9" w:rsidRDefault="007721C6" w:rsidP="00691BA9">
            <w:pPr>
              <w:pStyle w:val="NormalWeb"/>
              <w:spacing w:line="254" w:lineRule="atLeast"/>
              <w:jc w:val="both"/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</w:pPr>
            <w:r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La </w:t>
            </w:r>
            <w:r w:rsidR="006019EE" w:rsidRPr="005E5F50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>Nueva Agenda Urbana</w:t>
            </w:r>
            <w:r w:rsidR="00A700C4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 - NAU</w:t>
            </w:r>
            <w:r w:rsidR="005E5F50" w:rsidRPr="005E5F50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>, adoptada por Colombia en la Conferencia de Hábitat III en la conferencia de las Naciones Unidas sobre vivienda y desarrollo urbano sostenible, presenta un cambio de paradigma basado en la ciencia</w:t>
            </w:r>
            <w:r w:rsidR="005E5F50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 </w:t>
            </w:r>
            <w:r w:rsidR="005E5F50" w:rsidRPr="005E5F50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>de las ciudades; establece normas y principios para la planificación, construcción,</w:t>
            </w:r>
            <w:r w:rsidR="005E5F50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 </w:t>
            </w:r>
            <w:r w:rsidR="005E5F50" w:rsidRPr="005E5F50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>desarrollo, gestión y mejora de las zonas urbanas en sus cinco pilares de</w:t>
            </w:r>
            <w:r w:rsidR="005E5F50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 </w:t>
            </w:r>
            <w:r w:rsidR="005E5F50" w:rsidRPr="005E5F50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aplicación principales: </w:t>
            </w:r>
            <w:r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(i) </w:t>
            </w:r>
            <w:r w:rsidR="005E5F50" w:rsidRPr="005E5F50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políticas urbanas nacionales, </w:t>
            </w:r>
            <w:r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 (ii) </w:t>
            </w:r>
            <w:r w:rsidR="005E5F50" w:rsidRPr="005E5F50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>legislación y normativas</w:t>
            </w:r>
            <w:r w:rsidR="005E5F50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 </w:t>
            </w:r>
            <w:r w:rsidR="005E5F50" w:rsidRPr="005E5F50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urbanas, </w:t>
            </w:r>
            <w:r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(iii) </w:t>
            </w:r>
            <w:r w:rsidR="005E5F50" w:rsidRPr="005E5F50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planificación y diseño urbano, </w:t>
            </w:r>
            <w:r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(iv) </w:t>
            </w:r>
            <w:r w:rsidR="005E5F50" w:rsidRPr="005E5F50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>economía local y finanzas municipales</w:t>
            </w:r>
            <w:r w:rsidR="005E5F50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 </w:t>
            </w:r>
            <w:r w:rsidR="005E5F50" w:rsidRPr="005E5F50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e </w:t>
            </w:r>
            <w:r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(v) </w:t>
            </w:r>
            <w:r w:rsidR="005E5F50" w:rsidRPr="005E5F50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implementación local. </w:t>
            </w:r>
          </w:p>
          <w:p w14:paraId="13719355" w14:textId="77777777" w:rsidR="00691BA9" w:rsidRDefault="00A700C4" w:rsidP="00691BA9">
            <w:pPr>
              <w:pStyle w:val="NormalWeb"/>
              <w:spacing w:line="254" w:lineRule="atLeast"/>
              <w:jc w:val="both"/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</w:pPr>
            <w:r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La NAU </w:t>
            </w:r>
            <w:r w:rsidR="00691BA9" w:rsidRPr="00A700C4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se refiere a los espacios públicos de calidad como un factor clave de la sostenibilidad urbana, gracias a su importancia en diversos ámbitos como la promoción de la interacción social, la salud y el bienestar humano; el intercambio económico, la expresión cultural y la resiliencia frente al cambio climático.  Igualmente, el objetivo 11 de la Agenda de Desarrollo Sostenible 2030, resalta la importancia del acceso universal a los espacios públicos, en particular para las mujeres y los niños, las personas de edad y las personas en situación de discapacidad. </w:t>
            </w:r>
          </w:p>
          <w:p w14:paraId="072DF2A2" w14:textId="77777777" w:rsidR="00691BA9" w:rsidRPr="00A700C4" w:rsidRDefault="00A700C4" w:rsidP="00A700C4">
            <w:pPr>
              <w:jc w:val="both"/>
              <w:rPr>
                <w:rFonts w:cs="Arial"/>
                <w:color w:val="141414"/>
                <w:sz w:val="22"/>
                <w:szCs w:val="22"/>
                <w:lang w:eastAsia="es-419"/>
              </w:rPr>
            </w:pPr>
            <w:r w:rsidRPr="00A700C4">
              <w:rPr>
                <w:rFonts w:cs="Arial"/>
                <w:color w:val="141414"/>
                <w:sz w:val="22"/>
                <w:szCs w:val="22"/>
                <w:lang w:eastAsia="es-419"/>
              </w:rPr>
              <w:t>La Política Nacional Urbana suporta el establecimiento de espacios públicos de calidad para todos, generando lineamientos y proporcionando estándares para asegurar la urbanización sostenible a todos los niveles. El objetivo es anticipar el crecimiento urbano, para promover ciudades armoniosas con espacios públicos amplios y un diseño de calles, para la movilidad, la comunicación, el comercio y la interacción social.</w:t>
            </w:r>
            <w:r>
              <w:rPr>
                <w:rFonts w:cs="Arial"/>
                <w:color w:val="141414"/>
                <w:sz w:val="22"/>
                <w:szCs w:val="22"/>
                <w:lang w:eastAsia="es-419"/>
              </w:rPr>
              <w:t xml:space="preserve"> </w:t>
            </w:r>
            <w:r w:rsidRPr="00A700C4">
              <w:rPr>
                <w:rFonts w:cs="Arial"/>
                <w:color w:val="141414"/>
                <w:sz w:val="22"/>
                <w:szCs w:val="22"/>
                <w:lang w:eastAsia="es-419"/>
              </w:rPr>
              <w:t>En este contexto, l</w:t>
            </w:r>
            <w:r w:rsidR="00691BA9" w:rsidRPr="00A700C4">
              <w:rPr>
                <w:rFonts w:cs="Arial"/>
                <w:color w:val="141414"/>
                <w:sz w:val="22"/>
                <w:szCs w:val="22"/>
                <w:lang w:eastAsia="es-419"/>
              </w:rPr>
              <w:t>a creación de espacios públicos requiere un marco legal adecuado y un claro</w:t>
            </w:r>
            <w:r>
              <w:rPr>
                <w:rFonts w:cs="Arial"/>
                <w:color w:val="141414"/>
                <w:sz w:val="22"/>
                <w:szCs w:val="22"/>
                <w:lang w:eastAsia="es-419"/>
              </w:rPr>
              <w:t xml:space="preserve"> </w:t>
            </w:r>
            <w:r w:rsidR="00691BA9" w:rsidRPr="00A700C4">
              <w:rPr>
                <w:rFonts w:cs="Arial"/>
                <w:color w:val="141414"/>
                <w:sz w:val="22"/>
                <w:szCs w:val="22"/>
                <w:lang w:eastAsia="es-419"/>
              </w:rPr>
              <w:t>entendimiento y equilibrio entre los intereses públicos y privados</w:t>
            </w:r>
            <w:r w:rsidR="001A175A">
              <w:rPr>
                <w:rFonts w:cs="Arial"/>
                <w:color w:val="141414"/>
                <w:sz w:val="22"/>
                <w:szCs w:val="22"/>
                <w:lang w:eastAsia="es-419"/>
              </w:rPr>
              <w:t xml:space="preserve"> (UN-Hábitat, 2020).</w:t>
            </w:r>
            <w:r w:rsidR="00691BA9" w:rsidRPr="00A700C4">
              <w:rPr>
                <w:rFonts w:cs="Arial"/>
                <w:color w:val="141414"/>
                <w:sz w:val="22"/>
                <w:szCs w:val="22"/>
                <w:lang w:eastAsia="es-419"/>
              </w:rPr>
              <w:t xml:space="preserve"> </w:t>
            </w:r>
          </w:p>
          <w:p w14:paraId="08C1E0A9" w14:textId="77777777" w:rsidR="00BB5059" w:rsidRDefault="006019EE" w:rsidP="00FF6B10">
            <w:pPr>
              <w:pStyle w:val="NormalWeb"/>
              <w:spacing w:line="254" w:lineRule="atLeast"/>
              <w:jc w:val="both"/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</w:pPr>
            <w:r w:rsidRPr="00BB5059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>E</w:t>
            </w:r>
            <w:r w:rsidR="00BB5059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>n cumplimiento de l</w:t>
            </w:r>
            <w:r w:rsidR="00BB5059" w:rsidRPr="00BB5059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>a estrategia de “Vivienda y Ciudades Amables” del PND 2010-2014: “Prosperidad</w:t>
            </w:r>
            <w:r w:rsidR="00BB5059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 </w:t>
            </w:r>
            <w:r w:rsidR="00BB5059" w:rsidRPr="00BB5059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>para Todos”</w:t>
            </w:r>
            <w:r w:rsidR="00BB5059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, se aprobó, en año 2012,  el </w:t>
            </w:r>
            <w:r w:rsidRPr="00BB5059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>CONPES 3718 “Política Nacional del Espacio Público</w:t>
            </w:r>
            <w:r w:rsidR="00BB5059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>” con el propósito de</w:t>
            </w:r>
            <w:r w:rsidR="00BB5059" w:rsidRPr="00BB5059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 fij</w:t>
            </w:r>
            <w:r w:rsidR="00BB5059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>ar</w:t>
            </w:r>
            <w:r w:rsidR="00BB5059" w:rsidRPr="00BB5059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 las acciones de corto, mediano y largo plazo, que orienten el accionar de municipios, distritos y autoridades ambientales, en cuanto a la planeación, diseño, gestión, financiación, y control del espacio público; y establecer los escenarios de articulación intersectorial e interinstitucional que  se requieren para garantizar su sostenibilidad</w:t>
            </w:r>
            <w:r w:rsidR="00BB5059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>. Para esto se fijó como objetivo central “</w:t>
            </w:r>
            <w:r w:rsidR="00BB5059" w:rsidRPr="00BB5059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Contribuir a la disminución del déficit </w:t>
            </w:r>
            <w:r w:rsidR="00BB5059" w:rsidRPr="00BB5059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lastRenderedPageBreak/>
              <w:t>cuantitativo y cualitativo de espacio público en los municipios y distritos, en las escalas urbana y suburbana, con énfasis en las zonas donde se localiza la población más pobre, a través de la participación público-privada y mediante estrategias institucionales, normativas, de gestión y financiación</w:t>
            </w:r>
            <w:r w:rsidR="00BB5059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>”, con los siguientes</w:t>
            </w:r>
            <w:r w:rsidR="00BB5059" w:rsidRPr="00BB5059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 </w:t>
            </w:r>
            <w:r w:rsidR="00BB5059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>o</w:t>
            </w:r>
            <w:r w:rsidR="00BB5059" w:rsidRPr="00BB5059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>bjetivos específicos</w:t>
            </w:r>
            <w:r w:rsidR="00BB5059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>:</w:t>
            </w:r>
            <w:r w:rsidR="00BB5059" w:rsidRPr="00BB5059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 </w:t>
            </w:r>
            <w:r w:rsidR="00BB5059" w:rsidRPr="00BB5059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sym w:font="Symbol" w:char="F0B7"/>
            </w:r>
            <w:r w:rsidR="00BB5059" w:rsidRPr="00BB5059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 Precisar conceptos asociados con el espacio público. </w:t>
            </w:r>
            <w:r w:rsidR="00BB5059" w:rsidRPr="00BB5059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sym w:font="Symbol" w:char="F0B7"/>
            </w:r>
            <w:r w:rsidR="00BB5059" w:rsidRPr="00BB5059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 Fortalecer la información para el seguimiento y control en espacio público en las entidades territoriales. </w:t>
            </w:r>
            <w:r w:rsidR="00BB5059" w:rsidRPr="00BB5059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sym w:font="Symbol" w:char="F0B7"/>
            </w:r>
            <w:r w:rsidR="00BB5059" w:rsidRPr="00BB5059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 Mejorar la capacidad institucional y administrativa de los municipios y distritos, y autoridades ambientales, en temas relacionados con la planeación, gestión, financiación, información y sostenibilidad del espacio público. </w:t>
            </w:r>
            <w:r w:rsidR="00BB5059" w:rsidRPr="00BB5059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sym w:font="Symbol" w:char="F0B7"/>
            </w:r>
            <w:r w:rsidR="00BB5059" w:rsidRPr="00BB5059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 Articular políticas y acciones sectoriales sobre el espacio público. </w:t>
            </w:r>
            <w:r w:rsidR="00BB5059" w:rsidRPr="00BB5059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sym w:font="Symbol" w:char="F0B7"/>
            </w:r>
            <w:r w:rsidR="00BB5059" w:rsidRPr="00BB5059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 xml:space="preserve"> Generar instrumentos para la financiación y el aprovechamiento económico del espacio público</w:t>
            </w:r>
            <w:r w:rsidR="00BB5059"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  <w:t>.</w:t>
            </w:r>
          </w:p>
          <w:p w14:paraId="10D46287" w14:textId="77777777" w:rsidR="00BB5059" w:rsidRDefault="00BB5059" w:rsidP="00FF6B10">
            <w:pPr>
              <w:jc w:val="both"/>
              <w:rPr>
                <w:rFonts w:cs="Arial"/>
                <w:color w:val="141414"/>
                <w:sz w:val="22"/>
                <w:szCs w:val="22"/>
                <w:lang w:eastAsia="es-419"/>
              </w:rPr>
            </w:pPr>
            <w:r>
              <w:rPr>
                <w:rFonts w:cs="Arial"/>
                <w:color w:val="141414"/>
                <w:sz w:val="22"/>
                <w:szCs w:val="22"/>
                <w:lang w:eastAsia="es-419"/>
              </w:rPr>
              <w:t>Pese al avance que constituye en la formulación de una política pública concreta en materia de espacio público, su implementación ha sido parcial y aún se mantienen vigentes varias de las problemáticas</w:t>
            </w:r>
            <w:r w:rsidR="00FF6B10">
              <w:rPr>
                <w:rFonts w:cs="Arial"/>
                <w:color w:val="141414"/>
                <w:sz w:val="22"/>
                <w:szCs w:val="22"/>
                <w:lang w:eastAsia="es-419"/>
              </w:rPr>
              <w:t xml:space="preserve"> </w:t>
            </w:r>
            <w:r>
              <w:rPr>
                <w:rFonts w:cs="Arial"/>
                <w:color w:val="141414"/>
                <w:sz w:val="22"/>
                <w:szCs w:val="22"/>
                <w:lang w:eastAsia="es-419"/>
              </w:rPr>
              <w:t xml:space="preserve">identificadas, </w:t>
            </w:r>
            <w:r w:rsidR="00FF6B10">
              <w:rPr>
                <w:rFonts w:cs="Arial"/>
                <w:color w:val="141414"/>
                <w:sz w:val="22"/>
                <w:szCs w:val="22"/>
                <w:lang w:eastAsia="es-419"/>
              </w:rPr>
              <w:t xml:space="preserve">entre éstas: la </w:t>
            </w:r>
            <w:r w:rsidR="00FF6B10" w:rsidRPr="00FF6B10">
              <w:rPr>
                <w:rFonts w:cs="Arial"/>
                <w:color w:val="141414"/>
                <w:sz w:val="22"/>
                <w:szCs w:val="22"/>
                <w:lang w:eastAsia="es-419"/>
              </w:rPr>
              <w:t>desarticulación entre entidades responsables del</w:t>
            </w:r>
            <w:r w:rsidR="00FF6B10">
              <w:rPr>
                <w:rFonts w:cs="Arial"/>
                <w:color w:val="141414"/>
                <w:sz w:val="22"/>
                <w:szCs w:val="22"/>
                <w:lang w:eastAsia="es-419"/>
              </w:rPr>
              <w:t xml:space="preserve"> </w:t>
            </w:r>
            <w:r w:rsidR="00FF6B10" w:rsidRPr="00FF6B10">
              <w:rPr>
                <w:rFonts w:cs="Arial"/>
                <w:color w:val="141414"/>
                <w:sz w:val="22"/>
                <w:szCs w:val="22"/>
                <w:lang w:eastAsia="es-419"/>
              </w:rPr>
              <w:t>espacio público</w:t>
            </w:r>
            <w:r w:rsidR="00FF6B10">
              <w:rPr>
                <w:rFonts w:cs="Arial"/>
                <w:color w:val="141414"/>
                <w:sz w:val="22"/>
                <w:szCs w:val="22"/>
                <w:lang w:eastAsia="es-419"/>
              </w:rPr>
              <w:t>, las i</w:t>
            </w:r>
            <w:r w:rsidR="00FF6B10" w:rsidRPr="00FF6B10">
              <w:rPr>
                <w:rFonts w:cs="Arial"/>
                <w:color w:val="141414"/>
                <w:sz w:val="22"/>
                <w:szCs w:val="22"/>
                <w:lang w:eastAsia="es-419"/>
              </w:rPr>
              <w:t>mprecisión en los conceptos y normas asociadas con el</w:t>
            </w:r>
            <w:r w:rsidR="00FF6B10">
              <w:rPr>
                <w:rFonts w:cs="Arial"/>
                <w:color w:val="141414"/>
                <w:sz w:val="22"/>
                <w:szCs w:val="22"/>
                <w:lang w:eastAsia="es-419"/>
              </w:rPr>
              <w:t xml:space="preserve"> </w:t>
            </w:r>
            <w:r w:rsidR="00FF6B10" w:rsidRPr="00FF6B10">
              <w:rPr>
                <w:rFonts w:cs="Arial"/>
                <w:color w:val="141414"/>
                <w:sz w:val="22"/>
                <w:szCs w:val="22"/>
                <w:lang w:eastAsia="es-419"/>
              </w:rPr>
              <w:t>espacio público</w:t>
            </w:r>
            <w:r w:rsidR="00FF6B10">
              <w:rPr>
                <w:rFonts w:cs="Arial"/>
                <w:color w:val="141414"/>
                <w:sz w:val="22"/>
                <w:szCs w:val="22"/>
                <w:lang w:eastAsia="es-419"/>
              </w:rPr>
              <w:t>; la d</w:t>
            </w:r>
            <w:r w:rsidR="00FF6B10" w:rsidRPr="00FF6B10">
              <w:rPr>
                <w:rFonts w:cs="Arial"/>
                <w:color w:val="141414"/>
                <w:sz w:val="22"/>
                <w:szCs w:val="22"/>
                <w:lang w:eastAsia="es-419"/>
              </w:rPr>
              <w:t>esarticulación en la planificación</w:t>
            </w:r>
            <w:r w:rsidR="00FF6B10">
              <w:rPr>
                <w:rFonts w:cs="Arial"/>
                <w:color w:val="141414"/>
                <w:sz w:val="22"/>
                <w:szCs w:val="22"/>
                <w:lang w:eastAsia="es-419"/>
              </w:rPr>
              <w:t xml:space="preserve"> </w:t>
            </w:r>
            <w:r w:rsidR="00FF6B10" w:rsidRPr="00FF6B10">
              <w:rPr>
                <w:rFonts w:cs="Arial"/>
                <w:color w:val="141414"/>
                <w:sz w:val="22"/>
                <w:szCs w:val="22"/>
                <w:lang w:eastAsia="es-419"/>
              </w:rPr>
              <w:t>de los diferentes sistemas, redes o estructuras que conforman el espacio público</w:t>
            </w:r>
            <w:r w:rsidR="00FF6B10">
              <w:rPr>
                <w:rFonts w:cs="Arial"/>
                <w:color w:val="141414"/>
                <w:sz w:val="22"/>
                <w:szCs w:val="22"/>
                <w:lang w:eastAsia="es-419"/>
              </w:rPr>
              <w:t>; la a</w:t>
            </w:r>
            <w:r w:rsidR="00FF6B10" w:rsidRPr="00FF6B10">
              <w:rPr>
                <w:rFonts w:cs="Arial"/>
                <w:color w:val="141414"/>
                <w:sz w:val="22"/>
                <w:szCs w:val="22"/>
                <w:lang w:eastAsia="es-419"/>
              </w:rPr>
              <w:t>usencia de estándares asociados con el espacio público y de un modelo tipo de ordenación de sus diferentes componentes</w:t>
            </w:r>
            <w:r w:rsidR="00FF6B10">
              <w:rPr>
                <w:rFonts w:cs="Arial"/>
                <w:color w:val="141414"/>
                <w:sz w:val="22"/>
                <w:szCs w:val="22"/>
                <w:lang w:eastAsia="es-419"/>
              </w:rPr>
              <w:t>; la o</w:t>
            </w:r>
            <w:r w:rsidR="00FF6B10" w:rsidRPr="00FF6B10">
              <w:rPr>
                <w:rFonts w:cs="Arial"/>
                <w:color w:val="141414"/>
                <w:sz w:val="22"/>
                <w:szCs w:val="22"/>
                <w:lang w:eastAsia="es-419"/>
              </w:rPr>
              <w:t>cupación indebida del espacio público por actividades económicas formales e informales y de las áreas y elementos naturales del espacio público</w:t>
            </w:r>
            <w:r w:rsidR="00FF6B10">
              <w:rPr>
                <w:rFonts w:cs="Arial"/>
                <w:color w:val="141414"/>
                <w:sz w:val="22"/>
                <w:szCs w:val="22"/>
                <w:lang w:eastAsia="es-419"/>
              </w:rPr>
              <w:t xml:space="preserve">; </w:t>
            </w:r>
            <w:r w:rsidR="00FF6B10" w:rsidRPr="00FF6B10">
              <w:rPr>
                <w:rFonts w:cs="Arial"/>
                <w:color w:val="141414"/>
                <w:sz w:val="22"/>
                <w:szCs w:val="22"/>
                <w:lang w:eastAsia="es-419"/>
              </w:rPr>
              <w:t xml:space="preserve"> </w:t>
            </w:r>
            <w:r w:rsidR="00FF6B10">
              <w:rPr>
                <w:rFonts w:cs="Arial"/>
                <w:color w:val="141414"/>
                <w:sz w:val="22"/>
                <w:szCs w:val="22"/>
                <w:lang w:eastAsia="es-419"/>
              </w:rPr>
              <w:t>e i</w:t>
            </w:r>
            <w:r w:rsidR="00FF6B10" w:rsidRPr="00FF6B10">
              <w:rPr>
                <w:rFonts w:cs="Arial"/>
                <w:color w:val="141414"/>
                <w:sz w:val="22"/>
                <w:szCs w:val="22"/>
                <w:lang w:eastAsia="es-419"/>
              </w:rPr>
              <w:t>nstrumentos y mecanismos insuficientes para la regulación del aprovechamiento</w:t>
            </w:r>
            <w:r w:rsidR="00FF6B10">
              <w:rPr>
                <w:rFonts w:cs="Arial"/>
                <w:color w:val="141414"/>
                <w:sz w:val="22"/>
                <w:szCs w:val="22"/>
                <w:lang w:eastAsia="es-419"/>
              </w:rPr>
              <w:t xml:space="preserve"> </w:t>
            </w:r>
            <w:r w:rsidR="00FF6B10" w:rsidRPr="00FF6B10">
              <w:rPr>
                <w:rFonts w:cs="Arial"/>
                <w:color w:val="141414"/>
                <w:sz w:val="22"/>
                <w:szCs w:val="22"/>
                <w:lang w:eastAsia="es-419"/>
              </w:rPr>
              <w:t>económico del espacio público</w:t>
            </w:r>
            <w:r w:rsidR="00FF6B10">
              <w:rPr>
                <w:rFonts w:cs="Arial"/>
                <w:color w:val="141414"/>
                <w:sz w:val="22"/>
                <w:szCs w:val="22"/>
                <w:lang w:eastAsia="es-419"/>
              </w:rPr>
              <w:t>.</w:t>
            </w:r>
          </w:p>
          <w:p w14:paraId="3ED4922F" w14:textId="77777777" w:rsidR="00FF6B10" w:rsidRDefault="00FF6B10" w:rsidP="00FF6B10">
            <w:pPr>
              <w:jc w:val="both"/>
              <w:rPr>
                <w:rFonts w:cs="Arial"/>
                <w:color w:val="141414"/>
                <w:sz w:val="22"/>
                <w:szCs w:val="22"/>
                <w:lang w:eastAsia="es-419"/>
              </w:rPr>
            </w:pPr>
          </w:p>
          <w:p w14:paraId="7BF8F74D" w14:textId="77777777" w:rsidR="00D65AEE" w:rsidRDefault="00FF6B10" w:rsidP="00D65AEE">
            <w:pPr>
              <w:jc w:val="both"/>
              <w:rPr>
                <w:rFonts w:cs="Arial"/>
                <w:color w:val="141414"/>
                <w:sz w:val="22"/>
                <w:szCs w:val="22"/>
                <w:lang w:eastAsia="es-419"/>
              </w:rPr>
            </w:pPr>
            <w:r>
              <w:rPr>
                <w:rFonts w:cs="Arial"/>
                <w:color w:val="141414"/>
                <w:sz w:val="22"/>
                <w:szCs w:val="22"/>
                <w:lang w:eastAsia="es-419"/>
              </w:rPr>
              <w:t>Adicionalmente, el déficit de espacio público se mantiene alrededor de los niveles de 2012. De acuerdo con cifras del DNP, el promedio nacional actual es de 4,4m2/hab</w:t>
            </w:r>
            <w:r w:rsidR="00D65AEE">
              <w:rPr>
                <w:rFonts w:cs="Arial"/>
                <w:color w:val="141414"/>
                <w:sz w:val="22"/>
                <w:szCs w:val="22"/>
                <w:lang w:eastAsia="es-419"/>
              </w:rPr>
              <w:t>. y de 6,7m2/hab. de zonas verdes.</w:t>
            </w:r>
            <w:r>
              <w:rPr>
                <w:rFonts w:cs="Arial"/>
                <w:color w:val="141414"/>
                <w:sz w:val="22"/>
                <w:szCs w:val="22"/>
                <w:lang w:eastAsia="es-419"/>
              </w:rPr>
              <w:t xml:space="preserve"> Más aún, no se cuenta con datos fiables que den cuenta de la cantidad de espacio público en la mayoría de</w:t>
            </w:r>
            <w:r w:rsidR="00D65AEE">
              <w:rPr>
                <w:rFonts w:cs="Arial"/>
                <w:color w:val="141414"/>
                <w:sz w:val="22"/>
                <w:szCs w:val="22"/>
                <w:lang w:eastAsia="es-419"/>
              </w:rPr>
              <w:t xml:space="preserve"> los </w:t>
            </w:r>
            <w:r>
              <w:rPr>
                <w:rFonts w:cs="Arial"/>
                <w:color w:val="141414"/>
                <w:sz w:val="22"/>
                <w:szCs w:val="22"/>
                <w:lang w:eastAsia="es-419"/>
              </w:rPr>
              <w:t>municipios del país, los datos no son comparables en todos los casos y la calidad del espacio público continúa siendo perceptiva.</w:t>
            </w:r>
            <w:r w:rsidR="00D65AEE">
              <w:rPr>
                <w:rFonts w:cs="Arial"/>
                <w:color w:val="141414"/>
                <w:sz w:val="22"/>
                <w:szCs w:val="22"/>
                <w:lang w:eastAsia="es-419"/>
              </w:rPr>
              <w:t xml:space="preserve"> Por último</w:t>
            </w:r>
            <w:r w:rsidR="00BB5059">
              <w:rPr>
                <w:rFonts w:cs="Arial"/>
                <w:color w:val="141414"/>
                <w:sz w:val="22"/>
                <w:szCs w:val="22"/>
                <w:lang w:eastAsia="es-419"/>
              </w:rPr>
              <w:t>, el CONPES 3718 de 2012 no contempla varios de los enfoques recientes en materia de espacio público surgidos a partir de varios de los acuerdos internacionales adoptados después de 2016.</w:t>
            </w:r>
          </w:p>
          <w:p w14:paraId="19344A33" w14:textId="77777777" w:rsidR="00D65AEE" w:rsidRPr="00D65AEE" w:rsidRDefault="00D65AEE" w:rsidP="00D65AEE">
            <w:pPr>
              <w:pStyle w:val="epgraf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Decreto - </w:t>
            </w:r>
            <w:r w:rsidRPr="00F14A03">
              <w:rPr>
                <w:rFonts w:ascii="Arial" w:hAnsi="Arial" w:cs="Arial"/>
                <w:sz w:val="22"/>
                <w:szCs w:val="22"/>
              </w:rPr>
              <w:t xml:space="preserve">Ley 3571 de 2011, </w:t>
            </w:r>
            <w:r>
              <w:rPr>
                <w:rFonts w:ascii="Arial" w:hAnsi="Arial" w:cs="Arial"/>
                <w:sz w:val="22"/>
                <w:szCs w:val="22"/>
              </w:rPr>
              <w:t>estableció que el Ministerio de Vivienda, Ciudad y Territorio, tendrá como función, entre otras, la de “</w:t>
            </w:r>
            <w:r w:rsidRPr="00D65AEE">
              <w:rPr>
                <w:rFonts w:ascii="Arial" w:hAnsi="Arial" w:cs="Arial"/>
                <w:sz w:val="22"/>
                <w:szCs w:val="22"/>
              </w:rPr>
              <w:t xml:space="preserve">Formular las políticas sobre renovación urbana, mejoramiento integral de barrios, calidad de vivienda urbana y rural, urbanismo y construcción de vivienda sostenible, </w:t>
            </w:r>
            <w:r w:rsidRPr="00D65AEE">
              <w:rPr>
                <w:rFonts w:ascii="Arial" w:hAnsi="Arial" w:cs="Arial"/>
                <w:sz w:val="22"/>
                <w:szCs w:val="22"/>
                <w:u w:val="single"/>
              </w:rPr>
              <w:t>espacio público y equipamiento</w:t>
            </w:r>
            <w:r w:rsidRPr="00D65AE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” (Subrayado fuera de texto). Y el </w:t>
            </w:r>
            <w:r w:rsidRPr="00F14A03">
              <w:rPr>
                <w:rFonts w:ascii="Arial" w:hAnsi="Arial" w:cs="Arial"/>
                <w:sz w:val="22"/>
                <w:szCs w:val="22"/>
              </w:rPr>
              <w:t>artículo 2.1.3.3.1 del Decreto 1077 de 2015, le atribuy</w:t>
            </w:r>
            <w:r>
              <w:rPr>
                <w:rFonts w:ascii="Arial" w:hAnsi="Arial" w:cs="Arial"/>
                <w:sz w:val="22"/>
                <w:szCs w:val="22"/>
              </w:rPr>
              <w:t>ó al Ministerio</w:t>
            </w:r>
            <w:r w:rsidRPr="00F14A03">
              <w:rPr>
                <w:rFonts w:ascii="Arial" w:hAnsi="Arial" w:cs="Arial"/>
                <w:sz w:val="22"/>
                <w:szCs w:val="22"/>
              </w:rPr>
              <w:t xml:space="preserve"> la responsabilidad de coordinar las políticas nacionales relacionadas con la gestión del espacio público en el marco de la planeación del ordenamiento del territorio con el apoyo técnico a las entidades territoriales y áreas metropolitanas.</w:t>
            </w:r>
          </w:p>
          <w:p w14:paraId="060F3882" w14:textId="77777777" w:rsidR="006019EE" w:rsidRPr="00D65AEE" w:rsidRDefault="00FF6B10" w:rsidP="00D65AEE">
            <w:pPr>
              <w:jc w:val="both"/>
              <w:rPr>
                <w:rFonts w:cs="Arial"/>
                <w:color w:val="141414"/>
                <w:sz w:val="22"/>
                <w:szCs w:val="22"/>
                <w:lang w:eastAsia="es-419"/>
              </w:rPr>
            </w:pPr>
            <w:r>
              <w:rPr>
                <w:rFonts w:cs="Arial"/>
                <w:color w:val="141414"/>
                <w:sz w:val="22"/>
                <w:szCs w:val="22"/>
                <w:lang w:eastAsia="es-419"/>
              </w:rPr>
              <w:t xml:space="preserve">Por otra parte, </w:t>
            </w:r>
            <w:r>
              <w:rPr>
                <w:color w:val="141414"/>
                <w:sz w:val="22"/>
                <w:szCs w:val="22"/>
                <w:lang w:eastAsia="es-419"/>
              </w:rPr>
              <w:t>e</w:t>
            </w:r>
            <w:r w:rsidR="006019EE" w:rsidRPr="006019EE">
              <w:rPr>
                <w:color w:val="141414"/>
                <w:sz w:val="22"/>
                <w:szCs w:val="22"/>
                <w:lang w:eastAsia="es-419"/>
              </w:rPr>
              <w:t>l Artículo 3º</w:t>
            </w:r>
            <w:r w:rsidR="006019EE">
              <w:rPr>
                <w:color w:val="141414"/>
                <w:sz w:val="22"/>
                <w:szCs w:val="22"/>
                <w:lang w:eastAsia="es-419"/>
              </w:rPr>
              <w:t xml:space="preserve"> de la Ley 2037 de 2020, dis</w:t>
            </w:r>
            <w:r w:rsidR="00D65AEE">
              <w:rPr>
                <w:color w:val="141414"/>
                <w:sz w:val="22"/>
                <w:szCs w:val="22"/>
                <w:lang w:eastAsia="es-419"/>
              </w:rPr>
              <w:t>puso</w:t>
            </w:r>
            <w:r w:rsidR="006019EE">
              <w:rPr>
                <w:color w:val="141414"/>
                <w:sz w:val="22"/>
                <w:szCs w:val="22"/>
                <w:lang w:eastAsia="es-419"/>
              </w:rPr>
              <w:t>:</w:t>
            </w:r>
          </w:p>
          <w:p w14:paraId="10F78CA0" w14:textId="77777777" w:rsidR="006019EE" w:rsidRPr="006019EE" w:rsidRDefault="006019EE" w:rsidP="006019EE">
            <w:pPr>
              <w:pStyle w:val="NormalWeb"/>
              <w:spacing w:before="0" w:beforeAutospacing="0" w:after="0" w:afterAutospacing="0" w:line="254" w:lineRule="atLeast"/>
              <w:ind w:left="1060" w:right="1067"/>
              <w:jc w:val="both"/>
              <w:rPr>
                <w:rFonts w:ascii="Arial" w:eastAsia="Times New Roman" w:hAnsi="Arial" w:cs="Arial"/>
                <w:i/>
                <w:iCs/>
                <w:color w:val="141414"/>
                <w:sz w:val="22"/>
                <w:szCs w:val="22"/>
                <w:lang w:eastAsia="es-419"/>
              </w:rPr>
            </w:pPr>
            <w:r w:rsidRPr="006019EE">
              <w:rPr>
                <w:rFonts w:ascii="Arial" w:eastAsia="Times New Roman" w:hAnsi="Arial" w:cs="Arial"/>
                <w:i/>
                <w:iCs/>
                <w:color w:val="141414"/>
                <w:sz w:val="22"/>
                <w:szCs w:val="22"/>
                <w:lang w:eastAsia="es-419"/>
              </w:rPr>
              <w:t>  </w:t>
            </w:r>
          </w:p>
          <w:p w14:paraId="03DA8EDA" w14:textId="77777777" w:rsidR="006019EE" w:rsidRPr="006019EE" w:rsidRDefault="006019EE" w:rsidP="006019EE">
            <w:pPr>
              <w:pStyle w:val="NormalWeb"/>
              <w:spacing w:before="0" w:beforeAutospacing="0" w:after="0" w:afterAutospacing="0" w:line="254" w:lineRule="atLeast"/>
              <w:ind w:left="1060" w:right="1067"/>
              <w:jc w:val="both"/>
              <w:rPr>
                <w:rFonts w:ascii="Arial" w:eastAsia="Times New Roman" w:hAnsi="Arial" w:cs="Arial"/>
                <w:i/>
                <w:iCs/>
                <w:color w:val="141414"/>
                <w:sz w:val="22"/>
                <w:szCs w:val="22"/>
                <w:lang w:eastAsia="es-419"/>
              </w:rPr>
            </w:pPr>
            <w:r>
              <w:rPr>
                <w:rFonts w:ascii="Arial" w:eastAsia="Times New Roman" w:hAnsi="Arial" w:cs="Arial"/>
                <w:i/>
                <w:iCs/>
                <w:color w:val="141414"/>
                <w:sz w:val="22"/>
                <w:szCs w:val="22"/>
                <w:lang w:eastAsia="es-419"/>
              </w:rPr>
              <w:t xml:space="preserve">(…) </w:t>
            </w:r>
            <w:r w:rsidRPr="006019EE">
              <w:rPr>
                <w:rFonts w:ascii="Arial" w:eastAsia="Times New Roman" w:hAnsi="Arial" w:cs="Arial"/>
                <w:i/>
                <w:iCs/>
                <w:color w:val="141414"/>
                <w:sz w:val="22"/>
                <w:szCs w:val="22"/>
                <w:lang w:eastAsia="es-419"/>
              </w:rPr>
              <w:t xml:space="preserve">A partir del cumplimiento del término señalado en el presente artículo, las entidades competentes del Gobierno Nacional </w:t>
            </w:r>
            <w:r>
              <w:rPr>
                <w:rFonts w:ascii="Arial" w:eastAsia="Times New Roman" w:hAnsi="Arial" w:cs="Arial"/>
                <w:i/>
                <w:iCs/>
                <w:color w:val="141414"/>
                <w:sz w:val="22"/>
                <w:szCs w:val="22"/>
                <w:lang w:eastAsia="es-419"/>
              </w:rPr>
              <w:t xml:space="preserve">(…) </w:t>
            </w:r>
            <w:r w:rsidRPr="006019EE">
              <w:rPr>
                <w:rFonts w:ascii="Arial" w:eastAsia="Times New Roman" w:hAnsi="Arial" w:cs="Arial"/>
                <w:i/>
                <w:iCs/>
                <w:color w:val="141414"/>
                <w:sz w:val="22"/>
                <w:szCs w:val="22"/>
                <w:lang w:eastAsia="es-419"/>
              </w:rPr>
              <w:t>fijarán los lineamientos y formularán las políticas tendientes a la generación, recuperación, aprovechamiento y sostenibilidad integral del espacio público, incluyendo las labores de mantenimiento y conservación de las zonas cedidas.</w:t>
            </w:r>
            <w:r>
              <w:rPr>
                <w:rFonts w:ascii="Arial" w:eastAsia="Times New Roman" w:hAnsi="Arial" w:cs="Arial"/>
                <w:i/>
                <w:iCs/>
                <w:color w:val="141414"/>
                <w:sz w:val="22"/>
                <w:szCs w:val="22"/>
                <w:lang w:eastAsia="es-419"/>
              </w:rPr>
              <w:t>”</w:t>
            </w:r>
          </w:p>
          <w:p w14:paraId="72A6E190" w14:textId="77777777" w:rsidR="00013CC1" w:rsidRDefault="00013CC1" w:rsidP="00900036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</w:pPr>
          </w:p>
          <w:p w14:paraId="07283D23" w14:textId="77777777" w:rsidR="0024296F" w:rsidRPr="00900036" w:rsidRDefault="00D65AEE" w:rsidP="00900036">
            <w:pPr>
              <w:pStyle w:val="NormalWeb"/>
              <w:spacing w:before="0" w:beforeAutospacing="0" w:after="0" w:afterAutospacing="0" w:line="254" w:lineRule="atLeast"/>
              <w:jc w:val="both"/>
              <w:rPr>
                <w:rFonts w:ascii="Arial" w:eastAsia="Times New Roman" w:hAnsi="Arial" w:cs="Arial"/>
                <w:color w:val="141414"/>
                <w:sz w:val="22"/>
                <w:szCs w:val="22"/>
                <w:lang w:eastAsia="es-419"/>
              </w:rPr>
            </w:pPr>
            <w:r>
              <w:rPr>
                <w:rFonts w:ascii="Arial" w:hAnsi="Arial" w:cs="Arial"/>
                <w:sz w:val="22"/>
                <w:szCs w:val="22"/>
              </w:rPr>
              <w:t>Por último,</w:t>
            </w:r>
            <w:r w:rsidRPr="00A84C3A">
              <w:rPr>
                <w:rFonts w:ascii="Arial" w:hAnsi="Arial" w:cs="Arial"/>
                <w:sz w:val="22"/>
                <w:szCs w:val="22"/>
              </w:rPr>
              <w:t xml:space="preserve"> el Plan Nacional de Desarrollo 2018-2022, </w:t>
            </w:r>
            <w:r w:rsidR="0024296F">
              <w:rPr>
                <w:rFonts w:ascii="Arial" w:hAnsi="Arial" w:cs="Arial"/>
                <w:sz w:val="22"/>
                <w:szCs w:val="22"/>
              </w:rPr>
              <w:t xml:space="preserve">estableció, en el </w:t>
            </w:r>
            <w:r w:rsidRPr="00A84C3A">
              <w:rPr>
                <w:rFonts w:ascii="Arial" w:hAnsi="Arial" w:cs="Arial"/>
                <w:sz w:val="22"/>
                <w:szCs w:val="22"/>
              </w:rPr>
              <w:t>Pacto por la Descentralización, línea C. Desarrollo urbano y Sistema de Ciudades (SC)</w:t>
            </w:r>
            <w:r w:rsidR="0024296F">
              <w:rPr>
                <w:rFonts w:ascii="Arial" w:hAnsi="Arial" w:cs="Arial"/>
                <w:sz w:val="22"/>
                <w:szCs w:val="22"/>
              </w:rPr>
              <w:t xml:space="preserve">, el </w:t>
            </w:r>
            <w:r w:rsidR="0024296F" w:rsidRPr="0024296F">
              <w:rPr>
                <w:rFonts w:ascii="Arial" w:hAnsi="Arial" w:cs="Arial"/>
                <w:sz w:val="22"/>
                <w:szCs w:val="22"/>
              </w:rPr>
              <w:t xml:space="preserve">Objetivo 1. Lograr el desarrollo urbano equilibrado mediante el aprovechamiento de la ciudad construida, la planificación de la expansión y </w:t>
            </w:r>
            <w:proofErr w:type="spellStart"/>
            <w:r w:rsidR="0024296F" w:rsidRPr="0024296F">
              <w:rPr>
                <w:rFonts w:ascii="Arial" w:hAnsi="Arial" w:cs="Arial"/>
                <w:sz w:val="22"/>
                <w:szCs w:val="22"/>
              </w:rPr>
              <w:t>suburbanización</w:t>
            </w:r>
            <w:proofErr w:type="spellEnd"/>
            <w:r w:rsidR="0024296F" w:rsidRPr="0024296F">
              <w:rPr>
                <w:rFonts w:ascii="Arial" w:hAnsi="Arial" w:cs="Arial"/>
                <w:sz w:val="22"/>
                <w:szCs w:val="22"/>
              </w:rPr>
              <w:t xml:space="preserve"> con criterios de sostenibilidad y la optimización de los instrumentos de financiamiento</w:t>
            </w:r>
            <w:r w:rsidR="0024296F">
              <w:rPr>
                <w:rFonts w:ascii="Arial" w:hAnsi="Arial" w:cs="Arial"/>
                <w:sz w:val="22"/>
                <w:szCs w:val="22"/>
              </w:rPr>
              <w:t>. Para esto, estableció como estrategia:</w:t>
            </w:r>
          </w:p>
          <w:p w14:paraId="2DBE29E1" w14:textId="77777777" w:rsidR="006019EE" w:rsidRPr="00900036" w:rsidRDefault="0024296F" w:rsidP="00900036">
            <w:pPr>
              <w:pStyle w:val="NormalWeb"/>
              <w:spacing w:line="254" w:lineRule="atLeast"/>
              <w:ind w:left="776" w:right="1209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4296F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 xml:space="preserve">a) Aprovechamiento de la ciudad construida y planificación de la expansión y </w:t>
            </w:r>
            <w:proofErr w:type="spellStart"/>
            <w:r w:rsidRPr="0024296F">
              <w:rPr>
                <w:rFonts w:ascii="Arial" w:hAnsi="Arial" w:cs="Arial"/>
                <w:i/>
                <w:iCs/>
                <w:sz w:val="22"/>
                <w:szCs w:val="22"/>
              </w:rPr>
              <w:t>suburbanización</w:t>
            </w:r>
            <w:proofErr w:type="spellEnd"/>
            <w:r w:rsidRPr="0024296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Optimizar la utilización de la ciudad construida mediante acciones de habilitación de suelo urbano que incluyan renovación urbana, recuperación y dinamización de áreas centrales, gestión del patrimonio cultural inmueble y desarrollo planificado de suelos de expansión, bajo criterios de sostenibilidad.</w:t>
            </w:r>
          </w:p>
          <w:p w14:paraId="73595F1F" w14:textId="77777777" w:rsidR="00900036" w:rsidRPr="00900036" w:rsidRDefault="00900036" w:rsidP="00900036">
            <w:pPr>
              <w:spacing w:line="240" w:lineRule="atLeast"/>
              <w:ind w:left="776" w:right="1209"/>
              <w:jc w:val="both"/>
              <w:rPr>
                <w:rFonts w:cs="Arial"/>
                <w:i/>
                <w:iCs/>
                <w:color w:val="141414"/>
                <w:sz w:val="22"/>
                <w:szCs w:val="22"/>
                <w:u w:val="single"/>
                <w:lang w:eastAsia="es-419"/>
              </w:rPr>
            </w:pPr>
            <w:proofErr w:type="spellStart"/>
            <w:r w:rsidRPr="00900036">
              <w:rPr>
                <w:rFonts w:cs="Arial"/>
                <w:i/>
                <w:iCs/>
                <w:color w:val="141414"/>
                <w:sz w:val="22"/>
                <w:szCs w:val="22"/>
                <w:lang w:eastAsia="es-419"/>
              </w:rPr>
              <w:t>MinVivienda</w:t>
            </w:r>
            <w:proofErr w:type="spellEnd"/>
            <w:r w:rsidRPr="00900036">
              <w:rPr>
                <w:rFonts w:cs="Arial"/>
                <w:i/>
                <w:iCs/>
                <w:color w:val="141414"/>
                <w:sz w:val="22"/>
                <w:szCs w:val="22"/>
                <w:lang w:eastAsia="es-419"/>
              </w:rPr>
              <w:t xml:space="preserve">, con el apoyo del DNP, promoverá lineamientos y estándares, especificaciones técnicas y operativas que guiarán la expansión de las ciudades de forma planificada, con el siguiente énfasis: (1) mezcla de usos; (2) conectividad mediante redes de transporte público urbano de pasajeros y modos de transporte activos; (3) </w:t>
            </w:r>
            <w:r w:rsidRPr="00900036">
              <w:rPr>
                <w:rFonts w:cs="Arial"/>
                <w:i/>
                <w:iCs/>
                <w:color w:val="141414"/>
                <w:sz w:val="22"/>
                <w:szCs w:val="22"/>
                <w:u w:val="single"/>
                <w:lang w:eastAsia="es-419"/>
              </w:rPr>
              <w:t>provisión efectiva de servicios públicos domiciliarios, equipamientos y espacio público</w:t>
            </w:r>
            <w:r w:rsidRPr="00900036">
              <w:rPr>
                <w:rFonts w:cs="Arial"/>
                <w:i/>
                <w:iCs/>
                <w:color w:val="141414"/>
                <w:sz w:val="22"/>
                <w:szCs w:val="22"/>
                <w:lang w:eastAsia="es-419"/>
              </w:rPr>
              <w:t xml:space="preserve">, </w:t>
            </w:r>
            <w:r w:rsidRPr="00900036">
              <w:rPr>
                <w:rFonts w:cs="Arial"/>
                <w:i/>
                <w:iCs/>
                <w:color w:val="141414"/>
                <w:sz w:val="22"/>
                <w:szCs w:val="22"/>
                <w:u w:val="single"/>
                <w:lang w:eastAsia="es-419"/>
              </w:rPr>
              <w:t>que considere el manejo de aguas urbanas</w:t>
            </w:r>
            <w:r w:rsidRPr="00900036">
              <w:rPr>
                <w:rFonts w:cs="Arial"/>
                <w:i/>
                <w:iCs/>
                <w:color w:val="141414"/>
                <w:sz w:val="22"/>
                <w:szCs w:val="22"/>
                <w:lang w:eastAsia="es-419"/>
              </w:rPr>
              <w:t xml:space="preserve">; (4) aseguramiento de la inclusión de los porcentajes de Vivienda de Interés Social y Prioritario (VIS y VIP) definidos en las normas vigentes; y (5) control al cumplimiento de los compromisos adquiridos en el marco del instrumento. </w:t>
            </w:r>
            <w:r w:rsidRPr="00900036">
              <w:rPr>
                <w:rFonts w:cs="Arial"/>
                <w:i/>
                <w:iCs/>
                <w:color w:val="141414"/>
                <w:sz w:val="22"/>
                <w:szCs w:val="22"/>
                <w:u w:val="single"/>
                <w:lang w:eastAsia="es-419"/>
              </w:rPr>
              <w:t xml:space="preserve">Como parte de las acciones que permitan lo anteriormente citado, se harán los ajustes normativos necesarios y se trabajará a partir de la articulación intra e </w:t>
            </w:r>
            <w:proofErr w:type="spellStart"/>
            <w:r w:rsidRPr="00900036">
              <w:rPr>
                <w:rFonts w:cs="Arial"/>
                <w:i/>
                <w:iCs/>
                <w:color w:val="141414"/>
                <w:sz w:val="22"/>
                <w:szCs w:val="22"/>
                <w:u w:val="single"/>
                <w:lang w:eastAsia="es-419"/>
              </w:rPr>
              <w:t>interescalar</w:t>
            </w:r>
            <w:proofErr w:type="spellEnd"/>
            <w:r w:rsidRPr="00900036">
              <w:rPr>
                <w:rFonts w:cs="Arial"/>
                <w:i/>
                <w:iCs/>
                <w:color w:val="141414"/>
                <w:sz w:val="22"/>
                <w:szCs w:val="22"/>
                <w:u w:val="single"/>
                <w:lang w:eastAsia="es-419"/>
              </w:rPr>
              <w:t xml:space="preserve"> para su dotación.</w:t>
            </w:r>
          </w:p>
          <w:p w14:paraId="7BF2735F" w14:textId="77777777" w:rsidR="006019EE" w:rsidRDefault="006019EE" w:rsidP="007A19A1">
            <w:pPr>
              <w:spacing w:line="240" w:lineRule="atLeast"/>
              <w:jc w:val="both"/>
              <w:rPr>
                <w:rFonts w:cs="Arial"/>
                <w:color w:val="141414"/>
                <w:sz w:val="22"/>
                <w:szCs w:val="22"/>
                <w:lang w:eastAsia="es-419"/>
              </w:rPr>
            </w:pPr>
          </w:p>
          <w:p w14:paraId="1F40FCE6" w14:textId="77777777" w:rsidR="00FF6B10" w:rsidRDefault="00900036" w:rsidP="007A19A1">
            <w:pPr>
              <w:spacing w:line="240" w:lineRule="atLeast"/>
              <w:jc w:val="both"/>
              <w:rPr>
                <w:rFonts w:cs="Arial"/>
                <w:color w:val="141414"/>
                <w:sz w:val="22"/>
                <w:szCs w:val="22"/>
                <w:lang w:eastAsia="es-419"/>
              </w:rPr>
            </w:pPr>
            <w:r>
              <w:rPr>
                <w:rFonts w:cs="Arial"/>
                <w:color w:val="141414"/>
                <w:sz w:val="22"/>
                <w:szCs w:val="22"/>
                <w:lang w:eastAsia="es-419"/>
              </w:rPr>
              <w:t xml:space="preserve">Por lo anterior, atendiendo a los nuevos compromisos adquiridos por Colombia en materia de desarrollo sostenibles en las ciudades; la necesidad de implementar la Política Nacional de Espacio Público establecida en el CONPES 3718 de 2012 y aportar al cumplimiento de su objetivo para reducir el déficit cuantitativo y cualitativo de espacio público; la expedición de la Ley 2037 de 2020 que ordena al Gobierno Nacional </w:t>
            </w:r>
            <w:r w:rsidRPr="00900036">
              <w:rPr>
                <w:rFonts w:cs="Arial"/>
                <w:color w:val="141414"/>
                <w:sz w:val="22"/>
                <w:szCs w:val="22"/>
                <w:lang w:eastAsia="es-419"/>
              </w:rPr>
              <w:t>fija</w:t>
            </w:r>
            <w:r>
              <w:rPr>
                <w:rFonts w:cs="Arial"/>
                <w:color w:val="141414"/>
                <w:sz w:val="22"/>
                <w:szCs w:val="22"/>
                <w:lang w:eastAsia="es-419"/>
              </w:rPr>
              <w:t>r</w:t>
            </w:r>
            <w:r w:rsidRPr="00900036">
              <w:rPr>
                <w:rFonts w:cs="Arial"/>
                <w:color w:val="141414"/>
                <w:sz w:val="22"/>
                <w:szCs w:val="22"/>
                <w:lang w:eastAsia="es-419"/>
              </w:rPr>
              <w:t xml:space="preserve"> los lineamientos y formularán las políticas tendientes a la generación, recuperación, aprovechamiento y sostenibilidad integral del espacio público, incluyendo las labores de mantenimiento y conservación de las zonas cedidas</w:t>
            </w:r>
            <w:r>
              <w:rPr>
                <w:rFonts w:cs="Arial"/>
                <w:color w:val="141414"/>
                <w:sz w:val="22"/>
                <w:szCs w:val="22"/>
                <w:lang w:eastAsia="es-419"/>
              </w:rPr>
              <w:t xml:space="preserve">, y lo establecido en el Plan Nacional de Desarrollo </w:t>
            </w:r>
            <w:r w:rsidR="00D434E8" w:rsidRPr="00A84C3A">
              <w:rPr>
                <w:rFonts w:cs="Arial"/>
                <w:sz w:val="22"/>
                <w:szCs w:val="22"/>
              </w:rPr>
              <w:t>2018-2022</w:t>
            </w:r>
            <w:r w:rsidR="00D434E8">
              <w:rPr>
                <w:rFonts w:cs="Arial"/>
                <w:sz w:val="22"/>
                <w:szCs w:val="22"/>
              </w:rPr>
              <w:t xml:space="preserve">, </w:t>
            </w:r>
            <w:r>
              <w:rPr>
                <w:rFonts w:cs="Arial"/>
                <w:color w:val="141414"/>
                <w:sz w:val="22"/>
                <w:szCs w:val="22"/>
                <w:lang w:eastAsia="es-419"/>
              </w:rPr>
              <w:t>en materia de espacio público</w:t>
            </w:r>
            <w:r w:rsidR="00D434E8">
              <w:rPr>
                <w:rFonts w:cs="Arial"/>
                <w:color w:val="141414"/>
                <w:sz w:val="22"/>
                <w:szCs w:val="22"/>
                <w:lang w:eastAsia="es-419"/>
              </w:rPr>
              <w:t>, se hace necesario revisar y actualizar el Decreto 1077 de 2015 en la planificación, generación, administración y aprovechamiento económico del espacio público.</w:t>
            </w:r>
          </w:p>
          <w:p w14:paraId="1B32C0EC" w14:textId="77777777" w:rsidR="007A19A1" w:rsidRPr="003632D9" w:rsidRDefault="007A19A1" w:rsidP="007A19A1">
            <w:pPr>
              <w:spacing w:line="240" w:lineRule="atLeast"/>
              <w:jc w:val="both"/>
              <w:rPr>
                <w:rFonts w:cs="Arial"/>
                <w:color w:val="141414"/>
                <w:sz w:val="22"/>
                <w:szCs w:val="22"/>
                <w:lang w:eastAsia="es-419"/>
              </w:rPr>
            </w:pPr>
          </w:p>
          <w:p w14:paraId="051FEE83" w14:textId="77777777" w:rsidR="00C21919" w:rsidRPr="009375CE" w:rsidRDefault="00C21919" w:rsidP="00D65AEE">
            <w:pPr>
              <w:spacing w:line="240" w:lineRule="atLeast"/>
              <w:jc w:val="both"/>
              <w:rPr>
                <w:rFonts w:ascii="Verdana" w:hAnsi="Verdana" w:cs="Arial"/>
                <w:color w:val="141414"/>
                <w:sz w:val="21"/>
                <w:szCs w:val="21"/>
                <w:lang w:eastAsia="es-419"/>
              </w:rPr>
            </w:pPr>
          </w:p>
        </w:tc>
      </w:tr>
      <w:tr w:rsidR="00DF60FD" w:rsidRPr="009F7CED" w14:paraId="4C4F00F0" w14:textId="77777777" w:rsidTr="0075705D">
        <w:trPr>
          <w:trHeight w:val="47"/>
        </w:trPr>
        <w:tc>
          <w:tcPr>
            <w:tcW w:w="10774" w:type="dxa"/>
            <w:gridSpan w:val="3"/>
            <w:shd w:val="clear" w:color="auto" w:fill="FFFFFF"/>
            <w:vAlign w:val="center"/>
          </w:tcPr>
          <w:p w14:paraId="6C1A6985" w14:textId="77777777" w:rsidR="00251FCE" w:rsidRPr="009F7CED" w:rsidRDefault="00251FCE" w:rsidP="0075705D">
            <w:pPr>
              <w:jc w:val="both"/>
              <w:rPr>
                <w:lang w:eastAsia="es-CO"/>
              </w:rPr>
            </w:pPr>
          </w:p>
        </w:tc>
      </w:tr>
      <w:tr w:rsidR="00DF60FD" w:rsidRPr="009F7CED" w14:paraId="7A1386B9" w14:textId="77777777" w:rsidTr="0075705D">
        <w:trPr>
          <w:trHeight w:val="66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E3C724" w14:textId="77777777" w:rsidR="00DF60FD" w:rsidRDefault="00DF60FD" w:rsidP="0075705D">
            <w:pPr>
              <w:numPr>
                <w:ilvl w:val="0"/>
                <w:numId w:val="44"/>
              </w:numPr>
              <w:ind w:left="494"/>
              <w:rPr>
                <w:rFonts w:cs="Arial"/>
                <w:b/>
                <w:color w:val="000000"/>
                <w:sz w:val="22"/>
                <w:szCs w:val="22"/>
              </w:rPr>
            </w:pPr>
            <w:r w:rsidRPr="009F7CED">
              <w:rPr>
                <w:rFonts w:cs="Arial"/>
                <w:b/>
                <w:color w:val="000000"/>
                <w:sz w:val="22"/>
                <w:szCs w:val="22"/>
              </w:rPr>
              <w:t>AMBITO DE APLICACIÓN Y SUJETO</w:t>
            </w:r>
            <w:r w:rsidR="00795C6B">
              <w:rPr>
                <w:rFonts w:cs="Arial"/>
                <w:b/>
                <w:color w:val="000000"/>
                <w:sz w:val="22"/>
                <w:szCs w:val="22"/>
              </w:rPr>
              <w:t>S</w:t>
            </w:r>
            <w:r w:rsidRPr="009F7CED">
              <w:rPr>
                <w:rFonts w:cs="Arial"/>
                <w:b/>
                <w:color w:val="000000"/>
                <w:sz w:val="22"/>
                <w:szCs w:val="22"/>
              </w:rPr>
              <w:t xml:space="preserve"> A QUIEN</w:t>
            </w:r>
            <w:r w:rsidR="00795C6B">
              <w:rPr>
                <w:rFonts w:cs="Arial"/>
                <w:b/>
                <w:color w:val="000000"/>
                <w:sz w:val="22"/>
                <w:szCs w:val="22"/>
              </w:rPr>
              <w:t>ES</w:t>
            </w:r>
            <w:r w:rsidRPr="009F7CED">
              <w:rPr>
                <w:rFonts w:cs="Arial"/>
                <w:b/>
                <w:color w:val="000000"/>
                <w:sz w:val="22"/>
                <w:szCs w:val="22"/>
              </w:rPr>
              <w:t xml:space="preserve"> VA DIRIGIDO</w:t>
            </w:r>
          </w:p>
          <w:p w14:paraId="765B5C48" w14:textId="77777777" w:rsidR="00795C6B" w:rsidRPr="00795C6B" w:rsidRDefault="00696582" w:rsidP="0075705D">
            <w:pPr>
              <w:pStyle w:val="ColorfulList-Accent11"/>
              <w:spacing w:line="240" w:lineRule="auto"/>
              <w:ind w:left="494"/>
              <w:jc w:val="both"/>
              <w:rPr>
                <w:rFonts w:ascii="Arial" w:hAnsi="Arial" w:cs="Arial"/>
                <w:i/>
                <w:color w:val="808080"/>
                <w:sz w:val="18"/>
              </w:rPr>
            </w:pPr>
            <w:r w:rsidRPr="00795C6B">
              <w:rPr>
                <w:rFonts w:ascii="Arial" w:hAnsi="Arial" w:cs="Arial"/>
                <w:i/>
                <w:color w:val="808080"/>
                <w:sz w:val="18"/>
              </w:rPr>
              <w:t xml:space="preserve"> </w:t>
            </w:r>
            <w:r w:rsidR="00795C6B" w:rsidRPr="00795C6B">
              <w:rPr>
                <w:rFonts w:ascii="Arial" w:hAnsi="Arial" w:cs="Arial"/>
                <w:i/>
                <w:color w:val="808080"/>
                <w:sz w:val="18"/>
              </w:rPr>
              <w:t>(Por favor indique el ámbito de aplicación o sujetos obligados de la norma)</w:t>
            </w:r>
          </w:p>
          <w:p w14:paraId="29F03CCE" w14:textId="77777777" w:rsidR="00795C6B" w:rsidRPr="009375CE" w:rsidRDefault="000F067D" w:rsidP="00970C49">
            <w:pPr>
              <w:pStyle w:val="NormalWeb"/>
              <w:spacing w:before="0" w:beforeAutospacing="0" w:after="0" w:afterAutospacing="0"/>
              <w:ind w:left="494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9375CE">
              <w:rPr>
                <w:rFonts w:ascii="Arial" w:hAnsi="Arial" w:cs="Arial"/>
                <w:bCs/>
                <w:sz w:val="21"/>
                <w:szCs w:val="21"/>
              </w:rPr>
              <w:t xml:space="preserve">El </w:t>
            </w:r>
            <w:r w:rsidR="009375CE" w:rsidRPr="009375CE">
              <w:rPr>
                <w:rFonts w:ascii="Arial" w:hAnsi="Arial" w:cs="Arial"/>
                <w:bCs/>
                <w:sz w:val="21"/>
                <w:szCs w:val="21"/>
              </w:rPr>
              <w:t>presente</w:t>
            </w:r>
            <w:r w:rsidRPr="009375CE">
              <w:rPr>
                <w:rFonts w:ascii="Arial" w:hAnsi="Arial" w:cs="Arial"/>
                <w:bCs/>
                <w:sz w:val="21"/>
                <w:szCs w:val="21"/>
              </w:rPr>
              <w:t xml:space="preserve"> proyecto de </w:t>
            </w:r>
            <w:r w:rsidR="007A19A1">
              <w:rPr>
                <w:rFonts w:ascii="Arial" w:hAnsi="Arial" w:cs="Arial"/>
                <w:bCs/>
                <w:sz w:val="21"/>
                <w:szCs w:val="21"/>
              </w:rPr>
              <w:t>decreto</w:t>
            </w:r>
            <w:r w:rsidRPr="009375CE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7A19A1">
              <w:rPr>
                <w:rFonts w:ascii="Arial" w:hAnsi="Arial" w:cs="Arial"/>
                <w:bCs/>
                <w:sz w:val="21"/>
                <w:szCs w:val="21"/>
              </w:rPr>
              <w:t>es de ámbito nacional.</w:t>
            </w:r>
          </w:p>
          <w:p w14:paraId="00596E0D" w14:textId="77777777" w:rsidR="000F067D" w:rsidRPr="000F067D" w:rsidRDefault="000F067D" w:rsidP="000F067D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01DF9994" w14:textId="77777777" w:rsidR="00795C6B" w:rsidRPr="009F7CED" w:rsidRDefault="00795C6B" w:rsidP="0075705D">
            <w:pPr>
              <w:rPr>
                <w:rFonts w:cs="Arial"/>
                <w:iCs/>
                <w:color w:val="000000"/>
                <w:sz w:val="22"/>
                <w:szCs w:val="22"/>
              </w:rPr>
            </w:pPr>
          </w:p>
        </w:tc>
      </w:tr>
      <w:tr w:rsidR="00DF60FD" w:rsidRPr="009F7CED" w14:paraId="69563D43" w14:textId="77777777" w:rsidTr="0075705D">
        <w:trPr>
          <w:trHeight w:val="278"/>
        </w:trPr>
        <w:tc>
          <w:tcPr>
            <w:tcW w:w="10774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246C1E" w14:textId="77777777" w:rsidR="00DF60FD" w:rsidRDefault="00795C6B" w:rsidP="0075705D">
            <w:pPr>
              <w:ind w:left="494" w:hanging="283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3. </w:t>
            </w:r>
            <w:r w:rsidR="00DF60FD" w:rsidRPr="009F7CED">
              <w:rPr>
                <w:rFonts w:cs="Arial"/>
                <w:b/>
                <w:color w:val="000000"/>
                <w:sz w:val="22"/>
                <w:szCs w:val="22"/>
              </w:rPr>
              <w:t>VIABILIDAD JURÍDICA</w:t>
            </w:r>
          </w:p>
          <w:p w14:paraId="42549DBB" w14:textId="77777777" w:rsidR="00D05B67" w:rsidRPr="00084B49" w:rsidRDefault="00D05B67" w:rsidP="0075705D">
            <w:pPr>
              <w:ind w:left="494" w:hanging="283"/>
              <w:rPr>
                <w:rFonts w:cs="Arial"/>
                <w:i/>
                <w:color w:val="808080"/>
                <w:sz w:val="18"/>
                <w:szCs w:val="22"/>
              </w:rPr>
            </w:pPr>
            <w:r w:rsidRPr="00084B49">
              <w:rPr>
                <w:rFonts w:cs="Arial"/>
                <w:i/>
                <w:color w:val="808080"/>
                <w:sz w:val="18"/>
                <w:szCs w:val="22"/>
              </w:rPr>
              <w:t>(Por favor desarrolle cada uno de los siguientes puntos)</w:t>
            </w:r>
          </w:p>
          <w:p w14:paraId="4333D8D0" w14:textId="77777777" w:rsidR="00D05B67" w:rsidRPr="00084B49" w:rsidRDefault="00D05B67" w:rsidP="0075705D">
            <w:pPr>
              <w:ind w:left="494" w:hanging="283"/>
              <w:rPr>
                <w:rFonts w:cs="Arial"/>
                <w:i/>
                <w:color w:val="808080"/>
                <w:sz w:val="22"/>
                <w:szCs w:val="22"/>
              </w:rPr>
            </w:pPr>
          </w:p>
          <w:p w14:paraId="37118126" w14:textId="77777777" w:rsidR="00795C6B" w:rsidRDefault="00795C6B" w:rsidP="005D5767">
            <w:pPr>
              <w:numPr>
                <w:ilvl w:val="1"/>
                <w:numId w:val="47"/>
              </w:num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>
              <w:rPr>
                <w:rFonts w:cs="Arial"/>
                <w:sz w:val="22"/>
                <w:szCs w:val="22"/>
                <w:lang w:val="es-CO" w:eastAsia="es-CO"/>
              </w:rPr>
              <w:t>Análisis de las normas que otorgan la competencia para la expedición del proyecto normativo</w:t>
            </w:r>
          </w:p>
          <w:p w14:paraId="359463A0" w14:textId="77777777" w:rsidR="005D5767" w:rsidRDefault="005D5767" w:rsidP="005D5767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18BEBC48" w14:textId="77777777" w:rsidR="005D5767" w:rsidRPr="0038387D" w:rsidRDefault="005D5767" w:rsidP="00970C49">
            <w:pPr>
              <w:pStyle w:val="NormalWeb"/>
              <w:spacing w:before="0" w:beforeAutospacing="0" w:after="0" w:afterAutospacing="0"/>
              <w:ind w:left="571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8387D">
              <w:rPr>
                <w:rFonts w:ascii="Arial" w:hAnsi="Arial" w:cs="Arial"/>
                <w:b/>
                <w:sz w:val="21"/>
                <w:szCs w:val="21"/>
              </w:rPr>
              <w:t xml:space="preserve">La Constitución Política </w:t>
            </w:r>
          </w:p>
          <w:p w14:paraId="6849D0BF" w14:textId="77777777" w:rsidR="0038387D" w:rsidRDefault="0038387D" w:rsidP="00970C49">
            <w:pPr>
              <w:pStyle w:val="NormalWeb"/>
              <w:spacing w:before="0" w:beforeAutospacing="0" w:after="0" w:afterAutospacing="0"/>
              <w:ind w:left="571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2DA313C" w14:textId="77777777" w:rsidR="005D5767" w:rsidRPr="009375CE" w:rsidRDefault="005D5767" w:rsidP="00970C49">
            <w:pPr>
              <w:pStyle w:val="NormalWeb"/>
              <w:spacing w:before="0" w:beforeAutospacing="0" w:after="0" w:afterAutospacing="0"/>
              <w:ind w:left="571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9375CE">
              <w:rPr>
                <w:rFonts w:ascii="Arial" w:hAnsi="Arial" w:cs="Arial"/>
                <w:bCs/>
                <w:sz w:val="21"/>
                <w:szCs w:val="21"/>
              </w:rPr>
              <w:t>Artículo 189. “Corresponde al Presidente de la República como Jefe de Estado, Jefe del Gobierno y Suprema Autoridad Administrativa: (…) 11. Ejercer la potestad reglamentaria, mediante la expedición de los decretos, resoluciones y órdenes necesarios para la cumplida ejecución de las leyes.”</w:t>
            </w:r>
          </w:p>
          <w:p w14:paraId="379FC2AF" w14:textId="77777777" w:rsidR="005D5767" w:rsidRPr="009375CE" w:rsidRDefault="005D5767" w:rsidP="00970C49">
            <w:pPr>
              <w:pStyle w:val="NormalWeb"/>
              <w:spacing w:before="0" w:beforeAutospacing="0" w:after="0" w:afterAutospacing="0"/>
              <w:ind w:left="708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6FC7F08" w14:textId="77777777" w:rsidR="005D5767" w:rsidRPr="009375CE" w:rsidRDefault="005D5767" w:rsidP="00970C49">
            <w:pPr>
              <w:pStyle w:val="NormalWeb"/>
              <w:spacing w:before="0" w:beforeAutospacing="0" w:after="0" w:afterAutospacing="0"/>
              <w:ind w:left="571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9375CE">
              <w:rPr>
                <w:rFonts w:ascii="Arial" w:hAnsi="Arial" w:cs="Arial"/>
                <w:bCs/>
                <w:sz w:val="21"/>
                <w:szCs w:val="21"/>
              </w:rPr>
              <w:t xml:space="preserve">La potestad reglamentaria es una facultad constitucional propia del Presidente de la República que lo autoriza para expedir normas de carácter general destinadas a la ejecución y cumplimiento de la ley. Esta potestad se caracteriza por ser una atribución constitucional inalienable, intransferible, inagotable, pues no tiene plazo </w:t>
            </w:r>
            <w:r w:rsidRPr="009375CE">
              <w:rPr>
                <w:rFonts w:ascii="Arial" w:hAnsi="Arial" w:cs="Arial"/>
                <w:bCs/>
                <w:sz w:val="21"/>
                <w:szCs w:val="21"/>
              </w:rPr>
              <w:lastRenderedPageBreak/>
              <w:t xml:space="preserve">y puede ejercerse en cualquier tiempo, e irrenunciable, porque es un atributo indispensable para la que la Administración cumpla con su función de ejecutar la ley. </w:t>
            </w:r>
          </w:p>
          <w:p w14:paraId="1FA20603" w14:textId="77777777" w:rsidR="005D5767" w:rsidRPr="009375CE" w:rsidRDefault="005D5767" w:rsidP="00970C49">
            <w:pPr>
              <w:ind w:left="1202" w:hanging="283"/>
              <w:jc w:val="both"/>
              <w:rPr>
                <w:rFonts w:cs="Arial"/>
                <w:sz w:val="21"/>
                <w:szCs w:val="21"/>
                <w:lang w:val="es-CO" w:eastAsia="es-CO"/>
              </w:rPr>
            </w:pPr>
          </w:p>
          <w:p w14:paraId="25CD6C18" w14:textId="77777777" w:rsidR="00254C85" w:rsidRPr="009375CE" w:rsidRDefault="00254C85" w:rsidP="00970C49">
            <w:pPr>
              <w:pStyle w:val="NormalWeb"/>
              <w:spacing w:before="0" w:beforeAutospacing="0" w:after="0" w:afterAutospacing="0"/>
              <w:ind w:left="571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9375CE">
              <w:rPr>
                <w:rFonts w:ascii="Arial" w:hAnsi="Arial" w:cs="Arial"/>
                <w:bCs/>
                <w:sz w:val="21"/>
                <w:szCs w:val="21"/>
              </w:rPr>
              <w:t xml:space="preserve">Esta potestad, a través de la cual se desarrollan las reglas y principios fijados en la ley que permiten su aplicación. Esta facultad en ningún caso puede modificar, ampliar o restringir la ley en cuanto a su contenido o alcance. </w:t>
            </w:r>
          </w:p>
          <w:p w14:paraId="54B8A7BD" w14:textId="77777777" w:rsidR="00254C85" w:rsidRPr="009375CE" w:rsidRDefault="00254C85" w:rsidP="00970C49">
            <w:pPr>
              <w:ind w:left="708"/>
              <w:jc w:val="both"/>
              <w:rPr>
                <w:rFonts w:cs="Arial"/>
                <w:sz w:val="21"/>
                <w:szCs w:val="21"/>
                <w:lang w:val="es-CO" w:eastAsia="es-CO"/>
              </w:rPr>
            </w:pPr>
          </w:p>
          <w:p w14:paraId="4B07E164" w14:textId="77777777" w:rsidR="0038387D" w:rsidRPr="0038387D" w:rsidRDefault="0038387D" w:rsidP="0038387D">
            <w:pPr>
              <w:ind w:left="571"/>
              <w:jc w:val="both"/>
              <w:rPr>
                <w:rFonts w:cs="Arial"/>
                <w:b/>
                <w:bCs/>
                <w:sz w:val="21"/>
                <w:szCs w:val="21"/>
                <w:lang w:val="es-CO" w:eastAsia="es-CO"/>
              </w:rPr>
            </w:pPr>
            <w:r>
              <w:rPr>
                <w:rFonts w:cs="Arial"/>
                <w:b/>
                <w:bCs/>
                <w:sz w:val="21"/>
                <w:szCs w:val="21"/>
                <w:lang w:val="es-CO" w:eastAsia="es-CO"/>
              </w:rPr>
              <w:t>Decreto – Ley 3571 de 2011</w:t>
            </w:r>
          </w:p>
          <w:p w14:paraId="085E8A1B" w14:textId="77777777" w:rsidR="0038387D" w:rsidRPr="0038387D" w:rsidRDefault="0038387D" w:rsidP="0038387D">
            <w:pPr>
              <w:ind w:left="571"/>
              <w:jc w:val="both"/>
              <w:rPr>
                <w:rFonts w:eastAsia="Arial Unicode MS" w:cs="Arial"/>
                <w:bCs/>
                <w:sz w:val="21"/>
                <w:szCs w:val="21"/>
              </w:rPr>
            </w:pPr>
          </w:p>
          <w:p w14:paraId="2DE4D9F1" w14:textId="77777777" w:rsidR="0038387D" w:rsidRPr="0038387D" w:rsidRDefault="0038387D" w:rsidP="0038387D">
            <w:pPr>
              <w:ind w:left="571"/>
              <w:jc w:val="both"/>
              <w:rPr>
                <w:rFonts w:eastAsia="Arial Unicode MS" w:cs="Arial"/>
                <w:bCs/>
                <w:sz w:val="21"/>
                <w:szCs w:val="21"/>
              </w:rPr>
            </w:pPr>
            <w:r w:rsidRPr="0038387D">
              <w:rPr>
                <w:rFonts w:eastAsia="Arial Unicode MS" w:cs="Arial"/>
                <w:bCs/>
                <w:sz w:val="21"/>
                <w:szCs w:val="21"/>
              </w:rPr>
              <w:t>Artículo 2. Funciones. Además de las funciones definidas en la Constitución Política y en el artículo 59 de la Ley 489 de 1998 y en las demás leyes, el Ministerio de Vivienda, Ciudad y Territorio cumplirá, las siguientes funciones:</w:t>
            </w:r>
            <w:r w:rsidR="00941A0D">
              <w:rPr>
                <w:rFonts w:eastAsia="Arial Unicode MS" w:cs="Arial"/>
                <w:bCs/>
                <w:sz w:val="21"/>
                <w:szCs w:val="21"/>
              </w:rPr>
              <w:t xml:space="preserve"> (…)</w:t>
            </w:r>
            <w:r w:rsidRPr="0038387D">
              <w:rPr>
                <w:rFonts w:eastAsia="Arial Unicode MS" w:cs="Arial"/>
                <w:bCs/>
                <w:sz w:val="21"/>
                <w:szCs w:val="21"/>
              </w:rPr>
              <w:t xml:space="preserve"> Formular las políticas sobre renovación urbana, mejoramiento integral de barrios, calidad de vivienda urbana y rural, urbanismo y construcción de vivienda sostenible, </w:t>
            </w:r>
            <w:r w:rsidRPr="00941A0D">
              <w:rPr>
                <w:rFonts w:eastAsia="Arial Unicode MS" w:cs="Arial"/>
                <w:bCs/>
                <w:sz w:val="21"/>
                <w:szCs w:val="21"/>
                <w:u w:val="single"/>
              </w:rPr>
              <w:t>espacio público y equipamiento</w:t>
            </w:r>
            <w:r w:rsidRPr="0038387D">
              <w:rPr>
                <w:rFonts w:eastAsia="Arial Unicode MS" w:cs="Arial"/>
                <w:bCs/>
                <w:sz w:val="21"/>
                <w:szCs w:val="21"/>
              </w:rPr>
              <w:t xml:space="preserve">. (Subrayado fuera de texto). </w:t>
            </w:r>
          </w:p>
          <w:p w14:paraId="3F89CBDE" w14:textId="77777777" w:rsidR="0038387D" w:rsidRPr="0038387D" w:rsidRDefault="0038387D" w:rsidP="0038387D">
            <w:pPr>
              <w:ind w:left="571"/>
              <w:jc w:val="both"/>
              <w:rPr>
                <w:rFonts w:eastAsia="Arial Unicode MS" w:cs="Arial"/>
                <w:bCs/>
                <w:sz w:val="21"/>
                <w:szCs w:val="21"/>
              </w:rPr>
            </w:pPr>
          </w:p>
          <w:p w14:paraId="245ECAE8" w14:textId="77777777" w:rsidR="0038387D" w:rsidRPr="00941A0D" w:rsidRDefault="0038387D" w:rsidP="0038387D">
            <w:pPr>
              <w:ind w:left="571"/>
              <w:jc w:val="both"/>
              <w:rPr>
                <w:rFonts w:eastAsia="Arial Unicode MS" w:cs="Arial"/>
                <w:b/>
                <w:sz w:val="21"/>
                <w:szCs w:val="21"/>
              </w:rPr>
            </w:pPr>
            <w:r w:rsidRPr="00941A0D">
              <w:rPr>
                <w:rFonts w:eastAsia="Arial Unicode MS" w:cs="Arial"/>
                <w:b/>
                <w:sz w:val="21"/>
                <w:szCs w:val="21"/>
              </w:rPr>
              <w:t>Decreto 1077 de 2015</w:t>
            </w:r>
          </w:p>
          <w:p w14:paraId="639AF627" w14:textId="77777777" w:rsidR="00941A0D" w:rsidRDefault="00941A0D" w:rsidP="00941A0D">
            <w:pPr>
              <w:jc w:val="both"/>
              <w:rPr>
                <w:rFonts w:eastAsia="Arial Unicode MS" w:cs="Arial"/>
                <w:bCs/>
                <w:sz w:val="21"/>
                <w:szCs w:val="21"/>
              </w:rPr>
            </w:pPr>
          </w:p>
          <w:p w14:paraId="4AE22822" w14:textId="77777777" w:rsidR="00F448F5" w:rsidRDefault="00941A0D" w:rsidP="00F448F5">
            <w:pPr>
              <w:ind w:left="571"/>
              <w:jc w:val="both"/>
              <w:rPr>
                <w:rFonts w:eastAsia="Arial Unicode MS" w:cs="Arial"/>
                <w:bCs/>
                <w:sz w:val="21"/>
                <w:szCs w:val="21"/>
                <w:lang w:val="en-US"/>
              </w:rPr>
            </w:pPr>
            <w:r w:rsidRPr="00941A0D">
              <w:rPr>
                <w:rFonts w:eastAsia="Arial Unicode MS" w:cs="Arial"/>
                <w:bCs/>
                <w:sz w:val="21"/>
                <w:szCs w:val="21"/>
                <w:lang w:val="en-US"/>
              </w:rPr>
              <w:t>ARTÍCULO  2.2.3.3.1 Coordinación de políticas relacionadas con la gestión del espacio público. El Ministerio de Vivienda, Ciudad y Territorio deberá coordinar las políticas nacionales relacionadas con la gestión del espacio público en el marco de la planeación del ordenamiento del territorio con el apoyo técnico a las entidades territoriales y áreas metropolitanas.</w:t>
            </w:r>
          </w:p>
          <w:p w14:paraId="612A84C1" w14:textId="77777777" w:rsidR="00F448F5" w:rsidRDefault="00F448F5" w:rsidP="00F448F5">
            <w:pPr>
              <w:ind w:left="571"/>
              <w:jc w:val="both"/>
              <w:rPr>
                <w:rFonts w:eastAsia="Arial Unicode MS" w:cs="Arial"/>
                <w:bCs/>
                <w:sz w:val="21"/>
                <w:szCs w:val="21"/>
                <w:lang w:val="en-US"/>
              </w:rPr>
            </w:pPr>
          </w:p>
          <w:p w14:paraId="3733C93D" w14:textId="77777777" w:rsidR="00F448F5" w:rsidRDefault="00F448F5" w:rsidP="00F448F5">
            <w:pPr>
              <w:ind w:left="571"/>
              <w:jc w:val="both"/>
              <w:rPr>
                <w:rFonts w:eastAsia="Arial Unicode MS" w:cs="Arial"/>
                <w:b/>
                <w:sz w:val="21"/>
                <w:szCs w:val="21"/>
              </w:rPr>
            </w:pPr>
          </w:p>
          <w:p w14:paraId="58BBFCEE" w14:textId="77777777" w:rsidR="00F448F5" w:rsidRPr="00F448F5" w:rsidRDefault="00F448F5" w:rsidP="00F448F5">
            <w:pPr>
              <w:ind w:left="571"/>
              <w:jc w:val="both"/>
              <w:rPr>
                <w:rFonts w:eastAsia="Arial Unicode MS" w:cs="Arial"/>
                <w:b/>
                <w:sz w:val="21"/>
                <w:szCs w:val="21"/>
              </w:rPr>
            </w:pPr>
            <w:r w:rsidRPr="00941A0D">
              <w:rPr>
                <w:rFonts w:eastAsia="Arial Unicode MS" w:cs="Arial"/>
                <w:b/>
                <w:sz w:val="21"/>
                <w:szCs w:val="21"/>
              </w:rPr>
              <w:t>Ley 2037 de 2020</w:t>
            </w:r>
          </w:p>
          <w:p w14:paraId="3EE31326" w14:textId="77777777" w:rsidR="00F448F5" w:rsidRDefault="00F448F5" w:rsidP="00F448F5">
            <w:pPr>
              <w:ind w:left="571"/>
              <w:jc w:val="both"/>
              <w:rPr>
                <w:rFonts w:eastAsia="Arial Unicode MS" w:cs="Arial"/>
                <w:bCs/>
                <w:sz w:val="21"/>
                <w:szCs w:val="21"/>
                <w:lang w:val="en-US"/>
              </w:rPr>
            </w:pPr>
          </w:p>
          <w:p w14:paraId="286266BB" w14:textId="77777777" w:rsidR="00F448F5" w:rsidRPr="00F448F5" w:rsidRDefault="00F448F5" w:rsidP="00F448F5">
            <w:pPr>
              <w:ind w:left="571"/>
              <w:jc w:val="both"/>
              <w:rPr>
                <w:rFonts w:eastAsia="Arial Unicode MS" w:cs="Arial"/>
                <w:bCs/>
                <w:sz w:val="21"/>
                <w:szCs w:val="21"/>
                <w:lang w:val="en-US"/>
              </w:rPr>
            </w:pPr>
            <w:r w:rsidRPr="00F448F5">
              <w:rPr>
                <w:rFonts w:eastAsia="Arial Unicode MS" w:cs="Arial"/>
                <w:bCs/>
                <w:sz w:val="21"/>
                <w:szCs w:val="21"/>
                <w:lang w:val="en-US"/>
              </w:rPr>
              <w:t>Artículo 3º de la Ley 2037 de 2020 “(…) A partir del cumplimiento del término señalado en el presente  artículo, las entidades competentes del Gobierno Nacional (…) fijarán los lineamientos y formularán las políticas tendientes a la generación, recuperación, aprovechamiento y sostenibilidad integral del espacio público, incluyendo las labores de mantenimiento y conservación de las zonas cedidas.”</w:t>
            </w:r>
          </w:p>
          <w:p w14:paraId="620BEA2D" w14:textId="77777777" w:rsidR="00941A0D" w:rsidRPr="00941A0D" w:rsidRDefault="00941A0D" w:rsidP="00F448F5">
            <w:pPr>
              <w:jc w:val="both"/>
              <w:rPr>
                <w:rFonts w:eastAsia="Arial Unicode MS" w:cs="Arial"/>
                <w:bCs/>
                <w:sz w:val="21"/>
                <w:szCs w:val="21"/>
                <w:lang w:val="en-US"/>
              </w:rPr>
            </w:pPr>
          </w:p>
          <w:p w14:paraId="37439095" w14:textId="77777777" w:rsidR="00795C6B" w:rsidRDefault="00795C6B" w:rsidP="00254C85">
            <w:pPr>
              <w:numPr>
                <w:ilvl w:val="1"/>
                <w:numId w:val="47"/>
              </w:num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>
              <w:rPr>
                <w:rFonts w:cs="Arial"/>
                <w:sz w:val="22"/>
                <w:szCs w:val="22"/>
                <w:lang w:val="es-CO" w:eastAsia="es-CO"/>
              </w:rPr>
              <w:t>Vigencia de la ley o norma reglamentada o desarrollada</w:t>
            </w:r>
          </w:p>
          <w:p w14:paraId="360E86CF" w14:textId="77777777" w:rsidR="00254C85" w:rsidRDefault="00254C85" w:rsidP="00254C85">
            <w:p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66569581" w14:textId="77777777" w:rsidR="00254C85" w:rsidRPr="009375CE" w:rsidRDefault="00203800" w:rsidP="00970C49">
            <w:pPr>
              <w:ind w:left="571"/>
              <w:jc w:val="both"/>
              <w:rPr>
                <w:rFonts w:cs="Arial"/>
                <w:sz w:val="21"/>
                <w:szCs w:val="21"/>
                <w:lang w:val="es-CO" w:eastAsia="es-CO"/>
              </w:rPr>
            </w:pPr>
            <w:r>
              <w:rPr>
                <w:rFonts w:cs="Arial"/>
                <w:sz w:val="21"/>
                <w:szCs w:val="21"/>
                <w:lang w:val="es-CO" w:eastAsia="es-CO"/>
              </w:rPr>
              <w:t xml:space="preserve">El Decreto 1077 de 2015 </w:t>
            </w:r>
            <w:r w:rsidRPr="00203800">
              <w:rPr>
                <w:rFonts w:cs="Arial"/>
                <w:sz w:val="21"/>
                <w:szCs w:val="21"/>
                <w:lang w:val="es-CO" w:eastAsia="es-CO"/>
              </w:rPr>
              <w:t>“Por medio del cual se expide el Decreto Único Reglamentario del Sector Vivienda, Ciudad y Territorio.”</w:t>
            </w:r>
            <w:r w:rsidR="009375CE" w:rsidRPr="009375CE">
              <w:rPr>
                <w:rFonts w:cs="Arial"/>
                <w:sz w:val="21"/>
                <w:szCs w:val="21"/>
                <w:lang w:val="es-CO" w:eastAsia="es-CO"/>
              </w:rPr>
              <w:t xml:space="preserve"> </w:t>
            </w:r>
            <w:r w:rsidR="00342E0A" w:rsidRPr="009375CE">
              <w:rPr>
                <w:rFonts w:cs="Arial"/>
                <w:sz w:val="21"/>
                <w:szCs w:val="21"/>
                <w:lang w:val="es-CO" w:eastAsia="es-CO"/>
              </w:rPr>
              <w:t>se encuentra vigente</w:t>
            </w:r>
            <w:r w:rsidR="00254C85" w:rsidRPr="009375CE">
              <w:rPr>
                <w:rFonts w:cs="Arial"/>
                <w:sz w:val="21"/>
                <w:szCs w:val="21"/>
                <w:lang w:val="es-CO" w:eastAsia="es-CO"/>
              </w:rPr>
              <w:t>.</w:t>
            </w:r>
          </w:p>
          <w:p w14:paraId="22B25BB1" w14:textId="77777777" w:rsidR="00795C6B" w:rsidRDefault="00795C6B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2F74695F" w14:textId="77777777" w:rsidR="00254C85" w:rsidRDefault="00795C6B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>
              <w:rPr>
                <w:rFonts w:cs="Arial"/>
                <w:sz w:val="22"/>
                <w:szCs w:val="22"/>
                <w:lang w:val="es-CO" w:eastAsia="es-CO"/>
              </w:rPr>
              <w:t>3.3. Disposiciones derogas, subrogadas, modificadas, adicionadas</w:t>
            </w:r>
            <w:r w:rsidR="00D05B67">
              <w:rPr>
                <w:rFonts w:cs="Arial"/>
                <w:sz w:val="22"/>
                <w:szCs w:val="22"/>
                <w:lang w:val="es-CO" w:eastAsia="es-CO"/>
              </w:rPr>
              <w:t xml:space="preserve"> o sustituidas</w:t>
            </w:r>
          </w:p>
          <w:p w14:paraId="1FFB33B6" w14:textId="77777777" w:rsidR="00254C85" w:rsidRDefault="00254C85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02FB8A90" w14:textId="77777777" w:rsidR="007A19A1" w:rsidRPr="007A19A1" w:rsidRDefault="00970C49" w:rsidP="007A19A1">
            <w:pPr>
              <w:ind w:left="494"/>
              <w:jc w:val="both"/>
              <w:rPr>
                <w:lang w:val="es-CO" w:eastAsia="es-CO"/>
              </w:rPr>
            </w:pPr>
            <w:r w:rsidRPr="009375CE">
              <w:rPr>
                <w:rFonts w:cs="Arial"/>
                <w:sz w:val="21"/>
                <w:szCs w:val="21"/>
                <w:lang w:val="es-CO" w:eastAsia="es-CO"/>
              </w:rPr>
              <w:t xml:space="preserve">El proyecto de </w:t>
            </w:r>
            <w:r w:rsidR="007A19A1">
              <w:rPr>
                <w:rFonts w:cs="Arial"/>
                <w:sz w:val="21"/>
                <w:szCs w:val="21"/>
                <w:lang w:val="es-CO" w:eastAsia="es-CO"/>
              </w:rPr>
              <w:t>decreto modifica parcialmente</w:t>
            </w:r>
            <w:r w:rsidR="00602CB2">
              <w:rPr>
                <w:rFonts w:cs="Arial"/>
                <w:sz w:val="21"/>
                <w:szCs w:val="21"/>
                <w:lang w:val="es-CO" w:eastAsia="es-CO"/>
              </w:rPr>
              <w:t xml:space="preserve"> el Decreto 1077 de 2015</w:t>
            </w:r>
            <w:r w:rsidR="007A19A1">
              <w:rPr>
                <w:rFonts w:cs="Arial"/>
                <w:sz w:val="21"/>
                <w:szCs w:val="21"/>
                <w:lang w:val="es-CO" w:eastAsia="es-CO"/>
              </w:rPr>
              <w:t xml:space="preserve">, en </w:t>
            </w:r>
            <w:r w:rsidR="00602CB2">
              <w:rPr>
                <w:rFonts w:cs="Arial"/>
                <w:sz w:val="21"/>
                <w:szCs w:val="21"/>
                <w:lang w:val="es-CO" w:eastAsia="es-CO"/>
              </w:rPr>
              <w:t>particular en lo referente a la planificación, manejo y aprovechamiento económico del espacio público.</w:t>
            </w:r>
          </w:p>
          <w:p w14:paraId="06FF67B2" w14:textId="77777777" w:rsidR="00D05B67" w:rsidRDefault="00D05B67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0F39BFAE" w14:textId="77777777" w:rsidR="00D05B67" w:rsidRDefault="00D05B67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>
              <w:rPr>
                <w:rFonts w:cs="Arial"/>
                <w:sz w:val="22"/>
                <w:szCs w:val="22"/>
                <w:lang w:val="es-CO" w:eastAsia="es-CO"/>
              </w:rPr>
              <w:t>3.4 Revisión y análisis de la jurisprudencia que tenga impacto o sea relevante para la expedición del proyecto normativo (órganos de cierre de cada jurisdicción)</w:t>
            </w:r>
          </w:p>
          <w:p w14:paraId="357B4088" w14:textId="77777777" w:rsidR="00254C85" w:rsidRDefault="00254C85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54677331" w14:textId="77777777" w:rsidR="009F5195" w:rsidRPr="009F5195" w:rsidRDefault="00602CB2" w:rsidP="009F5195">
            <w:pPr>
              <w:numPr>
                <w:ilvl w:val="0"/>
                <w:numId w:val="48"/>
              </w:num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602CB2">
              <w:rPr>
                <w:rFonts w:cs="Arial"/>
                <w:sz w:val="22"/>
                <w:szCs w:val="22"/>
                <w:lang w:val="es-CO" w:eastAsia="es-CO"/>
              </w:rPr>
              <w:t>Sala Plena del Consejo de Estado,</w:t>
            </w:r>
            <w:r w:rsidR="009F5195">
              <w:rPr>
                <w:rFonts w:cs="Arial"/>
                <w:sz w:val="22"/>
                <w:szCs w:val="22"/>
                <w:lang w:val="es-CO" w:eastAsia="es-CO"/>
              </w:rPr>
              <w:t xml:space="preserve"> </w:t>
            </w:r>
            <w:r w:rsidR="009F5195" w:rsidRPr="009F5195">
              <w:rPr>
                <w:rFonts w:cs="Arial"/>
                <w:sz w:val="22"/>
                <w:szCs w:val="22"/>
                <w:lang w:val="es-CO" w:eastAsia="es-CO"/>
              </w:rPr>
              <w:t>sentencia del Consejo de Estado con radicación 05001-33-31-003-2009-0015701(AP)REV-SU y Magistrado Ponente Oswaldo Giraldo López, del 24 de agosto de 2018,</w:t>
            </w:r>
          </w:p>
          <w:p w14:paraId="1FBAEF6D" w14:textId="77777777" w:rsidR="00602CB2" w:rsidRDefault="00602CB2" w:rsidP="00602CB2">
            <w:pPr>
              <w:numPr>
                <w:ilvl w:val="0"/>
                <w:numId w:val="48"/>
              </w:numP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 w:rsidRPr="00602CB2">
              <w:rPr>
                <w:rFonts w:cs="Arial"/>
                <w:sz w:val="22"/>
                <w:szCs w:val="22"/>
                <w:lang w:val="es-CO" w:eastAsia="es-CO"/>
              </w:rPr>
              <w:t>Sentencia C-295 de 1993</w:t>
            </w:r>
          </w:p>
          <w:p w14:paraId="617FED28" w14:textId="77777777" w:rsidR="009F5195" w:rsidRDefault="009F5195" w:rsidP="00D41EEC">
            <w:pPr>
              <w:ind w:left="720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03B9F918" w14:textId="77777777" w:rsidR="00D05B67" w:rsidRDefault="00D05B67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  <w:r>
              <w:rPr>
                <w:rFonts w:cs="Arial"/>
                <w:sz w:val="22"/>
                <w:szCs w:val="22"/>
                <w:lang w:val="es-CO" w:eastAsia="es-CO"/>
              </w:rPr>
              <w:t xml:space="preserve">3.5 Circunstancias jurídicas adicionales </w:t>
            </w:r>
          </w:p>
          <w:p w14:paraId="1095ADDE" w14:textId="77777777" w:rsidR="00254C85" w:rsidRDefault="00254C85" w:rsidP="0075705D">
            <w:pPr>
              <w:ind w:left="494" w:hanging="283"/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  <w:p w14:paraId="66626F57" w14:textId="77777777" w:rsidR="00795C6B" w:rsidRPr="009F7CED" w:rsidRDefault="00795C6B" w:rsidP="00795C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Arial"/>
                <w:sz w:val="22"/>
                <w:szCs w:val="22"/>
                <w:lang w:val="es-CO" w:eastAsia="es-CO"/>
              </w:rPr>
            </w:pPr>
          </w:p>
        </w:tc>
      </w:tr>
      <w:tr w:rsidR="00DF60FD" w:rsidRPr="009F7CED" w14:paraId="6315476F" w14:textId="77777777" w:rsidTr="0075705D">
        <w:trPr>
          <w:trHeight w:val="92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91952" w14:textId="77777777" w:rsidR="00843EFF" w:rsidRPr="009F7CED" w:rsidRDefault="00843EFF" w:rsidP="00A161B9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3CCD1A6F" w14:textId="77777777" w:rsidR="00DF60FD" w:rsidRPr="009F7CED" w:rsidRDefault="00DF60FD" w:rsidP="00D05B67">
            <w:pPr>
              <w:numPr>
                <w:ilvl w:val="0"/>
                <w:numId w:val="45"/>
              </w:numPr>
              <w:rPr>
                <w:rFonts w:cs="Arial"/>
                <w:b/>
                <w:color w:val="000000"/>
                <w:sz w:val="22"/>
                <w:szCs w:val="22"/>
              </w:rPr>
            </w:pPr>
            <w:r w:rsidRPr="009F7CED">
              <w:rPr>
                <w:rFonts w:cs="Arial"/>
                <w:b/>
                <w:color w:val="000000"/>
                <w:sz w:val="22"/>
                <w:szCs w:val="22"/>
              </w:rPr>
              <w:t xml:space="preserve">IMPACTO ECONÓMICO </w:t>
            </w:r>
            <w:r w:rsidR="00D05B67" w:rsidRPr="00D05B67">
              <w:rPr>
                <w:rFonts w:cs="Arial"/>
                <w:color w:val="000000"/>
                <w:sz w:val="22"/>
                <w:szCs w:val="22"/>
              </w:rPr>
              <w:t>(Si se requiere)</w:t>
            </w:r>
          </w:p>
          <w:p w14:paraId="237BDE48" w14:textId="77777777" w:rsidR="00795C6B" w:rsidRPr="00795C6B" w:rsidRDefault="00795C6B" w:rsidP="00795C6B">
            <w:pPr>
              <w:pStyle w:val="ColorfulList-Accent11"/>
              <w:jc w:val="both"/>
              <w:rPr>
                <w:rFonts w:ascii="Arial" w:hAnsi="Arial" w:cs="Arial"/>
                <w:i/>
                <w:color w:val="808080"/>
                <w:sz w:val="18"/>
              </w:rPr>
            </w:pPr>
            <w:r w:rsidRPr="00795C6B">
              <w:rPr>
                <w:rFonts w:ascii="Arial" w:hAnsi="Arial" w:cs="Arial"/>
                <w:i/>
                <w:color w:val="808080"/>
                <w:sz w:val="18"/>
              </w:rPr>
              <w:t>(Por favor señale el costo o ahorro de la implementación del acto administrativo</w:t>
            </w:r>
            <w:r>
              <w:rPr>
                <w:rFonts w:ascii="Arial" w:hAnsi="Arial" w:cs="Arial"/>
                <w:i/>
                <w:color w:val="808080"/>
                <w:sz w:val="18"/>
              </w:rPr>
              <w:t>)</w:t>
            </w:r>
          </w:p>
          <w:p w14:paraId="620B2E58" w14:textId="77777777" w:rsidR="00CF23F5" w:rsidRPr="009375CE" w:rsidRDefault="009314FB" w:rsidP="00970C49">
            <w:pPr>
              <w:pStyle w:val="NormalWeb"/>
              <w:spacing w:before="0" w:beforeAutospacing="0" w:after="0" w:afterAutospacing="0"/>
              <w:ind w:left="708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141414"/>
                <w:sz w:val="21"/>
                <w:szCs w:val="21"/>
                <w:lang w:eastAsia="es-419"/>
              </w:rPr>
              <w:t>El</w:t>
            </w:r>
            <w:r w:rsidR="009375CE" w:rsidRPr="009375CE">
              <w:rPr>
                <w:rFonts w:ascii="Arial" w:hAnsi="Arial" w:cs="Arial"/>
                <w:color w:val="141414"/>
                <w:sz w:val="21"/>
                <w:szCs w:val="21"/>
                <w:lang w:eastAsia="es-419"/>
              </w:rPr>
              <w:t xml:space="preserve"> presente </w:t>
            </w:r>
            <w:r>
              <w:rPr>
                <w:rFonts w:ascii="Arial" w:hAnsi="Arial" w:cs="Arial"/>
                <w:color w:val="141414"/>
                <w:sz w:val="21"/>
                <w:szCs w:val="21"/>
                <w:lang w:eastAsia="es-419"/>
              </w:rPr>
              <w:t>decreto</w:t>
            </w:r>
            <w:r w:rsidR="009375CE" w:rsidRPr="009375CE">
              <w:rPr>
                <w:rFonts w:ascii="Arial" w:hAnsi="Arial" w:cs="Arial"/>
                <w:color w:val="141414"/>
                <w:sz w:val="21"/>
                <w:szCs w:val="21"/>
                <w:lang w:eastAsia="es-419"/>
              </w:rPr>
              <w:t xml:space="preserve"> </w:t>
            </w:r>
            <w:r w:rsidR="00CF23F5" w:rsidRPr="009375CE">
              <w:rPr>
                <w:rFonts w:ascii="Arial" w:hAnsi="Arial" w:cs="Arial"/>
                <w:bCs/>
                <w:sz w:val="21"/>
                <w:szCs w:val="21"/>
              </w:rPr>
              <w:t>no genera impacto económico en los destinatarios de la norma.</w:t>
            </w:r>
          </w:p>
          <w:p w14:paraId="61FDDD07" w14:textId="77777777" w:rsidR="00843EFF" w:rsidRPr="00795C6B" w:rsidRDefault="00843EFF" w:rsidP="00795C6B">
            <w:pPr>
              <w:jc w:val="both"/>
              <w:rPr>
                <w:rFonts w:cs="Arial"/>
                <w:sz w:val="22"/>
                <w:szCs w:val="22"/>
                <w:lang w:val="es-CO"/>
              </w:rPr>
            </w:pPr>
          </w:p>
        </w:tc>
      </w:tr>
      <w:tr w:rsidR="00DF60FD" w:rsidRPr="009F7CED" w14:paraId="01E6662A" w14:textId="77777777" w:rsidTr="0075705D">
        <w:trPr>
          <w:trHeight w:val="66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24AC3" w14:textId="77777777" w:rsidR="00843EFF" w:rsidRPr="009F7CED" w:rsidRDefault="00843EFF" w:rsidP="00A161B9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4FDAE1B9" w14:textId="77777777" w:rsidR="00DF60FD" w:rsidRPr="009F7CED" w:rsidRDefault="00795C6B" w:rsidP="00D05B67">
            <w:pPr>
              <w:numPr>
                <w:ilvl w:val="0"/>
                <w:numId w:val="45"/>
              </w:num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VIABILIDAD O </w:t>
            </w:r>
            <w:r w:rsidR="00DF60FD" w:rsidRPr="009F7CED">
              <w:rPr>
                <w:rFonts w:cs="Arial"/>
                <w:b/>
                <w:color w:val="000000"/>
                <w:sz w:val="22"/>
                <w:szCs w:val="22"/>
              </w:rPr>
              <w:t xml:space="preserve">DISPONIBILIDAD PRESUPUESTAL </w:t>
            </w:r>
            <w:r w:rsidR="00D05B67" w:rsidRPr="00D05B67">
              <w:rPr>
                <w:rFonts w:cs="Arial"/>
                <w:color w:val="000000"/>
                <w:sz w:val="22"/>
                <w:szCs w:val="22"/>
              </w:rPr>
              <w:t>(Si se requiere)</w:t>
            </w:r>
          </w:p>
          <w:p w14:paraId="1B12499B" w14:textId="77777777" w:rsidR="00D05B67" w:rsidRPr="00795C6B" w:rsidRDefault="00D05B67" w:rsidP="00D05B67">
            <w:pPr>
              <w:pStyle w:val="ColorfulList-Accent11"/>
              <w:jc w:val="both"/>
              <w:rPr>
                <w:rFonts w:ascii="Arial" w:hAnsi="Arial" w:cs="Arial"/>
                <w:i/>
                <w:color w:val="808080"/>
                <w:sz w:val="18"/>
              </w:rPr>
            </w:pPr>
            <w:r w:rsidRPr="00795C6B">
              <w:rPr>
                <w:rFonts w:ascii="Arial" w:hAnsi="Arial" w:cs="Arial"/>
                <w:i/>
                <w:color w:val="808080"/>
                <w:sz w:val="18"/>
              </w:rPr>
              <w:t xml:space="preserve">(Por favor </w:t>
            </w:r>
            <w:r>
              <w:rPr>
                <w:rFonts w:ascii="Arial" w:hAnsi="Arial" w:cs="Arial"/>
                <w:i/>
                <w:color w:val="808080"/>
                <w:sz w:val="18"/>
              </w:rPr>
              <w:t xml:space="preserve">indique si cuenta con los recursos presupuestales disponibles para la implementación del proyecto normativo) </w:t>
            </w:r>
          </w:p>
          <w:p w14:paraId="279E7928" w14:textId="77777777" w:rsidR="00CF23F5" w:rsidRPr="009375CE" w:rsidRDefault="00CF23F5" w:rsidP="00970C49">
            <w:pPr>
              <w:pStyle w:val="NormalWeb"/>
              <w:spacing w:before="0" w:beforeAutospacing="0" w:after="0" w:afterAutospacing="0"/>
              <w:ind w:left="708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9375CE">
              <w:rPr>
                <w:rFonts w:ascii="Arial" w:hAnsi="Arial" w:cs="Arial"/>
                <w:bCs/>
                <w:sz w:val="21"/>
                <w:szCs w:val="21"/>
              </w:rPr>
              <w:t>No se requiere identificar los costos fiscales del proyecto normativo ni la fuente para la financiación, pues en este caso el proyecto no genera impacto presupuestal.</w:t>
            </w:r>
          </w:p>
          <w:p w14:paraId="059AAFB4" w14:textId="77777777" w:rsidR="00CF23F5" w:rsidRPr="009375CE" w:rsidRDefault="00CF23F5" w:rsidP="00970C49">
            <w:pPr>
              <w:pStyle w:val="NormalWeb"/>
              <w:spacing w:before="0" w:beforeAutospacing="0" w:after="0" w:afterAutospacing="0"/>
              <w:ind w:left="708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A533A66" w14:textId="77777777" w:rsidR="00F44A2E" w:rsidRPr="009375CE" w:rsidRDefault="00CF23F5" w:rsidP="00970C49">
            <w:pPr>
              <w:pStyle w:val="NormalWeb"/>
              <w:spacing w:before="0" w:beforeAutospacing="0" w:after="0" w:afterAutospacing="0"/>
              <w:ind w:left="708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9375CE">
              <w:rPr>
                <w:rFonts w:ascii="Arial" w:hAnsi="Arial" w:cs="Arial"/>
                <w:bCs/>
                <w:sz w:val="21"/>
                <w:szCs w:val="21"/>
              </w:rPr>
              <w:t>La expedición del proyecto normativo no requiere de Certificado de Disponibilidad Presupuestal.</w:t>
            </w:r>
          </w:p>
          <w:p w14:paraId="05F422C4" w14:textId="77777777" w:rsidR="00696582" w:rsidRPr="009F7CED" w:rsidRDefault="00696582" w:rsidP="00F44A2E">
            <w:pPr>
              <w:jc w:val="both"/>
              <w:rPr>
                <w:sz w:val="22"/>
                <w:szCs w:val="22"/>
                <w:lang w:eastAsia="es-CO"/>
              </w:rPr>
            </w:pPr>
          </w:p>
        </w:tc>
      </w:tr>
      <w:tr w:rsidR="00DF60FD" w:rsidRPr="009F7CED" w14:paraId="4410AB9B" w14:textId="77777777" w:rsidTr="00696582">
        <w:trPr>
          <w:trHeight w:val="1295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EA0C21" w14:textId="77777777" w:rsidR="00DF60FD" w:rsidRPr="009F7CED" w:rsidRDefault="00DF60FD" w:rsidP="00D05B67">
            <w:pPr>
              <w:numPr>
                <w:ilvl w:val="0"/>
                <w:numId w:val="45"/>
              </w:numPr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  <w:r w:rsidRPr="009F7CED">
              <w:rPr>
                <w:rFonts w:cs="Arial"/>
                <w:b/>
                <w:color w:val="000000"/>
                <w:sz w:val="22"/>
                <w:szCs w:val="22"/>
              </w:rPr>
              <w:t xml:space="preserve"> IMPACTO MEDIOAMBIENTAL O SOBRE EL PATRIMONIO CULTURAL DE LA NACIÓN </w:t>
            </w:r>
            <w:r w:rsidR="00D05B67" w:rsidRPr="00D05B67">
              <w:rPr>
                <w:rFonts w:cs="Arial"/>
                <w:color w:val="000000"/>
                <w:sz w:val="22"/>
                <w:szCs w:val="22"/>
              </w:rPr>
              <w:t>(Si se requiere)</w:t>
            </w:r>
          </w:p>
          <w:p w14:paraId="73E05B01" w14:textId="77777777" w:rsidR="00D05B67" w:rsidRDefault="00D05B67" w:rsidP="00696582">
            <w:pPr>
              <w:ind w:left="778"/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i/>
                <w:color w:val="808080"/>
                <w:sz w:val="18"/>
                <w:szCs w:val="22"/>
              </w:rPr>
              <w:t>(</w:t>
            </w:r>
            <w:r w:rsidRPr="00795C6B">
              <w:rPr>
                <w:rFonts w:cs="Arial"/>
                <w:i/>
                <w:color w:val="808080"/>
                <w:sz w:val="18"/>
                <w:szCs w:val="22"/>
              </w:rPr>
              <w:t xml:space="preserve">Por favor </w:t>
            </w:r>
            <w:r>
              <w:rPr>
                <w:rFonts w:cs="Arial"/>
                <w:i/>
                <w:color w:val="808080"/>
                <w:sz w:val="18"/>
              </w:rPr>
              <w:t xml:space="preserve">indique el proyecto normativo tiene impacto sobre el medio ambiente o el Patrimonio cultural de la Nación) </w:t>
            </w:r>
          </w:p>
          <w:p w14:paraId="01102071" w14:textId="77777777" w:rsidR="00D05B67" w:rsidRDefault="00D05B67" w:rsidP="00FA4A9E">
            <w:pPr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</w:p>
          <w:p w14:paraId="62B931E4" w14:textId="77777777" w:rsidR="00342E0A" w:rsidRPr="009375CE" w:rsidRDefault="00214B19" w:rsidP="00970C49">
            <w:pPr>
              <w:ind w:left="708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color w:val="141414"/>
                <w:sz w:val="21"/>
                <w:szCs w:val="21"/>
                <w:lang w:eastAsia="es-419"/>
              </w:rPr>
              <w:t>El</w:t>
            </w:r>
            <w:r w:rsidR="009375CE" w:rsidRPr="009375CE">
              <w:rPr>
                <w:rFonts w:cs="Arial"/>
                <w:color w:val="141414"/>
                <w:sz w:val="21"/>
                <w:szCs w:val="21"/>
                <w:lang w:eastAsia="es-419"/>
              </w:rPr>
              <w:t xml:space="preserve"> presente </w:t>
            </w:r>
            <w:r>
              <w:rPr>
                <w:rFonts w:cs="Arial"/>
                <w:color w:val="141414"/>
                <w:sz w:val="21"/>
                <w:szCs w:val="21"/>
                <w:lang w:eastAsia="es-419"/>
              </w:rPr>
              <w:t>decreto</w:t>
            </w:r>
            <w:r w:rsidR="009375CE" w:rsidRPr="009375CE">
              <w:rPr>
                <w:rFonts w:cs="Arial"/>
                <w:color w:val="141414"/>
                <w:sz w:val="21"/>
                <w:szCs w:val="21"/>
                <w:lang w:eastAsia="es-419"/>
              </w:rPr>
              <w:t xml:space="preserve"> </w:t>
            </w:r>
            <w:r w:rsidR="00342E0A" w:rsidRPr="009375CE">
              <w:rPr>
                <w:rFonts w:cs="Arial"/>
                <w:bCs/>
                <w:sz w:val="21"/>
                <w:szCs w:val="21"/>
              </w:rPr>
              <w:t>no genera impacto medioambiental o sobre el patrimonio cultural de la Nación.</w:t>
            </w:r>
          </w:p>
          <w:p w14:paraId="75BBE36C" w14:textId="77777777" w:rsidR="00CF23F5" w:rsidRPr="009F7CED" w:rsidRDefault="00CF23F5" w:rsidP="00FA4A9E">
            <w:pPr>
              <w:jc w:val="both"/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DF60FD" w:rsidRPr="009F7CED" w14:paraId="28527545" w14:textId="77777777" w:rsidTr="00696582">
        <w:trPr>
          <w:trHeight w:val="317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43F6F" w14:textId="77777777" w:rsidR="00D05B67" w:rsidRPr="009F7CED" w:rsidRDefault="00D05B67" w:rsidP="00696582">
            <w:pPr>
              <w:numPr>
                <w:ilvl w:val="0"/>
                <w:numId w:val="45"/>
              </w:numPr>
              <w:jc w:val="both"/>
              <w:rPr>
                <w:rFonts w:cs="Arial"/>
                <w:sz w:val="22"/>
                <w:szCs w:val="22"/>
              </w:rPr>
            </w:pPr>
            <w:r w:rsidRPr="00D05B67">
              <w:rPr>
                <w:rFonts w:cs="Arial"/>
                <w:b/>
                <w:sz w:val="22"/>
                <w:szCs w:val="22"/>
              </w:rPr>
              <w:t>ESTUDIOS TÉCNICOS QUE SUSTENTEN EL PROYECTO NORMATIVO</w:t>
            </w:r>
            <w:r>
              <w:rPr>
                <w:rFonts w:cs="Arial"/>
                <w:sz w:val="22"/>
                <w:szCs w:val="22"/>
              </w:rPr>
              <w:t xml:space="preserve"> (Si cuenta con ellos)</w:t>
            </w:r>
            <w:r w:rsidR="00696582" w:rsidRPr="009F7CED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DF60FD" w:rsidRPr="009F7CED" w14:paraId="343D4C99" w14:textId="77777777" w:rsidTr="0075705D">
        <w:trPr>
          <w:trHeight w:val="66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6999C6" w14:textId="77777777" w:rsidR="00843EFF" w:rsidRPr="00342E0A" w:rsidRDefault="00342E0A" w:rsidP="00A161B9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342E0A">
              <w:rPr>
                <w:rFonts w:cs="Arial"/>
                <w:bCs/>
                <w:color w:val="000000"/>
                <w:sz w:val="22"/>
                <w:szCs w:val="22"/>
              </w:rPr>
              <w:t>N/A</w:t>
            </w:r>
          </w:p>
        </w:tc>
      </w:tr>
      <w:tr w:rsidR="00DF60FD" w:rsidRPr="009F7CED" w14:paraId="3D7613D7" w14:textId="77777777" w:rsidTr="0075705D">
        <w:trPr>
          <w:trHeight w:val="66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B0533D" w14:textId="77777777" w:rsidR="00DF60FD" w:rsidRPr="009F7CED" w:rsidRDefault="00DF60FD" w:rsidP="00F55DC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F60FD" w:rsidRPr="009F7CED" w14:paraId="46EBE0E9" w14:textId="77777777" w:rsidTr="0075705D">
        <w:trPr>
          <w:trHeight w:val="66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E40049" w14:textId="77777777" w:rsidR="00DF60FD" w:rsidRPr="009F7CED" w:rsidRDefault="00DF60FD" w:rsidP="00A161B9">
            <w:pPr>
              <w:rPr>
                <w:rFonts w:cs="Arial"/>
                <w:color w:val="996633"/>
                <w:sz w:val="22"/>
                <w:szCs w:val="22"/>
              </w:rPr>
            </w:pPr>
          </w:p>
        </w:tc>
      </w:tr>
      <w:tr w:rsidR="00DF60FD" w:rsidRPr="009F7CED" w14:paraId="08CADC34" w14:textId="77777777" w:rsidTr="0075705D">
        <w:trPr>
          <w:trHeight w:val="66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20362A" w14:textId="77777777" w:rsidR="00DF60FD" w:rsidRPr="009F7CED" w:rsidRDefault="00DF60FD" w:rsidP="00F55DC4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DF60FD" w:rsidRPr="009F7CED" w14:paraId="49DCC1E0" w14:textId="77777777" w:rsidTr="0075705D">
        <w:trPr>
          <w:trHeight w:val="66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6E5C6D" w14:textId="77777777" w:rsidR="00DF60FD" w:rsidRPr="009F7CED" w:rsidRDefault="00DF60FD" w:rsidP="00C7294E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F60FD" w:rsidRPr="009F7CED" w14:paraId="567679B8" w14:textId="77777777" w:rsidTr="0075705D">
        <w:trPr>
          <w:trHeight w:val="66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068704" w14:textId="77777777" w:rsidR="00DF60FD" w:rsidRPr="009F7CED" w:rsidRDefault="00DF60FD" w:rsidP="00843EFF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</w:p>
        </w:tc>
      </w:tr>
      <w:tr w:rsidR="00DF60FD" w:rsidRPr="00D965B1" w14:paraId="1E48D96F" w14:textId="77777777" w:rsidTr="00696582">
        <w:trPr>
          <w:trHeight w:val="416"/>
        </w:trPr>
        <w:tc>
          <w:tcPr>
            <w:tcW w:w="107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5B8AFF"/>
            <w:vAlign w:val="center"/>
          </w:tcPr>
          <w:p w14:paraId="1A287CCF" w14:textId="77777777" w:rsidR="00F55DC4" w:rsidRPr="00D965B1" w:rsidRDefault="00DF60FD" w:rsidP="00696582">
            <w:pPr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D965B1">
              <w:rPr>
                <w:rFonts w:cs="Arial"/>
                <w:b/>
                <w:color w:val="FFFFFF"/>
                <w:sz w:val="22"/>
                <w:szCs w:val="22"/>
              </w:rPr>
              <w:t>ANEXOS</w:t>
            </w:r>
            <w:r w:rsidR="00D05B67" w:rsidRPr="00D965B1">
              <w:rPr>
                <w:rFonts w:cs="Arial"/>
                <w:b/>
                <w:color w:val="FFFFFF"/>
                <w:sz w:val="22"/>
                <w:szCs w:val="22"/>
              </w:rPr>
              <w:t>:</w:t>
            </w:r>
            <w:r w:rsidR="00696582" w:rsidRPr="00D965B1">
              <w:rPr>
                <w:rFonts w:cs="Arial"/>
                <w:color w:val="FFFFFF"/>
                <w:sz w:val="22"/>
                <w:szCs w:val="22"/>
              </w:rPr>
              <w:t xml:space="preserve"> </w:t>
            </w:r>
          </w:p>
        </w:tc>
      </w:tr>
      <w:tr w:rsidR="00D05B67" w:rsidRPr="009F7CED" w14:paraId="710D43E3" w14:textId="77777777" w:rsidTr="0075705D">
        <w:trPr>
          <w:trHeight w:val="66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A2EB2" w14:textId="77777777" w:rsidR="00D05B67" w:rsidRDefault="00D05B67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Certificación de cumplimiento de requisitos de consulta, publicidad y de incorporación en la agenda regulatoria </w:t>
            </w:r>
          </w:p>
          <w:p w14:paraId="466E456B" w14:textId="77777777" w:rsidR="00D05B67" w:rsidRPr="00084B49" w:rsidRDefault="00D05B67" w:rsidP="00D05B67">
            <w:pPr>
              <w:jc w:val="both"/>
              <w:rPr>
                <w:rFonts w:cs="Arial"/>
                <w:i/>
                <w:color w:val="808080"/>
                <w:sz w:val="22"/>
                <w:szCs w:val="22"/>
              </w:rPr>
            </w:pPr>
            <w:r w:rsidRPr="00084B49">
              <w:rPr>
                <w:rFonts w:cs="Arial"/>
                <w:i/>
                <w:color w:val="808080"/>
                <w:szCs w:val="22"/>
              </w:rPr>
              <w:t>(Firmada por el servidor público competente –entidad originadora)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6A034C" w14:textId="77777777" w:rsidR="00D05B67" w:rsidRPr="008A305E" w:rsidRDefault="008A305E" w:rsidP="00D05B67">
            <w:pPr>
              <w:jc w:val="both"/>
              <w:rPr>
                <w:rFonts w:cs="Arial"/>
                <w:b/>
                <w:bCs/>
                <w:i/>
                <w:sz w:val="22"/>
                <w:szCs w:val="22"/>
              </w:rPr>
            </w:pPr>
            <w:r w:rsidRPr="008A305E">
              <w:rPr>
                <w:rFonts w:cs="Arial"/>
                <w:b/>
                <w:bCs/>
                <w:i/>
                <w:sz w:val="22"/>
                <w:szCs w:val="22"/>
              </w:rPr>
              <w:t>X</w:t>
            </w:r>
          </w:p>
        </w:tc>
      </w:tr>
      <w:tr w:rsidR="00D05B67" w:rsidRPr="009F7CED" w14:paraId="0E7D02EE" w14:textId="77777777" w:rsidTr="0075705D">
        <w:trPr>
          <w:trHeight w:val="66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24E08" w14:textId="77777777" w:rsidR="00D05B67" w:rsidRDefault="00D05B67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Concepto</w:t>
            </w:r>
            <w:r w:rsidR="005F30C3">
              <w:rPr>
                <w:rFonts w:cs="Arial"/>
                <w:sz w:val="22"/>
                <w:szCs w:val="22"/>
              </w:rPr>
              <w:t>(s)</w:t>
            </w:r>
            <w:r>
              <w:rPr>
                <w:rFonts w:cs="Arial"/>
                <w:sz w:val="22"/>
                <w:szCs w:val="22"/>
              </w:rPr>
              <w:t xml:space="preserve"> de Min</w:t>
            </w:r>
            <w:r w:rsidR="005F30C3">
              <w:rPr>
                <w:rFonts w:cs="Arial"/>
                <w:sz w:val="22"/>
                <w:szCs w:val="22"/>
              </w:rPr>
              <w:t>isterio de</w:t>
            </w:r>
            <w:r>
              <w:rPr>
                <w:rFonts w:cs="Arial"/>
                <w:sz w:val="22"/>
                <w:szCs w:val="22"/>
              </w:rPr>
              <w:t xml:space="preserve"> Comercio</w:t>
            </w:r>
            <w:r w:rsidR="005F30C3">
              <w:rPr>
                <w:rFonts w:cs="Arial"/>
                <w:sz w:val="22"/>
                <w:szCs w:val="22"/>
              </w:rPr>
              <w:t>, Industria y Turismo</w:t>
            </w:r>
          </w:p>
          <w:p w14:paraId="7EA85867" w14:textId="77777777" w:rsidR="00D05B67" w:rsidRPr="00084B49" w:rsidRDefault="005F30C3" w:rsidP="00D05B67">
            <w:pPr>
              <w:jc w:val="both"/>
              <w:rPr>
                <w:rFonts w:cs="Arial"/>
                <w:i/>
                <w:color w:val="808080"/>
                <w:sz w:val="22"/>
                <w:szCs w:val="22"/>
              </w:rPr>
            </w:pPr>
            <w:r w:rsidRPr="00084B49">
              <w:rPr>
                <w:rFonts w:cs="Arial"/>
                <w:i/>
                <w:color w:val="808080"/>
                <w:szCs w:val="22"/>
              </w:rPr>
              <w:t>(Cuando se trate de un proyecto de reglamento técnico o de procedimientos de evaluación de conformidad)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545CE8" w14:textId="77777777" w:rsidR="00D05B67" w:rsidRDefault="008A305E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/>
                <w:color w:val="808080"/>
                <w:sz w:val="22"/>
                <w:szCs w:val="22"/>
              </w:rPr>
              <w:t>N/A</w:t>
            </w:r>
          </w:p>
        </w:tc>
      </w:tr>
      <w:tr w:rsidR="005F30C3" w:rsidRPr="009F7CED" w14:paraId="028E2775" w14:textId="77777777" w:rsidTr="0075705D">
        <w:trPr>
          <w:trHeight w:val="66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62559" w14:textId="77777777" w:rsidR="005F30C3" w:rsidRDefault="005F30C3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Informe de observaciones y respuestas </w:t>
            </w:r>
          </w:p>
          <w:p w14:paraId="5433ACB6" w14:textId="77777777" w:rsidR="005F30C3" w:rsidRPr="00084B49" w:rsidRDefault="005F30C3" w:rsidP="00D05B67">
            <w:pPr>
              <w:jc w:val="both"/>
              <w:rPr>
                <w:rFonts w:cs="Arial"/>
                <w:i/>
                <w:color w:val="808080"/>
                <w:sz w:val="22"/>
                <w:szCs w:val="22"/>
              </w:rPr>
            </w:pPr>
            <w:r w:rsidRPr="00084B49">
              <w:rPr>
                <w:rFonts w:cs="Arial"/>
                <w:i/>
                <w:color w:val="808080"/>
                <w:szCs w:val="22"/>
              </w:rPr>
              <w:t>(Análisis del informe con la evaluación de las observaciones de los ciudadanos y grupos de interés sobre el proyecto normativo)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7592D0" w14:textId="77777777" w:rsidR="005F30C3" w:rsidRDefault="008A305E" w:rsidP="00D05B67">
            <w:pPr>
              <w:jc w:val="both"/>
              <w:rPr>
                <w:rFonts w:cs="Arial"/>
                <w:sz w:val="22"/>
                <w:szCs w:val="22"/>
              </w:rPr>
            </w:pPr>
            <w:r w:rsidRPr="008A305E">
              <w:rPr>
                <w:rFonts w:cs="Arial"/>
                <w:b/>
                <w:bCs/>
                <w:i/>
                <w:sz w:val="22"/>
                <w:szCs w:val="22"/>
              </w:rPr>
              <w:t>X</w:t>
            </w:r>
          </w:p>
        </w:tc>
      </w:tr>
      <w:tr w:rsidR="005F30C3" w:rsidRPr="009F7CED" w14:paraId="7A01D887" w14:textId="77777777" w:rsidTr="0075705D">
        <w:trPr>
          <w:trHeight w:val="66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C6A94" w14:textId="77777777" w:rsidR="005F30C3" w:rsidRDefault="005F30C3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Concepto de Abogacía de la Competencia de la Superintendencia de Industria y Comercio</w:t>
            </w:r>
          </w:p>
          <w:p w14:paraId="7FE176A6" w14:textId="77777777" w:rsidR="005F30C3" w:rsidRPr="00084B49" w:rsidRDefault="005F30C3" w:rsidP="00D05B67">
            <w:pPr>
              <w:jc w:val="both"/>
              <w:rPr>
                <w:rFonts w:cs="Arial"/>
                <w:i/>
                <w:color w:val="808080"/>
                <w:sz w:val="22"/>
                <w:szCs w:val="22"/>
              </w:rPr>
            </w:pPr>
            <w:r w:rsidRPr="00084B49">
              <w:rPr>
                <w:rFonts w:cs="Arial"/>
                <w:i/>
                <w:color w:val="808080"/>
                <w:szCs w:val="22"/>
              </w:rPr>
              <w:t>(Cuando los proyectos normativos tengan incidencia en la libre competencia de los mercados)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91A8B5" w14:textId="77777777" w:rsidR="005F30C3" w:rsidRDefault="008A305E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/>
                <w:color w:val="808080"/>
                <w:sz w:val="22"/>
                <w:szCs w:val="22"/>
              </w:rPr>
              <w:t>N/A</w:t>
            </w:r>
          </w:p>
        </w:tc>
      </w:tr>
      <w:tr w:rsidR="005F30C3" w:rsidRPr="009F7CED" w14:paraId="75DB915C" w14:textId="77777777" w:rsidTr="0075705D">
        <w:trPr>
          <w:trHeight w:val="66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CBCC3" w14:textId="77777777" w:rsidR="005F30C3" w:rsidRDefault="005F30C3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Concepto de aprobación nuevos trámites del Departamento Administrativo de la Función Pública</w:t>
            </w:r>
          </w:p>
          <w:p w14:paraId="36425949" w14:textId="77777777" w:rsidR="005F30C3" w:rsidRDefault="005F30C3" w:rsidP="00D05B67">
            <w:pPr>
              <w:jc w:val="both"/>
              <w:rPr>
                <w:rFonts w:cs="Arial"/>
                <w:sz w:val="22"/>
                <w:szCs w:val="22"/>
              </w:rPr>
            </w:pPr>
            <w:r w:rsidRPr="00084B49">
              <w:rPr>
                <w:rFonts w:cs="Arial"/>
                <w:i/>
                <w:color w:val="808080"/>
                <w:szCs w:val="22"/>
              </w:rPr>
              <w:t>(Cuando el proyecto normativo adopte o modifique un trámite)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81432" w14:textId="77777777" w:rsidR="005F30C3" w:rsidRDefault="008A305E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/>
                <w:color w:val="808080"/>
                <w:sz w:val="22"/>
                <w:szCs w:val="22"/>
              </w:rPr>
              <w:t>N/A</w:t>
            </w:r>
          </w:p>
        </w:tc>
      </w:tr>
      <w:tr w:rsidR="005F30C3" w:rsidRPr="009F7CED" w14:paraId="1FCB9C1E" w14:textId="77777777" w:rsidTr="0075705D">
        <w:trPr>
          <w:trHeight w:val="66"/>
        </w:trPr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47667" w14:textId="77777777" w:rsidR="005F30C3" w:rsidRDefault="005F30C3" w:rsidP="00084B49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Otro </w:t>
            </w:r>
          </w:p>
          <w:p w14:paraId="401F0A2F" w14:textId="77777777" w:rsidR="005F30C3" w:rsidRDefault="005F30C3" w:rsidP="00084B49">
            <w:pPr>
              <w:jc w:val="both"/>
              <w:rPr>
                <w:rFonts w:cs="Arial"/>
                <w:sz w:val="22"/>
                <w:szCs w:val="22"/>
              </w:rPr>
            </w:pPr>
            <w:r w:rsidRPr="00084B49">
              <w:rPr>
                <w:rFonts w:cs="Arial"/>
                <w:i/>
                <w:color w:val="808080"/>
                <w:szCs w:val="22"/>
              </w:rPr>
              <w:t>(Cualquier otro aspecto que la entidad originadora de la norma considere relevante o de importancia)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D692D5" w14:textId="77777777" w:rsidR="005F30C3" w:rsidRDefault="008A305E" w:rsidP="00D05B67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i/>
                <w:color w:val="808080"/>
                <w:sz w:val="22"/>
                <w:szCs w:val="22"/>
              </w:rPr>
              <w:t>N/A</w:t>
            </w:r>
          </w:p>
        </w:tc>
      </w:tr>
    </w:tbl>
    <w:p w14:paraId="61310137" w14:textId="47CE31D0" w:rsidR="00301DC2" w:rsidRDefault="00301DC2" w:rsidP="00587695">
      <w:pPr>
        <w:ind w:right="-377"/>
        <w:jc w:val="both"/>
        <w:rPr>
          <w:rFonts w:cs="Arial"/>
          <w:sz w:val="22"/>
          <w:szCs w:val="22"/>
        </w:rPr>
      </w:pPr>
    </w:p>
    <w:p w14:paraId="4C59DA7E" w14:textId="77777777" w:rsidR="006C58C2" w:rsidRPr="009F7CED" w:rsidRDefault="006C58C2" w:rsidP="00587695">
      <w:pPr>
        <w:ind w:right="-377"/>
        <w:jc w:val="both"/>
        <w:rPr>
          <w:rFonts w:cs="Arial"/>
          <w:sz w:val="22"/>
          <w:szCs w:val="22"/>
        </w:rPr>
      </w:pPr>
    </w:p>
    <w:p w14:paraId="3008956A" w14:textId="77777777" w:rsidR="00B66D03" w:rsidRPr="00D05B67" w:rsidRDefault="000B30A6" w:rsidP="00696582">
      <w:pPr>
        <w:ind w:left="-1276" w:right="-377" w:firstLine="283"/>
        <w:jc w:val="both"/>
        <w:rPr>
          <w:rFonts w:cs="Arial"/>
          <w:b/>
          <w:sz w:val="22"/>
          <w:szCs w:val="22"/>
        </w:rPr>
      </w:pPr>
      <w:r w:rsidRPr="00D05B67">
        <w:rPr>
          <w:rFonts w:cs="Arial"/>
          <w:b/>
          <w:sz w:val="22"/>
          <w:szCs w:val="22"/>
        </w:rPr>
        <w:lastRenderedPageBreak/>
        <w:t>Aprobó</w:t>
      </w:r>
      <w:r w:rsidR="00CB4D37" w:rsidRPr="00D05B67">
        <w:rPr>
          <w:rFonts w:cs="Arial"/>
          <w:b/>
          <w:sz w:val="22"/>
          <w:szCs w:val="22"/>
        </w:rPr>
        <w:t>:</w:t>
      </w:r>
    </w:p>
    <w:p w14:paraId="5458D5B4" w14:textId="77777777" w:rsidR="00B66D03" w:rsidRPr="009F7CED" w:rsidRDefault="00B66D03" w:rsidP="00086B16">
      <w:pPr>
        <w:ind w:left="-1276" w:right="-377"/>
        <w:jc w:val="both"/>
        <w:rPr>
          <w:rFonts w:cs="Arial"/>
          <w:sz w:val="22"/>
          <w:szCs w:val="22"/>
        </w:rPr>
      </w:pPr>
    </w:p>
    <w:p w14:paraId="6F0B3E31" w14:textId="77777777" w:rsidR="007E4CE3" w:rsidRPr="009F7CED" w:rsidRDefault="007E4CE3" w:rsidP="00086B16">
      <w:pPr>
        <w:ind w:left="-1276" w:right="-377"/>
        <w:jc w:val="both"/>
        <w:rPr>
          <w:rFonts w:cs="Arial"/>
          <w:sz w:val="22"/>
          <w:szCs w:val="22"/>
        </w:rPr>
      </w:pPr>
    </w:p>
    <w:p w14:paraId="1D5DDBE8" w14:textId="77777777" w:rsidR="007E4CE3" w:rsidRPr="009F7CED" w:rsidRDefault="007E4CE3" w:rsidP="00086B16">
      <w:pPr>
        <w:ind w:left="-1276" w:right="-377"/>
        <w:jc w:val="both"/>
        <w:rPr>
          <w:rFonts w:cs="Arial"/>
          <w:sz w:val="22"/>
          <w:szCs w:val="22"/>
        </w:rPr>
      </w:pPr>
    </w:p>
    <w:p w14:paraId="34CA21BB" w14:textId="77777777" w:rsidR="00F16839" w:rsidRPr="009F7CED" w:rsidRDefault="00F16839" w:rsidP="0075705D">
      <w:pPr>
        <w:ind w:right="-377"/>
        <w:jc w:val="both"/>
        <w:rPr>
          <w:rFonts w:cs="Arial"/>
          <w:sz w:val="22"/>
          <w:szCs w:val="22"/>
        </w:rPr>
      </w:pPr>
    </w:p>
    <w:p w14:paraId="497CE397" w14:textId="77777777" w:rsidR="00014D67" w:rsidRPr="009F7CED" w:rsidRDefault="00014D67" w:rsidP="00086B16">
      <w:pPr>
        <w:ind w:left="-1276" w:right="-377"/>
        <w:jc w:val="both"/>
        <w:rPr>
          <w:rFonts w:cs="Arial"/>
          <w:sz w:val="22"/>
          <w:szCs w:val="22"/>
        </w:rPr>
      </w:pPr>
    </w:p>
    <w:p w14:paraId="5733FDD5" w14:textId="77777777" w:rsidR="00D05B67" w:rsidRDefault="00D05B67" w:rsidP="00D05B67">
      <w:pPr>
        <w:pStyle w:val="ColorfulList-Accent1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</w:t>
      </w:r>
    </w:p>
    <w:p w14:paraId="009DB664" w14:textId="77777777" w:rsidR="00CF23F5" w:rsidRDefault="00CF23F5" w:rsidP="00696582">
      <w:pPr>
        <w:pStyle w:val="ColorfulList-Accent11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Juan Carlos Covilla Martínez</w:t>
      </w:r>
      <w:r w:rsidR="00D05B67">
        <w:rPr>
          <w:rFonts w:ascii="Arial" w:hAnsi="Arial" w:cs="Arial"/>
          <w:b/>
        </w:rPr>
        <w:t xml:space="preserve"> </w:t>
      </w:r>
    </w:p>
    <w:p w14:paraId="3D6ABDEB" w14:textId="77777777" w:rsidR="00D05B67" w:rsidRPr="00CF23F5" w:rsidRDefault="00D05B67" w:rsidP="00696582">
      <w:pPr>
        <w:pStyle w:val="ColorfulList-Accent11"/>
        <w:rPr>
          <w:rFonts w:ascii="Arial" w:hAnsi="Arial" w:cs="Arial"/>
          <w:bCs/>
        </w:rPr>
      </w:pPr>
      <w:r w:rsidRPr="00CF23F5">
        <w:rPr>
          <w:rFonts w:ascii="Arial" w:hAnsi="Arial" w:cs="Arial"/>
          <w:bCs/>
        </w:rPr>
        <w:t xml:space="preserve">Jefe de la Oficina Jurídica </w:t>
      </w:r>
    </w:p>
    <w:p w14:paraId="4304C4ED" w14:textId="77777777" w:rsidR="00D05B67" w:rsidRDefault="00D05B67" w:rsidP="00696582">
      <w:pPr>
        <w:pStyle w:val="ColorfulList-Accent11"/>
        <w:rPr>
          <w:rFonts w:ascii="Arial" w:hAnsi="Arial" w:cs="Arial"/>
          <w:b/>
        </w:rPr>
      </w:pPr>
    </w:p>
    <w:p w14:paraId="29039443" w14:textId="77777777" w:rsidR="00F93152" w:rsidRDefault="00F93152" w:rsidP="00696582">
      <w:pPr>
        <w:pStyle w:val="ColorfulList-Accent11"/>
        <w:rPr>
          <w:rFonts w:ascii="Arial" w:hAnsi="Arial" w:cs="Arial"/>
          <w:b/>
        </w:rPr>
      </w:pPr>
    </w:p>
    <w:p w14:paraId="095B91DB" w14:textId="77777777" w:rsidR="00F93152" w:rsidRDefault="00F93152" w:rsidP="00696582">
      <w:pPr>
        <w:pStyle w:val="ColorfulList-Accent11"/>
        <w:rPr>
          <w:rFonts w:ascii="Arial" w:hAnsi="Arial" w:cs="Arial"/>
          <w:b/>
        </w:rPr>
      </w:pPr>
    </w:p>
    <w:p w14:paraId="18F724ED" w14:textId="77777777" w:rsidR="00CF23F5" w:rsidRDefault="00CF23F5" w:rsidP="00CF23F5">
      <w:pPr>
        <w:pStyle w:val="ColorfulList-Accent1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</w:t>
      </w:r>
    </w:p>
    <w:p w14:paraId="5C504B92" w14:textId="2A838545" w:rsidR="00CF23F5" w:rsidRDefault="00EF4494" w:rsidP="00CF23F5">
      <w:pPr>
        <w:pStyle w:val="ColorfulList-Accent11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Sandra Margarita Zamora Camacho</w:t>
      </w:r>
    </w:p>
    <w:p w14:paraId="0F701814" w14:textId="5EDD675C" w:rsidR="00CF23F5" w:rsidRPr="00CF23F5" w:rsidRDefault="00CF23F5" w:rsidP="00CF23F5">
      <w:pPr>
        <w:pStyle w:val="ColorfulList-Accent11"/>
        <w:rPr>
          <w:rFonts w:ascii="Arial" w:hAnsi="Arial" w:cs="Arial"/>
          <w:bCs/>
        </w:rPr>
      </w:pPr>
      <w:r w:rsidRPr="00CF23F5">
        <w:rPr>
          <w:rFonts w:ascii="Arial" w:hAnsi="Arial" w:cs="Arial"/>
          <w:bCs/>
        </w:rPr>
        <w:t>Director de Espacio Urbano y Territorial</w:t>
      </w:r>
      <w:r w:rsidR="00E212BE">
        <w:rPr>
          <w:rFonts w:ascii="Arial" w:hAnsi="Arial" w:cs="Arial"/>
          <w:bCs/>
        </w:rPr>
        <w:t xml:space="preserve"> (E)</w:t>
      </w:r>
    </w:p>
    <w:p w14:paraId="5A586A4A" w14:textId="77777777" w:rsidR="00CF23F5" w:rsidRDefault="00CF23F5" w:rsidP="00696582">
      <w:pPr>
        <w:pStyle w:val="ColorfulList-Accent11"/>
        <w:rPr>
          <w:rFonts w:ascii="Arial" w:hAnsi="Arial" w:cs="Arial"/>
          <w:b/>
        </w:rPr>
      </w:pPr>
    </w:p>
    <w:p w14:paraId="0CF28D7A" w14:textId="77777777" w:rsidR="006779DA" w:rsidRPr="00342E0A" w:rsidRDefault="00342E0A" w:rsidP="00342E0A">
      <w:pPr>
        <w:pStyle w:val="ColorfulList-Accent11"/>
        <w:rPr>
          <w:rFonts w:ascii="Arial" w:hAnsi="Arial" w:cs="Arial"/>
          <w:bCs/>
        </w:rPr>
      </w:pPr>
      <w:r w:rsidRPr="00CF23F5">
        <w:rPr>
          <w:rFonts w:ascii="Arial" w:hAnsi="Arial" w:cs="Arial"/>
          <w:bCs/>
        </w:rPr>
        <w:t xml:space="preserve"> </w:t>
      </w:r>
    </w:p>
    <w:sectPr w:rsidR="006779DA" w:rsidRPr="00342E0A" w:rsidSect="00696582">
      <w:headerReference w:type="default" r:id="rId8"/>
      <w:footerReference w:type="default" r:id="rId9"/>
      <w:headerReference w:type="first" r:id="rId10"/>
      <w:type w:val="continuous"/>
      <w:pgSz w:w="12240" w:h="15840" w:code="1"/>
      <w:pgMar w:top="1616" w:right="1701" w:bottom="1115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16D7D" w14:textId="77777777" w:rsidR="00D959B1" w:rsidRDefault="00D959B1">
      <w:r>
        <w:separator/>
      </w:r>
    </w:p>
  </w:endnote>
  <w:endnote w:type="continuationSeparator" w:id="0">
    <w:p w14:paraId="3BDED866" w14:textId="77777777" w:rsidR="00D959B1" w:rsidRDefault="00D9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CE2F4" w14:textId="77777777" w:rsidR="00836C6A" w:rsidRDefault="00836C6A">
    <w:pPr>
      <w:pStyle w:val="Piedepgina"/>
      <w:jc w:val="right"/>
    </w:pPr>
    <w:r>
      <w:fldChar w:fldCharType="begin"/>
    </w:r>
    <w:r w:rsidR="00A120D6">
      <w:instrText>PAGE</w:instrText>
    </w:r>
    <w:r>
      <w:instrText xml:space="preserve">   \* MERGEFORMAT</w:instrText>
    </w:r>
    <w:r>
      <w:fldChar w:fldCharType="separate"/>
    </w:r>
    <w:r w:rsidR="008D1D44">
      <w:rPr>
        <w:noProof/>
      </w:rPr>
      <w:t>2</w:t>
    </w:r>
    <w:r>
      <w:fldChar w:fldCharType="end"/>
    </w:r>
  </w:p>
  <w:p w14:paraId="5F6B8D2B" w14:textId="77777777" w:rsidR="00F07A7D" w:rsidRPr="0084294E" w:rsidRDefault="00F07A7D" w:rsidP="00FA4A9E">
    <w:pPr>
      <w:pStyle w:val="Piedepgina"/>
      <w:jc w:val="center"/>
      <w:rPr>
        <w:sz w:val="18"/>
        <w:szCs w:val="18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8BAC3" w14:textId="77777777" w:rsidR="00D959B1" w:rsidRDefault="00D959B1">
      <w:r>
        <w:separator/>
      </w:r>
    </w:p>
  </w:footnote>
  <w:footnote w:type="continuationSeparator" w:id="0">
    <w:p w14:paraId="76B3B0CE" w14:textId="77777777" w:rsidR="00D959B1" w:rsidRDefault="00D95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B99A2" w14:textId="77777777" w:rsidR="00F07A7D" w:rsidRDefault="00F07A7D">
    <w:pPr>
      <w:pStyle w:val="Encabezado"/>
    </w:pPr>
  </w:p>
  <w:tbl>
    <w:tblPr>
      <w:tblW w:w="10798" w:type="dxa"/>
      <w:tblInd w:w="-9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53"/>
      <w:gridCol w:w="6545"/>
    </w:tblGrid>
    <w:tr w:rsidR="00696582" w14:paraId="77B106FC" w14:textId="77777777" w:rsidTr="001447C1">
      <w:tc>
        <w:tcPr>
          <w:tcW w:w="4253" w:type="dxa"/>
          <w:shd w:val="clear" w:color="auto" w:fill="auto"/>
        </w:tcPr>
        <w:p w14:paraId="5181D310" w14:textId="77777777" w:rsidR="00696582" w:rsidRDefault="00FF60F9" w:rsidP="001447C1">
          <w:pPr>
            <w:pStyle w:val="Encabezado"/>
          </w:pPr>
          <w:r w:rsidRPr="00D965B1">
            <w:rPr>
              <w:noProof/>
              <w:lang w:val="es-ES_tradnl" w:eastAsia="es-ES_tradnl"/>
            </w:rPr>
            <w:drawing>
              <wp:inline distT="0" distB="0" distL="0" distR="0" wp14:anchorId="1E63EFCD" wp14:editId="7AF3508E">
                <wp:extent cx="2562860" cy="533400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286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45" w:type="dxa"/>
          <w:shd w:val="clear" w:color="auto" w:fill="auto"/>
          <w:vAlign w:val="center"/>
        </w:tcPr>
        <w:p w14:paraId="7C8AE646" w14:textId="77777777" w:rsidR="00696582" w:rsidRDefault="00696582" w:rsidP="001447C1">
          <w:pPr>
            <w:pStyle w:val="Ttulo2"/>
            <w:ind w:left="72" w:right="72"/>
          </w:pPr>
          <w:r w:rsidRPr="00FD3D04">
            <w:rPr>
              <w:rFonts w:cs="Arial"/>
              <w:bCs/>
              <w:color w:val="000000"/>
              <w:sz w:val="24"/>
              <w:szCs w:val="24"/>
            </w:rPr>
            <w:t>FORMATO MEMORIA JUSTIFICATIVA</w:t>
          </w:r>
        </w:p>
      </w:tc>
    </w:tr>
  </w:tbl>
  <w:p w14:paraId="5D65DF9D" w14:textId="77777777" w:rsidR="00F07A7D" w:rsidRDefault="00F07A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6000" w:type="pct"/>
      <w:tblInd w:w="-923" w:type="dxa"/>
      <w:tblBorders>
        <w:top w:val="thickThinLargeGap" w:sz="6" w:space="0" w:color="C0C0C0"/>
        <w:left w:val="thickThinLargeGap" w:sz="6" w:space="0" w:color="C0C0C0"/>
        <w:bottom w:val="thinThickLargeGap" w:sz="6" w:space="0" w:color="C0C0C0"/>
        <w:right w:val="thinThickLargeGap" w:sz="6" w:space="0" w:color="C0C0C0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605"/>
      <w:gridCol w:w="4574"/>
      <w:gridCol w:w="2355"/>
    </w:tblGrid>
    <w:tr w:rsidR="00980829" w14:paraId="0247ED6A" w14:textId="77777777" w:rsidTr="00980829">
      <w:trPr>
        <w:cantSplit/>
        <w:trHeight w:val="565"/>
        <w:tblHeader/>
      </w:trPr>
      <w:tc>
        <w:tcPr>
          <w:tcW w:w="1711" w:type="pct"/>
          <w:vMerge w:val="restart"/>
          <w:tcBorders>
            <w:top w:val="thickThinLargeGap" w:sz="6" w:space="0" w:color="C0C0C0"/>
          </w:tcBorders>
          <w:vAlign w:val="center"/>
        </w:tcPr>
        <w:p w14:paraId="58BB5BC4" w14:textId="77777777" w:rsidR="00980829" w:rsidRDefault="00FF60F9" w:rsidP="00980829">
          <w:pPr>
            <w:ind w:left="142"/>
            <w:rPr>
              <w:sz w:val="8"/>
            </w:rPr>
          </w:pPr>
          <w:r>
            <w:rPr>
              <w:noProof/>
            </w:rPr>
            <mc:AlternateContent>
              <mc:Choice Requires="wps">
                <w:drawing>
                  <wp:anchor distT="4294967292" distB="4294967292" distL="114296" distR="114296" simplePos="0" relativeHeight="251657216" behindDoc="0" locked="0" layoutInCell="0" allowOverlap="1" wp14:anchorId="6366438E" wp14:editId="653A950C">
                    <wp:simplePos x="0" y="0"/>
                    <wp:positionH relativeFrom="column">
                      <wp:posOffset>1026794</wp:posOffset>
                    </wp:positionH>
                    <wp:positionV relativeFrom="paragraph">
                      <wp:posOffset>571499</wp:posOffset>
                    </wp:positionV>
                    <wp:extent cx="0" cy="0"/>
                    <wp:effectExtent l="0" t="0" r="0" b="0"/>
                    <wp:wrapNone/>
                    <wp:docPr id="3" name="Lin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>
                <w:pict>
                  <v:line w14:anchorId="2C3AFB3C" id="Line 4" o:spid="_x0000_s1026" style="position:absolute;z-index:251657216;visibility:visible;mso-wrap-style:square;mso-width-percent:0;mso-height-percent:0;mso-wrap-distance-left:3.17489mm;mso-wrap-distance-top:-1e-4mm;mso-wrap-distance-right:3.17489mm;mso-wrap-distance-bottom:-1e-4mm;mso-position-horizontal:absolute;mso-position-horizontal-relative:text;mso-position-vertical:absolute;mso-position-vertical-relative:text;mso-width-percent:0;mso-height-percent:0;mso-width-relative:page;mso-height-relative:page" from="80.85pt,45pt" to="80.8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Ojp0hvaAAAACQEAAA8AAAAAAAAAAAAAAAAAAQQAAGRycy9kb3ducmV2LnhtbFBLBQYAAAAA&#10;BAAEAPMAAAAIBQAAAAA=&#10;" o:allowincell="f"/>
                </w:pict>
              </mc:Fallback>
            </mc:AlternateContent>
          </w:r>
        </w:p>
        <w:p w14:paraId="26BC4186" w14:textId="77777777" w:rsidR="00980829" w:rsidRDefault="00980829" w:rsidP="00980829">
          <w:pPr>
            <w:jc w:val="center"/>
            <w:rPr>
              <w:sz w:val="10"/>
            </w:rPr>
          </w:pPr>
        </w:p>
        <w:p w14:paraId="1F2A8AEC" w14:textId="77777777" w:rsidR="00980829" w:rsidRDefault="00980829" w:rsidP="00980829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3E204006" w14:textId="77777777" w:rsidR="00980829" w:rsidRDefault="00980829" w:rsidP="00980829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7644FA2C" w14:textId="77777777" w:rsidR="00980829" w:rsidRDefault="00FF60F9" w:rsidP="00980829">
          <w:pPr>
            <w:tabs>
              <w:tab w:val="left" w:pos="1560"/>
            </w:tabs>
            <w:jc w:val="center"/>
            <w:rPr>
              <w:sz w:val="1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374CDDF" wp14:editId="030A95B1">
                <wp:simplePos x="0" y="0"/>
                <wp:positionH relativeFrom="column">
                  <wp:posOffset>-4445</wp:posOffset>
                </wp:positionH>
                <wp:positionV relativeFrom="paragraph">
                  <wp:posOffset>55245</wp:posOffset>
                </wp:positionV>
                <wp:extent cx="2251710" cy="438785"/>
                <wp:effectExtent l="0" t="0" r="0" b="0"/>
                <wp:wrapNone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171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F3E5B93" w14:textId="77777777" w:rsidR="00980829" w:rsidRDefault="00980829" w:rsidP="00980829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264BFE54" w14:textId="77777777" w:rsidR="00980829" w:rsidRDefault="00980829" w:rsidP="00980829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4C68B3E2" w14:textId="77777777" w:rsidR="00980829" w:rsidRDefault="00980829" w:rsidP="00980829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67C9B6FF" w14:textId="77777777" w:rsidR="00980829" w:rsidRDefault="00980829" w:rsidP="00980829">
          <w:pPr>
            <w:tabs>
              <w:tab w:val="left" w:pos="1560"/>
            </w:tabs>
            <w:jc w:val="center"/>
            <w:rPr>
              <w:sz w:val="10"/>
            </w:rPr>
          </w:pPr>
        </w:p>
        <w:p w14:paraId="407E42EE" w14:textId="77777777" w:rsidR="00980829" w:rsidRDefault="00980829" w:rsidP="00980829">
          <w:pPr>
            <w:ind w:right="-30"/>
            <w:jc w:val="center"/>
            <w:rPr>
              <w:rFonts w:ascii="Arial Narrow" w:hAnsi="Arial Narrow"/>
              <w:sz w:val="11"/>
            </w:rPr>
          </w:pPr>
        </w:p>
      </w:tc>
      <w:tc>
        <w:tcPr>
          <w:tcW w:w="2171" w:type="pct"/>
          <w:vMerge w:val="restart"/>
          <w:tcBorders>
            <w:top w:val="thickThinLargeGap" w:sz="6" w:space="0" w:color="C0C0C0"/>
          </w:tcBorders>
          <w:vAlign w:val="center"/>
        </w:tcPr>
        <w:p w14:paraId="46DA8CB0" w14:textId="77777777" w:rsidR="00980829" w:rsidRPr="00471994" w:rsidRDefault="00980829" w:rsidP="00980829">
          <w:pPr>
            <w:pStyle w:val="Encabezado"/>
            <w:jc w:val="center"/>
            <w:rPr>
              <w:rFonts w:cs="Arial"/>
              <w:sz w:val="22"/>
              <w:szCs w:val="22"/>
            </w:rPr>
          </w:pPr>
          <w:r w:rsidRPr="00BE178B">
            <w:rPr>
              <w:rFonts w:cs="Arial"/>
              <w:b/>
              <w:sz w:val="22"/>
              <w:szCs w:val="22"/>
              <w:lang w:val="es-PE"/>
            </w:rPr>
            <w:t xml:space="preserve">FORMATO: </w:t>
          </w:r>
          <w:r w:rsidRPr="00503F05">
            <w:rPr>
              <w:rFonts w:cs="Arial"/>
              <w:sz w:val="22"/>
              <w:szCs w:val="22"/>
            </w:rPr>
            <w:t>MEMORIA JUSTIFICATIVA</w:t>
          </w:r>
        </w:p>
        <w:p w14:paraId="495408D0" w14:textId="77777777" w:rsidR="00980829" w:rsidRPr="00BE178B" w:rsidRDefault="00980829" w:rsidP="00980829">
          <w:pPr>
            <w:pStyle w:val="Encabezado"/>
            <w:jc w:val="center"/>
            <w:rPr>
              <w:rFonts w:cs="Arial"/>
              <w:b/>
              <w:sz w:val="22"/>
              <w:szCs w:val="22"/>
              <w:lang w:val="es-PE"/>
            </w:rPr>
          </w:pPr>
        </w:p>
        <w:p w14:paraId="37E2FB57" w14:textId="77777777" w:rsidR="00980829" w:rsidRPr="00BE178B" w:rsidRDefault="00980829" w:rsidP="00980829">
          <w:pPr>
            <w:pStyle w:val="Encabezado"/>
            <w:jc w:val="center"/>
            <w:rPr>
              <w:rFonts w:cs="Arial"/>
              <w:b/>
              <w:sz w:val="22"/>
              <w:szCs w:val="22"/>
            </w:rPr>
          </w:pPr>
          <w:r w:rsidRPr="00BE178B">
            <w:rPr>
              <w:rFonts w:cs="Arial"/>
              <w:b/>
              <w:sz w:val="22"/>
              <w:szCs w:val="22"/>
              <w:lang w:val="es-PE"/>
            </w:rPr>
            <w:t xml:space="preserve">PROCESO: </w:t>
          </w:r>
          <w:r w:rsidRPr="00503F05">
            <w:rPr>
              <w:rFonts w:cs="Arial"/>
              <w:sz w:val="22"/>
              <w:szCs w:val="22"/>
              <w:lang w:val="es-PE"/>
            </w:rPr>
            <w:t>GESTIÓN A LA POLÍTICA DE ESPACIO URBANO Y TERRITORIAL</w:t>
          </w:r>
        </w:p>
      </w:tc>
      <w:tc>
        <w:tcPr>
          <w:tcW w:w="1118" w:type="pct"/>
          <w:tcBorders>
            <w:top w:val="thickThinLargeGap" w:sz="6" w:space="0" w:color="C0C0C0"/>
          </w:tcBorders>
          <w:vAlign w:val="center"/>
        </w:tcPr>
        <w:p w14:paraId="19D1020A" w14:textId="77777777" w:rsidR="00980829" w:rsidRPr="00BE178B" w:rsidRDefault="00980829" w:rsidP="00980829">
          <w:pPr>
            <w:pStyle w:val="Encabezado"/>
            <w:spacing w:before="20" w:after="20"/>
            <w:jc w:val="center"/>
            <w:rPr>
              <w:rFonts w:cs="Arial"/>
              <w:sz w:val="22"/>
              <w:szCs w:val="22"/>
            </w:rPr>
          </w:pPr>
          <w:r w:rsidRPr="009C2666">
            <w:rPr>
              <w:rFonts w:cs="Arial"/>
              <w:sz w:val="22"/>
              <w:szCs w:val="22"/>
            </w:rPr>
            <w:t xml:space="preserve">Versión: </w:t>
          </w:r>
          <w:r>
            <w:rPr>
              <w:rFonts w:cs="Arial"/>
              <w:sz w:val="22"/>
              <w:szCs w:val="22"/>
            </w:rPr>
            <w:t>5</w:t>
          </w:r>
          <w:r w:rsidRPr="009C2666">
            <w:rPr>
              <w:rFonts w:cs="Arial"/>
              <w:sz w:val="22"/>
              <w:szCs w:val="22"/>
            </w:rPr>
            <w:t>.0</w:t>
          </w:r>
        </w:p>
      </w:tc>
    </w:tr>
    <w:tr w:rsidR="00980829" w14:paraId="5CE8FC54" w14:textId="77777777" w:rsidTr="00980829">
      <w:trPr>
        <w:cantSplit/>
        <w:trHeight w:val="565"/>
        <w:tblHeader/>
      </w:trPr>
      <w:tc>
        <w:tcPr>
          <w:tcW w:w="1711" w:type="pct"/>
          <w:vMerge/>
          <w:vAlign w:val="center"/>
        </w:tcPr>
        <w:p w14:paraId="1C6B9C54" w14:textId="77777777" w:rsidR="00980829" w:rsidRDefault="00980829" w:rsidP="00980829">
          <w:pPr>
            <w:ind w:left="142"/>
            <w:rPr>
              <w:noProof/>
            </w:rPr>
          </w:pPr>
        </w:p>
      </w:tc>
      <w:tc>
        <w:tcPr>
          <w:tcW w:w="2171" w:type="pct"/>
          <w:vMerge/>
          <w:vAlign w:val="center"/>
        </w:tcPr>
        <w:p w14:paraId="67590B6C" w14:textId="77777777" w:rsidR="00980829" w:rsidRPr="00BE178B" w:rsidRDefault="00980829" w:rsidP="00980829">
          <w:pPr>
            <w:pStyle w:val="Encabezado"/>
            <w:jc w:val="center"/>
            <w:rPr>
              <w:rFonts w:cs="Arial"/>
              <w:sz w:val="22"/>
              <w:szCs w:val="22"/>
              <w:lang w:val="es-PE"/>
            </w:rPr>
          </w:pPr>
        </w:p>
      </w:tc>
      <w:tc>
        <w:tcPr>
          <w:tcW w:w="1118" w:type="pct"/>
          <w:vAlign w:val="center"/>
        </w:tcPr>
        <w:p w14:paraId="5E1814F6" w14:textId="77777777" w:rsidR="00980829" w:rsidRPr="00BE178B" w:rsidRDefault="00980829" w:rsidP="00980829">
          <w:pPr>
            <w:pStyle w:val="Encabezado"/>
            <w:spacing w:before="20" w:after="20"/>
            <w:jc w:val="center"/>
            <w:rPr>
              <w:rFonts w:cs="Arial"/>
              <w:sz w:val="22"/>
              <w:szCs w:val="22"/>
            </w:rPr>
          </w:pPr>
          <w:r w:rsidRPr="00BE178B">
            <w:rPr>
              <w:rFonts w:cs="Arial"/>
              <w:sz w:val="22"/>
              <w:szCs w:val="22"/>
            </w:rPr>
            <w:t xml:space="preserve">Fecha: </w:t>
          </w:r>
          <w:r>
            <w:rPr>
              <w:rFonts w:cs="Arial"/>
              <w:sz w:val="22"/>
              <w:szCs w:val="22"/>
            </w:rPr>
            <w:t>24/12/2020</w:t>
          </w:r>
        </w:p>
      </w:tc>
    </w:tr>
    <w:tr w:rsidR="00980829" w14:paraId="14285681" w14:textId="77777777" w:rsidTr="00980829">
      <w:trPr>
        <w:cantSplit/>
        <w:trHeight w:val="565"/>
        <w:tblHeader/>
      </w:trPr>
      <w:tc>
        <w:tcPr>
          <w:tcW w:w="1711" w:type="pct"/>
          <w:vMerge/>
          <w:tcBorders>
            <w:bottom w:val="thinThickLargeGap" w:sz="6" w:space="0" w:color="C0C0C0"/>
          </w:tcBorders>
          <w:vAlign w:val="center"/>
        </w:tcPr>
        <w:p w14:paraId="71250FFC" w14:textId="77777777" w:rsidR="00980829" w:rsidRDefault="00980829" w:rsidP="00980829">
          <w:pPr>
            <w:ind w:left="142"/>
            <w:rPr>
              <w:noProof/>
            </w:rPr>
          </w:pPr>
        </w:p>
      </w:tc>
      <w:tc>
        <w:tcPr>
          <w:tcW w:w="2171" w:type="pct"/>
          <w:vMerge/>
          <w:tcBorders>
            <w:bottom w:val="thinThickLargeGap" w:sz="6" w:space="0" w:color="C0C0C0"/>
          </w:tcBorders>
          <w:vAlign w:val="center"/>
        </w:tcPr>
        <w:p w14:paraId="35E31ED9" w14:textId="77777777" w:rsidR="00980829" w:rsidRPr="00BE178B" w:rsidRDefault="00980829" w:rsidP="00980829">
          <w:pPr>
            <w:pStyle w:val="Encabezado"/>
            <w:jc w:val="center"/>
            <w:rPr>
              <w:rFonts w:cs="Arial"/>
              <w:sz w:val="22"/>
              <w:szCs w:val="22"/>
              <w:lang w:val="es-PE"/>
            </w:rPr>
          </w:pPr>
        </w:p>
      </w:tc>
      <w:tc>
        <w:tcPr>
          <w:tcW w:w="1118" w:type="pct"/>
          <w:tcBorders>
            <w:bottom w:val="thinThickLargeGap" w:sz="6" w:space="0" w:color="C0C0C0"/>
          </w:tcBorders>
          <w:vAlign w:val="center"/>
        </w:tcPr>
        <w:p w14:paraId="65233EAD" w14:textId="77777777" w:rsidR="00980829" w:rsidRPr="00BE178B" w:rsidRDefault="00980829" w:rsidP="00980829">
          <w:pPr>
            <w:pStyle w:val="Encabezado"/>
            <w:spacing w:before="20" w:after="20"/>
            <w:jc w:val="center"/>
            <w:rPr>
              <w:rFonts w:cs="Arial"/>
              <w:sz w:val="22"/>
              <w:szCs w:val="22"/>
            </w:rPr>
          </w:pPr>
          <w:r w:rsidRPr="00BE178B">
            <w:rPr>
              <w:rFonts w:cs="Arial"/>
              <w:sz w:val="22"/>
              <w:szCs w:val="22"/>
            </w:rPr>
            <w:t>Código:</w:t>
          </w:r>
          <w:r>
            <w:rPr>
              <w:rFonts w:cs="Arial"/>
              <w:sz w:val="22"/>
              <w:szCs w:val="22"/>
            </w:rPr>
            <w:t xml:space="preserve"> </w:t>
          </w:r>
          <w:r w:rsidRPr="00503F05">
            <w:rPr>
              <w:rFonts w:cs="Arial"/>
              <w:sz w:val="22"/>
              <w:szCs w:val="22"/>
            </w:rPr>
            <w:t>GPD</w:t>
          </w:r>
          <w:r w:rsidRPr="00BE178B">
            <w:rPr>
              <w:rFonts w:cs="Arial"/>
              <w:sz w:val="22"/>
              <w:szCs w:val="22"/>
            </w:rPr>
            <w:t>-F-</w:t>
          </w:r>
          <w:r>
            <w:rPr>
              <w:rFonts w:cs="Arial"/>
              <w:sz w:val="22"/>
              <w:szCs w:val="22"/>
            </w:rPr>
            <w:t>01</w:t>
          </w:r>
        </w:p>
      </w:tc>
    </w:tr>
  </w:tbl>
  <w:p w14:paraId="6A8B5CAA" w14:textId="77777777" w:rsidR="00350767" w:rsidRDefault="003507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64112"/>
    <w:multiLevelType w:val="multilevel"/>
    <w:tmpl w:val="2D8EE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8" w:hanging="1800"/>
      </w:pPr>
      <w:rPr>
        <w:rFonts w:hint="default"/>
      </w:rPr>
    </w:lvl>
  </w:abstractNum>
  <w:abstractNum w:abstractNumId="1" w15:restartNumberingAfterBreak="0">
    <w:nsid w:val="095F1F71"/>
    <w:multiLevelType w:val="hybridMultilevel"/>
    <w:tmpl w:val="E22093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7E34"/>
    <w:multiLevelType w:val="hybridMultilevel"/>
    <w:tmpl w:val="EBC2F2E6"/>
    <w:lvl w:ilvl="0" w:tplc="D3C24856"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E945B7"/>
    <w:multiLevelType w:val="hybridMultilevel"/>
    <w:tmpl w:val="9BA8E9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F2FD2"/>
    <w:multiLevelType w:val="hybridMultilevel"/>
    <w:tmpl w:val="23780C54"/>
    <w:lvl w:ilvl="0" w:tplc="7122AF3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D43E1"/>
    <w:multiLevelType w:val="hybridMultilevel"/>
    <w:tmpl w:val="3E3C0C3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13E65"/>
    <w:multiLevelType w:val="multilevel"/>
    <w:tmpl w:val="F43E77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0077F4"/>
    <w:multiLevelType w:val="hybridMultilevel"/>
    <w:tmpl w:val="471ED7F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331E40"/>
    <w:multiLevelType w:val="hybridMultilevel"/>
    <w:tmpl w:val="7EB8E8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225D5"/>
    <w:multiLevelType w:val="hybridMultilevel"/>
    <w:tmpl w:val="2752FB6E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F7F7418"/>
    <w:multiLevelType w:val="hybridMultilevel"/>
    <w:tmpl w:val="561034C0"/>
    <w:lvl w:ilvl="0" w:tplc="C688F9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CC3AAB"/>
    <w:multiLevelType w:val="hybridMultilevel"/>
    <w:tmpl w:val="C72A38F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30D56"/>
    <w:multiLevelType w:val="hybridMultilevel"/>
    <w:tmpl w:val="B512F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D6525"/>
    <w:multiLevelType w:val="hybridMultilevel"/>
    <w:tmpl w:val="14323D5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D575C"/>
    <w:multiLevelType w:val="hybridMultilevel"/>
    <w:tmpl w:val="903E42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438A4"/>
    <w:multiLevelType w:val="hybridMultilevel"/>
    <w:tmpl w:val="CC544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1779D"/>
    <w:multiLevelType w:val="hybridMultilevel"/>
    <w:tmpl w:val="3C48F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17AA6"/>
    <w:multiLevelType w:val="hybridMultilevel"/>
    <w:tmpl w:val="78BE8B20"/>
    <w:lvl w:ilvl="0" w:tplc="D10EA2F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33F05"/>
    <w:multiLevelType w:val="hybridMultilevel"/>
    <w:tmpl w:val="DBDC35E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341FF"/>
    <w:multiLevelType w:val="multilevel"/>
    <w:tmpl w:val="078847B8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A7C7321"/>
    <w:multiLevelType w:val="hybridMultilevel"/>
    <w:tmpl w:val="EF704034"/>
    <w:lvl w:ilvl="0" w:tplc="3AAE91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F32023"/>
    <w:multiLevelType w:val="hybridMultilevel"/>
    <w:tmpl w:val="E91C692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A3792D"/>
    <w:multiLevelType w:val="hybridMultilevel"/>
    <w:tmpl w:val="1150A7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C1A61"/>
    <w:multiLevelType w:val="hybridMultilevel"/>
    <w:tmpl w:val="9C96BFC6"/>
    <w:lvl w:ilvl="0" w:tplc="AE5A3DC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27B63"/>
    <w:multiLevelType w:val="hybridMultilevel"/>
    <w:tmpl w:val="7BC80F2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E38A9"/>
    <w:multiLevelType w:val="hybridMultilevel"/>
    <w:tmpl w:val="B6C654B2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811299"/>
    <w:multiLevelType w:val="hybridMultilevel"/>
    <w:tmpl w:val="4CAE1F3E"/>
    <w:lvl w:ilvl="0" w:tplc="C5F83004">
      <w:start w:val="144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20AD0"/>
    <w:multiLevelType w:val="hybridMultilevel"/>
    <w:tmpl w:val="44084084"/>
    <w:lvl w:ilvl="0" w:tplc="240A000D">
      <w:start w:val="1"/>
      <w:numFmt w:val="bullet"/>
      <w:lvlText w:val=""/>
      <w:lvlJc w:val="left"/>
      <w:pPr>
        <w:ind w:left="-10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-3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</w:abstractNum>
  <w:abstractNum w:abstractNumId="28" w15:restartNumberingAfterBreak="0">
    <w:nsid w:val="55612A01"/>
    <w:multiLevelType w:val="hybridMultilevel"/>
    <w:tmpl w:val="516C2342"/>
    <w:lvl w:ilvl="0" w:tplc="2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6C63FAB"/>
    <w:multiLevelType w:val="hybridMultilevel"/>
    <w:tmpl w:val="4B2669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8006D"/>
    <w:multiLevelType w:val="hybridMultilevel"/>
    <w:tmpl w:val="1F986C7A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99274BB"/>
    <w:multiLevelType w:val="hybridMultilevel"/>
    <w:tmpl w:val="19B6D6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C27BD1"/>
    <w:multiLevelType w:val="hybridMultilevel"/>
    <w:tmpl w:val="B00A22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163EC"/>
    <w:multiLevelType w:val="hybridMultilevel"/>
    <w:tmpl w:val="2B166F1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423FF4"/>
    <w:multiLevelType w:val="multilevel"/>
    <w:tmpl w:val="60C250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5" w15:restartNumberingAfterBreak="0">
    <w:nsid w:val="60682FB7"/>
    <w:multiLevelType w:val="hybridMultilevel"/>
    <w:tmpl w:val="6EB8E7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A438E4"/>
    <w:multiLevelType w:val="hybridMultilevel"/>
    <w:tmpl w:val="1602CE3A"/>
    <w:lvl w:ilvl="0" w:tplc="BB08A936">
      <w:numFmt w:val="bullet"/>
      <w:lvlText w:val="-"/>
      <w:lvlJc w:val="left"/>
      <w:pPr>
        <w:ind w:left="322" w:hanging="360"/>
      </w:pPr>
      <w:rPr>
        <w:rFonts w:ascii="Arial" w:eastAsia="Time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</w:abstractNum>
  <w:abstractNum w:abstractNumId="37" w15:restartNumberingAfterBreak="0">
    <w:nsid w:val="64573526"/>
    <w:multiLevelType w:val="hybridMultilevel"/>
    <w:tmpl w:val="665E973A"/>
    <w:lvl w:ilvl="0" w:tplc="2C08755A">
      <w:start w:val="1"/>
      <w:numFmt w:val="bullet"/>
      <w:lvlText w:val="•"/>
      <w:lvlJc w:val="left"/>
      <w:pPr>
        <w:tabs>
          <w:tab w:val="num" w:pos="999"/>
        </w:tabs>
        <w:ind w:left="999" w:hanging="360"/>
      </w:pPr>
      <w:rPr>
        <w:rFonts w:ascii="Arial" w:hAnsi="Arial" w:hint="default"/>
      </w:rPr>
    </w:lvl>
    <w:lvl w:ilvl="1" w:tplc="5AD0665A" w:tentative="1">
      <w:start w:val="1"/>
      <w:numFmt w:val="bullet"/>
      <w:lvlText w:val="•"/>
      <w:lvlJc w:val="left"/>
      <w:pPr>
        <w:tabs>
          <w:tab w:val="num" w:pos="1719"/>
        </w:tabs>
        <w:ind w:left="1719" w:hanging="360"/>
      </w:pPr>
      <w:rPr>
        <w:rFonts w:ascii="Arial" w:hAnsi="Arial" w:hint="default"/>
      </w:rPr>
    </w:lvl>
    <w:lvl w:ilvl="2" w:tplc="2AD44A04" w:tentative="1">
      <w:start w:val="1"/>
      <w:numFmt w:val="bullet"/>
      <w:lvlText w:val="•"/>
      <w:lvlJc w:val="left"/>
      <w:pPr>
        <w:tabs>
          <w:tab w:val="num" w:pos="2439"/>
        </w:tabs>
        <w:ind w:left="2439" w:hanging="360"/>
      </w:pPr>
      <w:rPr>
        <w:rFonts w:ascii="Arial" w:hAnsi="Arial" w:hint="default"/>
      </w:rPr>
    </w:lvl>
    <w:lvl w:ilvl="3" w:tplc="07082974" w:tentative="1">
      <w:start w:val="1"/>
      <w:numFmt w:val="bullet"/>
      <w:lvlText w:val="•"/>
      <w:lvlJc w:val="left"/>
      <w:pPr>
        <w:tabs>
          <w:tab w:val="num" w:pos="3159"/>
        </w:tabs>
        <w:ind w:left="3159" w:hanging="360"/>
      </w:pPr>
      <w:rPr>
        <w:rFonts w:ascii="Arial" w:hAnsi="Arial" w:hint="default"/>
      </w:rPr>
    </w:lvl>
    <w:lvl w:ilvl="4" w:tplc="CD76DC7C" w:tentative="1">
      <w:start w:val="1"/>
      <w:numFmt w:val="bullet"/>
      <w:lvlText w:val="•"/>
      <w:lvlJc w:val="left"/>
      <w:pPr>
        <w:tabs>
          <w:tab w:val="num" w:pos="3879"/>
        </w:tabs>
        <w:ind w:left="3879" w:hanging="360"/>
      </w:pPr>
      <w:rPr>
        <w:rFonts w:ascii="Arial" w:hAnsi="Arial" w:hint="default"/>
      </w:rPr>
    </w:lvl>
    <w:lvl w:ilvl="5" w:tplc="3D28A6E6" w:tentative="1">
      <w:start w:val="1"/>
      <w:numFmt w:val="bullet"/>
      <w:lvlText w:val="•"/>
      <w:lvlJc w:val="left"/>
      <w:pPr>
        <w:tabs>
          <w:tab w:val="num" w:pos="4599"/>
        </w:tabs>
        <w:ind w:left="4599" w:hanging="360"/>
      </w:pPr>
      <w:rPr>
        <w:rFonts w:ascii="Arial" w:hAnsi="Arial" w:hint="default"/>
      </w:rPr>
    </w:lvl>
    <w:lvl w:ilvl="6" w:tplc="590A4E18" w:tentative="1">
      <w:start w:val="1"/>
      <w:numFmt w:val="bullet"/>
      <w:lvlText w:val="•"/>
      <w:lvlJc w:val="left"/>
      <w:pPr>
        <w:tabs>
          <w:tab w:val="num" w:pos="5319"/>
        </w:tabs>
        <w:ind w:left="5319" w:hanging="360"/>
      </w:pPr>
      <w:rPr>
        <w:rFonts w:ascii="Arial" w:hAnsi="Arial" w:hint="default"/>
      </w:rPr>
    </w:lvl>
    <w:lvl w:ilvl="7" w:tplc="56BA76D8" w:tentative="1">
      <w:start w:val="1"/>
      <w:numFmt w:val="bullet"/>
      <w:lvlText w:val="•"/>
      <w:lvlJc w:val="left"/>
      <w:pPr>
        <w:tabs>
          <w:tab w:val="num" w:pos="6039"/>
        </w:tabs>
        <w:ind w:left="6039" w:hanging="360"/>
      </w:pPr>
      <w:rPr>
        <w:rFonts w:ascii="Arial" w:hAnsi="Arial" w:hint="default"/>
      </w:rPr>
    </w:lvl>
    <w:lvl w:ilvl="8" w:tplc="D56AD64E" w:tentative="1">
      <w:start w:val="1"/>
      <w:numFmt w:val="bullet"/>
      <w:lvlText w:val="•"/>
      <w:lvlJc w:val="left"/>
      <w:pPr>
        <w:tabs>
          <w:tab w:val="num" w:pos="6759"/>
        </w:tabs>
        <w:ind w:left="6759" w:hanging="360"/>
      </w:pPr>
      <w:rPr>
        <w:rFonts w:ascii="Arial" w:hAnsi="Arial" w:hint="default"/>
      </w:rPr>
    </w:lvl>
  </w:abstractNum>
  <w:abstractNum w:abstractNumId="38" w15:restartNumberingAfterBreak="0">
    <w:nsid w:val="65C86972"/>
    <w:multiLevelType w:val="hybridMultilevel"/>
    <w:tmpl w:val="EF60E5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2B19CB"/>
    <w:multiLevelType w:val="hybridMultilevel"/>
    <w:tmpl w:val="359E384C"/>
    <w:lvl w:ilvl="0" w:tplc="4804310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AFA48A5"/>
    <w:multiLevelType w:val="hybridMultilevel"/>
    <w:tmpl w:val="3E2221D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8547E6"/>
    <w:multiLevelType w:val="hybridMultilevel"/>
    <w:tmpl w:val="9F3404D0"/>
    <w:lvl w:ilvl="0" w:tplc="89D2AE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FA64E9"/>
    <w:multiLevelType w:val="hybridMultilevel"/>
    <w:tmpl w:val="70E22AB2"/>
    <w:lvl w:ilvl="0" w:tplc="645EF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74639D"/>
    <w:multiLevelType w:val="hybridMultilevel"/>
    <w:tmpl w:val="F692C1A2"/>
    <w:lvl w:ilvl="0" w:tplc="2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4" w15:restartNumberingAfterBreak="0">
    <w:nsid w:val="72044BA6"/>
    <w:multiLevelType w:val="hybridMultilevel"/>
    <w:tmpl w:val="07EEA1E4"/>
    <w:lvl w:ilvl="0" w:tplc="FEE66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7813B2"/>
    <w:multiLevelType w:val="hybridMultilevel"/>
    <w:tmpl w:val="C8E461B0"/>
    <w:lvl w:ilvl="0" w:tplc="A26EE7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0"/>
  </w:num>
  <w:num w:numId="4">
    <w:abstractNumId w:val="10"/>
  </w:num>
  <w:num w:numId="5">
    <w:abstractNumId w:val="19"/>
  </w:num>
  <w:num w:numId="6">
    <w:abstractNumId w:val="34"/>
  </w:num>
  <w:num w:numId="7">
    <w:abstractNumId w:val="11"/>
  </w:num>
  <w:num w:numId="8">
    <w:abstractNumId w:val="20"/>
  </w:num>
  <w:num w:numId="9">
    <w:abstractNumId w:val="8"/>
  </w:num>
  <w:num w:numId="10">
    <w:abstractNumId w:val="24"/>
  </w:num>
  <w:num w:numId="11">
    <w:abstractNumId w:val="15"/>
  </w:num>
  <w:num w:numId="12">
    <w:abstractNumId w:val="35"/>
  </w:num>
  <w:num w:numId="13">
    <w:abstractNumId w:val="41"/>
  </w:num>
  <w:num w:numId="14">
    <w:abstractNumId w:val="42"/>
  </w:num>
  <w:num w:numId="15">
    <w:abstractNumId w:val="2"/>
  </w:num>
  <w:num w:numId="16">
    <w:abstractNumId w:val="25"/>
  </w:num>
  <w:num w:numId="17">
    <w:abstractNumId w:val="5"/>
  </w:num>
  <w:num w:numId="18">
    <w:abstractNumId w:val="27"/>
  </w:num>
  <w:num w:numId="19">
    <w:abstractNumId w:val="30"/>
  </w:num>
  <w:num w:numId="20">
    <w:abstractNumId w:val="1"/>
  </w:num>
  <w:num w:numId="21">
    <w:abstractNumId w:val="12"/>
  </w:num>
  <w:num w:numId="22">
    <w:abstractNumId w:val="22"/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13"/>
  </w:num>
  <w:num w:numId="26">
    <w:abstractNumId w:val="32"/>
  </w:num>
  <w:num w:numId="27">
    <w:abstractNumId w:val="29"/>
  </w:num>
  <w:num w:numId="28">
    <w:abstractNumId w:val="43"/>
  </w:num>
  <w:num w:numId="29">
    <w:abstractNumId w:val="2"/>
  </w:num>
  <w:num w:numId="30">
    <w:abstractNumId w:val="45"/>
  </w:num>
  <w:num w:numId="31">
    <w:abstractNumId w:val="26"/>
  </w:num>
  <w:num w:numId="32">
    <w:abstractNumId w:val="38"/>
  </w:num>
  <w:num w:numId="33">
    <w:abstractNumId w:val="28"/>
  </w:num>
  <w:num w:numId="34">
    <w:abstractNumId w:val="37"/>
  </w:num>
  <w:num w:numId="35">
    <w:abstractNumId w:val="17"/>
  </w:num>
  <w:num w:numId="36">
    <w:abstractNumId w:val="7"/>
  </w:num>
  <w:num w:numId="37">
    <w:abstractNumId w:val="3"/>
  </w:num>
  <w:num w:numId="38">
    <w:abstractNumId w:val="31"/>
  </w:num>
  <w:num w:numId="39">
    <w:abstractNumId w:val="36"/>
  </w:num>
  <w:num w:numId="40">
    <w:abstractNumId w:val="18"/>
  </w:num>
  <w:num w:numId="41">
    <w:abstractNumId w:val="44"/>
  </w:num>
  <w:num w:numId="42">
    <w:abstractNumId w:val="21"/>
  </w:num>
  <w:num w:numId="43">
    <w:abstractNumId w:val="4"/>
  </w:num>
  <w:num w:numId="44">
    <w:abstractNumId w:val="14"/>
  </w:num>
  <w:num w:numId="45">
    <w:abstractNumId w:val="23"/>
  </w:num>
  <w:num w:numId="46">
    <w:abstractNumId w:val="6"/>
  </w:num>
  <w:num w:numId="47">
    <w:abstractNumId w:val="0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80"/>
    <w:rsid w:val="00003D24"/>
    <w:rsid w:val="00006F83"/>
    <w:rsid w:val="00007F07"/>
    <w:rsid w:val="00013C42"/>
    <w:rsid w:val="00013CC1"/>
    <w:rsid w:val="00014D67"/>
    <w:rsid w:val="00016A94"/>
    <w:rsid w:val="000172EC"/>
    <w:rsid w:val="00021FCC"/>
    <w:rsid w:val="00024F34"/>
    <w:rsid w:val="0002546A"/>
    <w:rsid w:val="00031829"/>
    <w:rsid w:val="00032CBF"/>
    <w:rsid w:val="0004205E"/>
    <w:rsid w:val="00047A6E"/>
    <w:rsid w:val="00050524"/>
    <w:rsid w:val="0005447A"/>
    <w:rsid w:val="00066463"/>
    <w:rsid w:val="0007636F"/>
    <w:rsid w:val="00081CEE"/>
    <w:rsid w:val="00084B49"/>
    <w:rsid w:val="00086B16"/>
    <w:rsid w:val="00092C0A"/>
    <w:rsid w:val="00094D9F"/>
    <w:rsid w:val="000A35DA"/>
    <w:rsid w:val="000A3E34"/>
    <w:rsid w:val="000B30A6"/>
    <w:rsid w:val="000B39C5"/>
    <w:rsid w:val="000B50F1"/>
    <w:rsid w:val="000C41BE"/>
    <w:rsid w:val="000C614C"/>
    <w:rsid w:val="000C6C52"/>
    <w:rsid w:val="000D1904"/>
    <w:rsid w:val="000D2DA8"/>
    <w:rsid w:val="000D512E"/>
    <w:rsid w:val="000E0152"/>
    <w:rsid w:val="000E370D"/>
    <w:rsid w:val="000E65A4"/>
    <w:rsid w:val="000F067D"/>
    <w:rsid w:val="00105533"/>
    <w:rsid w:val="001072FB"/>
    <w:rsid w:val="00116659"/>
    <w:rsid w:val="001175AA"/>
    <w:rsid w:val="00125A3A"/>
    <w:rsid w:val="00126916"/>
    <w:rsid w:val="00126980"/>
    <w:rsid w:val="001303DD"/>
    <w:rsid w:val="001348DA"/>
    <w:rsid w:val="001365B5"/>
    <w:rsid w:val="00136CD0"/>
    <w:rsid w:val="0013737F"/>
    <w:rsid w:val="00142BF2"/>
    <w:rsid w:val="001447C1"/>
    <w:rsid w:val="001455E4"/>
    <w:rsid w:val="00145BCA"/>
    <w:rsid w:val="0015216F"/>
    <w:rsid w:val="00153523"/>
    <w:rsid w:val="001557FD"/>
    <w:rsid w:val="00157729"/>
    <w:rsid w:val="00164587"/>
    <w:rsid w:val="001665A3"/>
    <w:rsid w:val="001743EF"/>
    <w:rsid w:val="00174A31"/>
    <w:rsid w:val="00174BE9"/>
    <w:rsid w:val="00177232"/>
    <w:rsid w:val="00187186"/>
    <w:rsid w:val="001978EB"/>
    <w:rsid w:val="001A175A"/>
    <w:rsid w:val="001A2AF1"/>
    <w:rsid w:val="001C013E"/>
    <w:rsid w:val="001D1743"/>
    <w:rsid w:val="001D17CF"/>
    <w:rsid w:val="001E2543"/>
    <w:rsid w:val="001E6C60"/>
    <w:rsid w:val="001F238A"/>
    <w:rsid w:val="002006B2"/>
    <w:rsid w:val="00203800"/>
    <w:rsid w:val="00214B19"/>
    <w:rsid w:val="002171A2"/>
    <w:rsid w:val="002217D1"/>
    <w:rsid w:val="002264B8"/>
    <w:rsid w:val="00235361"/>
    <w:rsid w:val="00235698"/>
    <w:rsid w:val="00236F62"/>
    <w:rsid w:val="00237D76"/>
    <w:rsid w:val="0024296F"/>
    <w:rsid w:val="00251FCE"/>
    <w:rsid w:val="00252F13"/>
    <w:rsid w:val="00254313"/>
    <w:rsid w:val="00254C85"/>
    <w:rsid w:val="0026513E"/>
    <w:rsid w:val="002729A5"/>
    <w:rsid w:val="002862C1"/>
    <w:rsid w:val="00286449"/>
    <w:rsid w:val="00287EC3"/>
    <w:rsid w:val="00293F29"/>
    <w:rsid w:val="002941D1"/>
    <w:rsid w:val="002A2A12"/>
    <w:rsid w:val="002C05D0"/>
    <w:rsid w:val="002C12C0"/>
    <w:rsid w:val="002C6429"/>
    <w:rsid w:val="002D096D"/>
    <w:rsid w:val="002D11FE"/>
    <w:rsid w:val="002D2CB2"/>
    <w:rsid w:val="002D35EC"/>
    <w:rsid w:val="002D3FE3"/>
    <w:rsid w:val="002D5E8B"/>
    <w:rsid w:val="002E4A97"/>
    <w:rsid w:val="002E71C4"/>
    <w:rsid w:val="002F226A"/>
    <w:rsid w:val="00301DC2"/>
    <w:rsid w:val="0032015C"/>
    <w:rsid w:val="003227FD"/>
    <w:rsid w:val="00323350"/>
    <w:rsid w:val="00325A55"/>
    <w:rsid w:val="003343DB"/>
    <w:rsid w:val="00336655"/>
    <w:rsid w:val="00342B3C"/>
    <w:rsid w:val="00342E0A"/>
    <w:rsid w:val="00346554"/>
    <w:rsid w:val="003503EB"/>
    <w:rsid w:val="00350767"/>
    <w:rsid w:val="00350E4B"/>
    <w:rsid w:val="003533A1"/>
    <w:rsid w:val="00354C35"/>
    <w:rsid w:val="003651DE"/>
    <w:rsid w:val="00367CB8"/>
    <w:rsid w:val="003711C0"/>
    <w:rsid w:val="00373197"/>
    <w:rsid w:val="0038387D"/>
    <w:rsid w:val="0038390A"/>
    <w:rsid w:val="003A0BBF"/>
    <w:rsid w:val="003A3C08"/>
    <w:rsid w:val="003A6449"/>
    <w:rsid w:val="003A73D2"/>
    <w:rsid w:val="003B3F46"/>
    <w:rsid w:val="003B4DDE"/>
    <w:rsid w:val="003B625C"/>
    <w:rsid w:val="003C0C28"/>
    <w:rsid w:val="003C0F32"/>
    <w:rsid w:val="003C6CAC"/>
    <w:rsid w:val="003D2249"/>
    <w:rsid w:val="003D3360"/>
    <w:rsid w:val="003D3516"/>
    <w:rsid w:val="003E1394"/>
    <w:rsid w:val="003E582F"/>
    <w:rsid w:val="00401B59"/>
    <w:rsid w:val="00405CE5"/>
    <w:rsid w:val="0041604F"/>
    <w:rsid w:val="00427DD9"/>
    <w:rsid w:val="004317DB"/>
    <w:rsid w:val="00432C5C"/>
    <w:rsid w:val="00437C19"/>
    <w:rsid w:val="00461D1F"/>
    <w:rsid w:val="00470148"/>
    <w:rsid w:val="00470526"/>
    <w:rsid w:val="004848A4"/>
    <w:rsid w:val="004A0755"/>
    <w:rsid w:val="004A6BE3"/>
    <w:rsid w:val="004B078F"/>
    <w:rsid w:val="004C4371"/>
    <w:rsid w:val="004C7D38"/>
    <w:rsid w:val="004D0D86"/>
    <w:rsid w:val="004D10C6"/>
    <w:rsid w:val="004D2643"/>
    <w:rsid w:val="004D294E"/>
    <w:rsid w:val="004D3D03"/>
    <w:rsid w:val="004D4586"/>
    <w:rsid w:val="004D6329"/>
    <w:rsid w:val="004E034B"/>
    <w:rsid w:val="004E17FC"/>
    <w:rsid w:val="004E274E"/>
    <w:rsid w:val="004E517F"/>
    <w:rsid w:val="004F778E"/>
    <w:rsid w:val="004F7A38"/>
    <w:rsid w:val="0050148F"/>
    <w:rsid w:val="00502F91"/>
    <w:rsid w:val="00520AAA"/>
    <w:rsid w:val="00520B2A"/>
    <w:rsid w:val="005274D0"/>
    <w:rsid w:val="005338E4"/>
    <w:rsid w:val="0054286C"/>
    <w:rsid w:val="00543E5A"/>
    <w:rsid w:val="00545A32"/>
    <w:rsid w:val="0054645F"/>
    <w:rsid w:val="005616ED"/>
    <w:rsid w:val="005629D0"/>
    <w:rsid w:val="00564A4E"/>
    <w:rsid w:val="005815B6"/>
    <w:rsid w:val="00584E85"/>
    <w:rsid w:val="005871DA"/>
    <w:rsid w:val="00587695"/>
    <w:rsid w:val="0059054D"/>
    <w:rsid w:val="0059316B"/>
    <w:rsid w:val="005949A8"/>
    <w:rsid w:val="005A077D"/>
    <w:rsid w:val="005A4320"/>
    <w:rsid w:val="005A498D"/>
    <w:rsid w:val="005C19CA"/>
    <w:rsid w:val="005C4522"/>
    <w:rsid w:val="005D49BF"/>
    <w:rsid w:val="005D5767"/>
    <w:rsid w:val="005E5F50"/>
    <w:rsid w:val="005F30C3"/>
    <w:rsid w:val="005F7863"/>
    <w:rsid w:val="006019EE"/>
    <w:rsid w:val="00602CB2"/>
    <w:rsid w:val="0060353B"/>
    <w:rsid w:val="00620876"/>
    <w:rsid w:val="00624FD0"/>
    <w:rsid w:val="00630188"/>
    <w:rsid w:val="00630C5E"/>
    <w:rsid w:val="006315B4"/>
    <w:rsid w:val="00635AC3"/>
    <w:rsid w:val="00636FFB"/>
    <w:rsid w:val="006532AF"/>
    <w:rsid w:val="00654CCF"/>
    <w:rsid w:val="00665F82"/>
    <w:rsid w:val="0067186C"/>
    <w:rsid w:val="00671E11"/>
    <w:rsid w:val="006779DA"/>
    <w:rsid w:val="00687EB3"/>
    <w:rsid w:val="00691BA9"/>
    <w:rsid w:val="00692980"/>
    <w:rsid w:val="00693246"/>
    <w:rsid w:val="0069506F"/>
    <w:rsid w:val="00696582"/>
    <w:rsid w:val="006A1DBB"/>
    <w:rsid w:val="006B4E40"/>
    <w:rsid w:val="006C103A"/>
    <w:rsid w:val="006C4E6A"/>
    <w:rsid w:val="006C50E8"/>
    <w:rsid w:val="006C58C2"/>
    <w:rsid w:val="006D464D"/>
    <w:rsid w:val="006E6F11"/>
    <w:rsid w:val="006F0B6B"/>
    <w:rsid w:val="006F144D"/>
    <w:rsid w:val="006F461B"/>
    <w:rsid w:val="006F622C"/>
    <w:rsid w:val="00700FF6"/>
    <w:rsid w:val="00704D44"/>
    <w:rsid w:val="00711C7D"/>
    <w:rsid w:val="00715A68"/>
    <w:rsid w:val="00715DD5"/>
    <w:rsid w:val="00715ECF"/>
    <w:rsid w:val="00717A04"/>
    <w:rsid w:val="00717BFE"/>
    <w:rsid w:val="007208C5"/>
    <w:rsid w:val="00725BB4"/>
    <w:rsid w:val="0073029C"/>
    <w:rsid w:val="0073180A"/>
    <w:rsid w:val="00732997"/>
    <w:rsid w:val="007336C3"/>
    <w:rsid w:val="00735033"/>
    <w:rsid w:val="00741191"/>
    <w:rsid w:val="00756485"/>
    <w:rsid w:val="0075705D"/>
    <w:rsid w:val="007626E1"/>
    <w:rsid w:val="00767F65"/>
    <w:rsid w:val="00770D6C"/>
    <w:rsid w:val="007721C6"/>
    <w:rsid w:val="00783515"/>
    <w:rsid w:val="00787C94"/>
    <w:rsid w:val="00791BCB"/>
    <w:rsid w:val="007921BD"/>
    <w:rsid w:val="00793A02"/>
    <w:rsid w:val="00795C6B"/>
    <w:rsid w:val="007A1566"/>
    <w:rsid w:val="007A19A1"/>
    <w:rsid w:val="007A3995"/>
    <w:rsid w:val="007A5AC5"/>
    <w:rsid w:val="007B622D"/>
    <w:rsid w:val="007C4288"/>
    <w:rsid w:val="007C484E"/>
    <w:rsid w:val="007D4853"/>
    <w:rsid w:val="007D57C4"/>
    <w:rsid w:val="007E0429"/>
    <w:rsid w:val="007E41DE"/>
    <w:rsid w:val="007E4CE3"/>
    <w:rsid w:val="007F2B1F"/>
    <w:rsid w:val="00802F7A"/>
    <w:rsid w:val="00806A1C"/>
    <w:rsid w:val="0080773A"/>
    <w:rsid w:val="008173F3"/>
    <w:rsid w:val="0082117C"/>
    <w:rsid w:val="008227E9"/>
    <w:rsid w:val="008252C5"/>
    <w:rsid w:val="00831860"/>
    <w:rsid w:val="00832F2D"/>
    <w:rsid w:val="00836C6A"/>
    <w:rsid w:val="00841C9F"/>
    <w:rsid w:val="0084294E"/>
    <w:rsid w:val="00843EFF"/>
    <w:rsid w:val="008442A5"/>
    <w:rsid w:val="0084617F"/>
    <w:rsid w:val="008477A9"/>
    <w:rsid w:val="00850301"/>
    <w:rsid w:val="0085416A"/>
    <w:rsid w:val="00856B0F"/>
    <w:rsid w:val="0087186A"/>
    <w:rsid w:val="00872C56"/>
    <w:rsid w:val="00874F67"/>
    <w:rsid w:val="00876AC2"/>
    <w:rsid w:val="00877B6E"/>
    <w:rsid w:val="00883F43"/>
    <w:rsid w:val="00884C98"/>
    <w:rsid w:val="00884CE2"/>
    <w:rsid w:val="00885E7D"/>
    <w:rsid w:val="0089363F"/>
    <w:rsid w:val="00894D05"/>
    <w:rsid w:val="00896ED8"/>
    <w:rsid w:val="008A209D"/>
    <w:rsid w:val="008A2436"/>
    <w:rsid w:val="008A305E"/>
    <w:rsid w:val="008A4E8C"/>
    <w:rsid w:val="008A563D"/>
    <w:rsid w:val="008B3B0A"/>
    <w:rsid w:val="008C2BA0"/>
    <w:rsid w:val="008C69F2"/>
    <w:rsid w:val="008D1D44"/>
    <w:rsid w:val="008D3E6C"/>
    <w:rsid w:val="008E04EC"/>
    <w:rsid w:val="008E43F4"/>
    <w:rsid w:val="008F42F6"/>
    <w:rsid w:val="008F5282"/>
    <w:rsid w:val="008F71B3"/>
    <w:rsid w:val="008F74FC"/>
    <w:rsid w:val="00900036"/>
    <w:rsid w:val="00912BAC"/>
    <w:rsid w:val="009220EC"/>
    <w:rsid w:val="00925058"/>
    <w:rsid w:val="00926CDB"/>
    <w:rsid w:val="00930113"/>
    <w:rsid w:val="009314FB"/>
    <w:rsid w:val="009356EC"/>
    <w:rsid w:val="009375CE"/>
    <w:rsid w:val="00937FB2"/>
    <w:rsid w:val="0094114F"/>
    <w:rsid w:val="00941A0D"/>
    <w:rsid w:val="00941E01"/>
    <w:rsid w:val="0095176F"/>
    <w:rsid w:val="0095690D"/>
    <w:rsid w:val="009609C5"/>
    <w:rsid w:val="00965B1A"/>
    <w:rsid w:val="00970C49"/>
    <w:rsid w:val="00971B57"/>
    <w:rsid w:val="00976933"/>
    <w:rsid w:val="00980829"/>
    <w:rsid w:val="00981893"/>
    <w:rsid w:val="00984974"/>
    <w:rsid w:val="00986438"/>
    <w:rsid w:val="00987DBF"/>
    <w:rsid w:val="009970F9"/>
    <w:rsid w:val="009A5590"/>
    <w:rsid w:val="009C1296"/>
    <w:rsid w:val="009C3837"/>
    <w:rsid w:val="009C44BD"/>
    <w:rsid w:val="009C537F"/>
    <w:rsid w:val="009D0585"/>
    <w:rsid w:val="009D2BB3"/>
    <w:rsid w:val="009E0846"/>
    <w:rsid w:val="009E1EF4"/>
    <w:rsid w:val="009E1F32"/>
    <w:rsid w:val="009E4BD5"/>
    <w:rsid w:val="009F1BE0"/>
    <w:rsid w:val="009F5195"/>
    <w:rsid w:val="009F7CED"/>
    <w:rsid w:val="00A04569"/>
    <w:rsid w:val="00A0736A"/>
    <w:rsid w:val="00A07DE7"/>
    <w:rsid w:val="00A120D6"/>
    <w:rsid w:val="00A1301A"/>
    <w:rsid w:val="00A14C37"/>
    <w:rsid w:val="00A161B9"/>
    <w:rsid w:val="00A219D7"/>
    <w:rsid w:val="00A2785C"/>
    <w:rsid w:val="00A33DCF"/>
    <w:rsid w:val="00A377FE"/>
    <w:rsid w:val="00A4128C"/>
    <w:rsid w:val="00A41AEF"/>
    <w:rsid w:val="00A43C7A"/>
    <w:rsid w:val="00A447B3"/>
    <w:rsid w:val="00A500DD"/>
    <w:rsid w:val="00A52C3F"/>
    <w:rsid w:val="00A55DB6"/>
    <w:rsid w:val="00A61784"/>
    <w:rsid w:val="00A64120"/>
    <w:rsid w:val="00A700C4"/>
    <w:rsid w:val="00A72973"/>
    <w:rsid w:val="00A74AFD"/>
    <w:rsid w:val="00A80613"/>
    <w:rsid w:val="00A83A98"/>
    <w:rsid w:val="00A85AEA"/>
    <w:rsid w:val="00A94019"/>
    <w:rsid w:val="00AA28E8"/>
    <w:rsid w:val="00AB0708"/>
    <w:rsid w:val="00AB0C45"/>
    <w:rsid w:val="00AB6652"/>
    <w:rsid w:val="00AC1AF8"/>
    <w:rsid w:val="00AC447D"/>
    <w:rsid w:val="00AD5446"/>
    <w:rsid w:val="00AD623F"/>
    <w:rsid w:val="00AE03F3"/>
    <w:rsid w:val="00AF5E71"/>
    <w:rsid w:val="00B13AE3"/>
    <w:rsid w:val="00B25550"/>
    <w:rsid w:val="00B30DCD"/>
    <w:rsid w:val="00B377D3"/>
    <w:rsid w:val="00B4178F"/>
    <w:rsid w:val="00B4216E"/>
    <w:rsid w:val="00B4230B"/>
    <w:rsid w:val="00B448DC"/>
    <w:rsid w:val="00B463AC"/>
    <w:rsid w:val="00B51095"/>
    <w:rsid w:val="00B6123C"/>
    <w:rsid w:val="00B61CA6"/>
    <w:rsid w:val="00B65F1B"/>
    <w:rsid w:val="00B66D03"/>
    <w:rsid w:val="00B7000F"/>
    <w:rsid w:val="00B729FC"/>
    <w:rsid w:val="00B73EC6"/>
    <w:rsid w:val="00B76032"/>
    <w:rsid w:val="00B766E4"/>
    <w:rsid w:val="00B8326D"/>
    <w:rsid w:val="00B84AF8"/>
    <w:rsid w:val="00B90385"/>
    <w:rsid w:val="00B90746"/>
    <w:rsid w:val="00B937B6"/>
    <w:rsid w:val="00BA450F"/>
    <w:rsid w:val="00BB5059"/>
    <w:rsid w:val="00BB545F"/>
    <w:rsid w:val="00BD4B65"/>
    <w:rsid w:val="00BE280C"/>
    <w:rsid w:val="00BF054E"/>
    <w:rsid w:val="00BF0DB9"/>
    <w:rsid w:val="00C12B93"/>
    <w:rsid w:val="00C134C3"/>
    <w:rsid w:val="00C21919"/>
    <w:rsid w:val="00C26C14"/>
    <w:rsid w:val="00C27D76"/>
    <w:rsid w:val="00C31D59"/>
    <w:rsid w:val="00C36892"/>
    <w:rsid w:val="00C4009A"/>
    <w:rsid w:val="00C401C2"/>
    <w:rsid w:val="00C46330"/>
    <w:rsid w:val="00C47F73"/>
    <w:rsid w:val="00C52E86"/>
    <w:rsid w:val="00C6077B"/>
    <w:rsid w:val="00C61441"/>
    <w:rsid w:val="00C7294E"/>
    <w:rsid w:val="00C91F90"/>
    <w:rsid w:val="00CA35FD"/>
    <w:rsid w:val="00CA57DF"/>
    <w:rsid w:val="00CB0063"/>
    <w:rsid w:val="00CB2815"/>
    <w:rsid w:val="00CB4D37"/>
    <w:rsid w:val="00CB66F7"/>
    <w:rsid w:val="00CC0C62"/>
    <w:rsid w:val="00CC259C"/>
    <w:rsid w:val="00CC42D1"/>
    <w:rsid w:val="00CC5B3E"/>
    <w:rsid w:val="00CD4DFE"/>
    <w:rsid w:val="00CE1A87"/>
    <w:rsid w:val="00CF23F5"/>
    <w:rsid w:val="00CF25EF"/>
    <w:rsid w:val="00D04A96"/>
    <w:rsid w:val="00D05B67"/>
    <w:rsid w:val="00D05D52"/>
    <w:rsid w:val="00D1688F"/>
    <w:rsid w:val="00D17A9B"/>
    <w:rsid w:val="00D24980"/>
    <w:rsid w:val="00D26D53"/>
    <w:rsid w:val="00D31F43"/>
    <w:rsid w:val="00D40E59"/>
    <w:rsid w:val="00D415E6"/>
    <w:rsid w:val="00D41EEC"/>
    <w:rsid w:val="00D434E8"/>
    <w:rsid w:val="00D444C5"/>
    <w:rsid w:val="00D530DC"/>
    <w:rsid w:val="00D62023"/>
    <w:rsid w:val="00D65AEE"/>
    <w:rsid w:val="00D7070F"/>
    <w:rsid w:val="00D709DD"/>
    <w:rsid w:val="00D8294A"/>
    <w:rsid w:val="00D83F98"/>
    <w:rsid w:val="00D84A75"/>
    <w:rsid w:val="00D85F90"/>
    <w:rsid w:val="00D90649"/>
    <w:rsid w:val="00D91E89"/>
    <w:rsid w:val="00D9213D"/>
    <w:rsid w:val="00D959B1"/>
    <w:rsid w:val="00D965B1"/>
    <w:rsid w:val="00D97DF9"/>
    <w:rsid w:val="00DA6526"/>
    <w:rsid w:val="00DA6C54"/>
    <w:rsid w:val="00DC54A3"/>
    <w:rsid w:val="00DD181C"/>
    <w:rsid w:val="00DD2F2C"/>
    <w:rsid w:val="00DD48D9"/>
    <w:rsid w:val="00DE1540"/>
    <w:rsid w:val="00DE520C"/>
    <w:rsid w:val="00DF1E66"/>
    <w:rsid w:val="00DF60FD"/>
    <w:rsid w:val="00DF6410"/>
    <w:rsid w:val="00E007F7"/>
    <w:rsid w:val="00E05F18"/>
    <w:rsid w:val="00E06A27"/>
    <w:rsid w:val="00E12202"/>
    <w:rsid w:val="00E212BE"/>
    <w:rsid w:val="00E242C5"/>
    <w:rsid w:val="00E24673"/>
    <w:rsid w:val="00E24F26"/>
    <w:rsid w:val="00E261B4"/>
    <w:rsid w:val="00E31E85"/>
    <w:rsid w:val="00E407FF"/>
    <w:rsid w:val="00E40C34"/>
    <w:rsid w:val="00E41E2C"/>
    <w:rsid w:val="00E44207"/>
    <w:rsid w:val="00E5068D"/>
    <w:rsid w:val="00E54CAD"/>
    <w:rsid w:val="00E66C57"/>
    <w:rsid w:val="00E66D00"/>
    <w:rsid w:val="00E7224C"/>
    <w:rsid w:val="00E729F2"/>
    <w:rsid w:val="00E75DBD"/>
    <w:rsid w:val="00E805D3"/>
    <w:rsid w:val="00E80826"/>
    <w:rsid w:val="00E84DA1"/>
    <w:rsid w:val="00E85322"/>
    <w:rsid w:val="00E91332"/>
    <w:rsid w:val="00EA3045"/>
    <w:rsid w:val="00EC1DE8"/>
    <w:rsid w:val="00EC35AE"/>
    <w:rsid w:val="00ED4708"/>
    <w:rsid w:val="00EE0D69"/>
    <w:rsid w:val="00EE0F26"/>
    <w:rsid w:val="00EE2ABB"/>
    <w:rsid w:val="00EE3968"/>
    <w:rsid w:val="00EF192B"/>
    <w:rsid w:val="00EF4494"/>
    <w:rsid w:val="00F06B8A"/>
    <w:rsid w:val="00F07A7D"/>
    <w:rsid w:val="00F153C1"/>
    <w:rsid w:val="00F16839"/>
    <w:rsid w:val="00F211E7"/>
    <w:rsid w:val="00F21D37"/>
    <w:rsid w:val="00F221F0"/>
    <w:rsid w:val="00F26136"/>
    <w:rsid w:val="00F2713B"/>
    <w:rsid w:val="00F305D8"/>
    <w:rsid w:val="00F37106"/>
    <w:rsid w:val="00F448F5"/>
    <w:rsid w:val="00F44A2E"/>
    <w:rsid w:val="00F47D57"/>
    <w:rsid w:val="00F55DC4"/>
    <w:rsid w:val="00F576B3"/>
    <w:rsid w:val="00F73DA3"/>
    <w:rsid w:val="00F745E1"/>
    <w:rsid w:val="00F75A79"/>
    <w:rsid w:val="00F7620E"/>
    <w:rsid w:val="00F775AD"/>
    <w:rsid w:val="00F80E07"/>
    <w:rsid w:val="00F90326"/>
    <w:rsid w:val="00F90F86"/>
    <w:rsid w:val="00F92DF0"/>
    <w:rsid w:val="00F93152"/>
    <w:rsid w:val="00FA0454"/>
    <w:rsid w:val="00FA4A9E"/>
    <w:rsid w:val="00FB02A6"/>
    <w:rsid w:val="00FB1248"/>
    <w:rsid w:val="00FB217D"/>
    <w:rsid w:val="00FB29CC"/>
    <w:rsid w:val="00FC0522"/>
    <w:rsid w:val="00FC2DE3"/>
    <w:rsid w:val="00FD3D04"/>
    <w:rsid w:val="00FD49A0"/>
    <w:rsid w:val="00FE27DE"/>
    <w:rsid w:val="00FF60F9"/>
    <w:rsid w:val="00FF66CA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A5D9A5"/>
  <w15:chartTrackingRefBased/>
  <w15:docId w15:val="{2BC357FA-2025-431E-90EB-FA2503C4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b/>
      <w:color w:val="000080"/>
      <w:spacing w:val="-8"/>
      <w:kern w:val="28"/>
      <w:sz w:val="28"/>
      <w:lang w:val="es-CO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  <w:ind w:right="902"/>
      <w:textAlignment w:val="baseline"/>
    </w:pPr>
    <w:rPr>
      <w:rFonts w:ascii="Verdana" w:hAnsi="Verdana"/>
      <w:sz w:val="18"/>
      <w:lang w:val="es-CO"/>
    </w:rPr>
  </w:style>
  <w:style w:type="paragraph" w:styleId="Sangra3detindependiente">
    <w:name w:val="Body Text Indent 3"/>
    <w:basedOn w:val="Normal"/>
    <w:pPr>
      <w:overflowPunct w:val="0"/>
      <w:autoSpaceDE w:val="0"/>
      <w:autoSpaceDN w:val="0"/>
      <w:adjustRightInd w:val="0"/>
      <w:ind w:left="709" w:hanging="349"/>
      <w:jc w:val="both"/>
      <w:textAlignment w:val="baseline"/>
    </w:pPr>
    <w:rPr>
      <w:rFonts w:ascii="Tahoma" w:hAnsi="Tahoma" w:cs="Tahoma"/>
      <w:bCs/>
      <w:sz w:val="22"/>
      <w:lang w:val="es-CO"/>
    </w:rPr>
  </w:style>
  <w:style w:type="paragraph" w:styleId="Textoindependiente">
    <w:name w:val="Body Text"/>
    <w:basedOn w:val="Normal"/>
    <w:pPr>
      <w:jc w:val="both"/>
    </w:pPr>
    <w:rPr>
      <w:rFonts w:ascii="Tahoma" w:hAnsi="Tahoma" w:cs="Tahoma"/>
      <w:iCs/>
      <w:sz w:val="18"/>
    </w:rPr>
  </w:style>
  <w:style w:type="paragraph" w:customStyle="1" w:styleId="BodyText31">
    <w:name w:val="Body Text 31"/>
    <w:basedOn w:val="Normal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 w:val="24"/>
      <w:lang w:val="es-CO"/>
    </w:rPr>
  </w:style>
  <w:style w:type="character" w:customStyle="1" w:styleId="InitialStyle">
    <w:name w:val="InitialStyle"/>
    <w:rPr>
      <w:rFonts w:ascii="Courier New" w:hAnsi="Courier New"/>
      <w:color w:val="auto"/>
      <w:spacing w:val="0"/>
      <w:sz w:val="28"/>
    </w:rPr>
  </w:style>
  <w:style w:type="paragraph" w:styleId="Textoindependiente2">
    <w:name w:val="Body Text 2"/>
    <w:basedOn w:val="Normal"/>
    <w:rsid w:val="003227FD"/>
    <w:pPr>
      <w:spacing w:after="120" w:line="480" w:lineRule="auto"/>
    </w:pPr>
  </w:style>
  <w:style w:type="paragraph" w:styleId="Encabezado">
    <w:name w:val="header"/>
    <w:aliases w:val="Encabezado1,encabezado,Encabezado Car,Encabezado Car Car Car Car Car,Encabezado Car Car Car"/>
    <w:basedOn w:val="Normal"/>
    <w:link w:val="EncabezadoCar1"/>
    <w:uiPriority w:val="99"/>
    <w:rsid w:val="00A2785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278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0773A"/>
  </w:style>
  <w:style w:type="paragraph" w:styleId="NormalWeb">
    <w:name w:val="Normal (Web)"/>
    <w:basedOn w:val="Normal"/>
    <w:uiPriority w:val="99"/>
    <w:rsid w:val="00BA450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Refdecomentario">
    <w:name w:val="annotation reference"/>
    <w:semiHidden/>
    <w:rsid w:val="00885E7D"/>
    <w:rPr>
      <w:sz w:val="16"/>
      <w:szCs w:val="16"/>
    </w:rPr>
  </w:style>
  <w:style w:type="paragraph" w:styleId="Textocomentario">
    <w:name w:val="annotation text"/>
    <w:basedOn w:val="Normal"/>
    <w:semiHidden/>
    <w:rsid w:val="00885E7D"/>
  </w:style>
  <w:style w:type="paragraph" w:styleId="Asuntodelcomentario">
    <w:name w:val="annotation subject"/>
    <w:basedOn w:val="Textocomentario"/>
    <w:next w:val="Textocomentario"/>
    <w:semiHidden/>
    <w:rsid w:val="00885E7D"/>
    <w:rPr>
      <w:b/>
      <w:bCs/>
    </w:rPr>
  </w:style>
  <w:style w:type="paragraph" w:styleId="Textodeglobo">
    <w:name w:val="Balloon Text"/>
    <w:basedOn w:val="Normal"/>
    <w:semiHidden/>
    <w:rsid w:val="00885E7D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aliases w:val="Normal. Viñetas"/>
    <w:basedOn w:val="Normal"/>
    <w:link w:val="Listavistosa-nfasis1Car"/>
    <w:uiPriority w:val="34"/>
    <w:qFormat/>
    <w:rsid w:val="009C53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O" w:eastAsia="es-CO"/>
    </w:rPr>
  </w:style>
  <w:style w:type="paragraph" w:customStyle="1" w:styleId="Default">
    <w:name w:val="Default"/>
    <w:rsid w:val="00DF1E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paragraph" w:customStyle="1" w:styleId="Cuerpo">
    <w:name w:val="Cuerpo"/>
    <w:rsid w:val="00DF1E6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CO" w:eastAsia="es-CO"/>
    </w:rPr>
  </w:style>
  <w:style w:type="character" w:customStyle="1" w:styleId="PiedepginaCar">
    <w:name w:val="Pie de página Car"/>
    <w:link w:val="Piedepgina"/>
    <w:uiPriority w:val="99"/>
    <w:rsid w:val="00B4178F"/>
    <w:rPr>
      <w:rFonts w:ascii="Arial" w:hAnsi="Arial"/>
      <w:lang w:val="es-ES" w:eastAsia="es-ES"/>
    </w:rPr>
  </w:style>
  <w:style w:type="paragraph" w:customStyle="1" w:styleId="xmsonormal">
    <w:name w:val="x_msonormal"/>
    <w:basedOn w:val="Normal"/>
    <w:rsid w:val="00715DD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customStyle="1" w:styleId="xmsolistparagraph">
    <w:name w:val="x_msolistparagraph"/>
    <w:basedOn w:val="Normal"/>
    <w:rsid w:val="00715DD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customStyle="1" w:styleId="apple-converted-space">
    <w:name w:val="apple-converted-space"/>
    <w:basedOn w:val="Fuentedeprrafopredeter"/>
    <w:rsid w:val="00715DD5"/>
  </w:style>
  <w:style w:type="paragraph" w:customStyle="1" w:styleId="xcuerpo">
    <w:name w:val="x_cuerpo"/>
    <w:basedOn w:val="Normal"/>
    <w:rsid w:val="00715DD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styleId="Textonotapie">
    <w:name w:val="footnote text"/>
    <w:basedOn w:val="Normal"/>
    <w:link w:val="TextonotapieCar"/>
    <w:uiPriority w:val="99"/>
    <w:rsid w:val="00925058"/>
    <w:rPr>
      <w:rFonts w:ascii="Times" w:eastAsia="Times" w:hAnsi="Times"/>
      <w:lang w:val="en-US"/>
    </w:rPr>
  </w:style>
  <w:style w:type="character" w:customStyle="1" w:styleId="TextonotapieCar">
    <w:name w:val="Texto nota pie Car"/>
    <w:link w:val="Textonotapie"/>
    <w:uiPriority w:val="99"/>
    <w:rsid w:val="00925058"/>
    <w:rPr>
      <w:rFonts w:ascii="Times" w:eastAsia="Times" w:hAnsi="Times"/>
      <w:lang w:val="en-US" w:eastAsia="es-ES"/>
    </w:rPr>
  </w:style>
  <w:style w:type="character" w:styleId="Refdenotaalpie">
    <w:name w:val="footnote reference"/>
    <w:uiPriority w:val="99"/>
    <w:rsid w:val="00925058"/>
    <w:rPr>
      <w:vertAlign w:val="superscript"/>
    </w:rPr>
  </w:style>
  <w:style w:type="paragraph" w:customStyle="1" w:styleId="MediumGrid21">
    <w:name w:val="Medium Grid 21"/>
    <w:qFormat/>
    <w:rsid w:val="00236F62"/>
    <w:rPr>
      <w:rFonts w:ascii="Calibri" w:eastAsia="Calibri" w:hAnsi="Calibri"/>
      <w:sz w:val="22"/>
      <w:szCs w:val="22"/>
      <w:lang w:val="es-CO" w:eastAsia="en-US"/>
    </w:rPr>
  </w:style>
  <w:style w:type="character" w:styleId="Textoennegrita">
    <w:name w:val="Strong"/>
    <w:uiPriority w:val="22"/>
    <w:qFormat/>
    <w:rsid w:val="002D2CB2"/>
    <w:rPr>
      <w:b/>
      <w:bCs/>
    </w:rPr>
  </w:style>
  <w:style w:type="paragraph" w:styleId="Ttulo">
    <w:name w:val="Title"/>
    <w:basedOn w:val="Normal"/>
    <w:link w:val="TtuloCar"/>
    <w:qFormat/>
    <w:rsid w:val="00AE03F3"/>
    <w:pPr>
      <w:jc w:val="center"/>
    </w:pPr>
    <w:rPr>
      <w:rFonts w:cs="Arial"/>
      <w:b/>
      <w:bCs/>
      <w:sz w:val="32"/>
      <w:szCs w:val="24"/>
    </w:rPr>
  </w:style>
  <w:style w:type="character" w:customStyle="1" w:styleId="TtuloCar">
    <w:name w:val="Título Car"/>
    <w:link w:val="Ttulo"/>
    <w:rsid w:val="00AE03F3"/>
    <w:rPr>
      <w:rFonts w:ascii="Arial" w:hAnsi="Arial" w:cs="Arial"/>
      <w:b/>
      <w:bCs/>
      <w:sz w:val="32"/>
      <w:szCs w:val="24"/>
      <w:lang w:val="es-ES" w:eastAsia="es-ES"/>
    </w:rPr>
  </w:style>
  <w:style w:type="character" w:customStyle="1" w:styleId="Listavistosa-nfasis1Car">
    <w:name w:val="Lista vistosa - Énfasis 1 Car"/>
    <w:aliases w:val="Normal. Viñetas Car"/>
    <w:link w:val="ColorfulList-Accent11"/>
    <w:uiPriority w:val="34"/>
    <w:locked/>
    <w:rsid w:val="005629D0"/>
    <w:rPr>
      <w:rFonts w:ascii="Calibri" w:hAnsi="Calibri"/>
      <w:sz w:val="22"/>
      <w:szCs w:val="22"/>
    </w:rPr>
  </w:style>
  <w:style w:type="character" w:styleId="Hipervnculo">
    <w:name w:val="Hyperlink"/>
    <w:uiPriority w:val="99"/>
    <w:unhideWhenUsed/>
    <w:rsid w:val="00F80E0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35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FB02A6"/>
    <w:rPr>
      <w:lang w:val="es-ES_tradnl"/>
    </w:rPr>
  </w:style>
  <w:style w:type="character" w:customStyle="1" w:styleId="EncabezadoCar1">
    <w:name w:val="Encabezado Car1"/>
    <w:aliases w:val="Encabezado1 Car,encabezado Car,Encabezado Car Car,Encabezado Car Car Car Car Car Car,Encabezado Car Car Car Car"/>
    <w:link w:val="Encabezado"/>
    <w:uiPriority w:val="99"/>
    <w:locked/>
    <w:rsid w:val="00980829"/>
    <w:rPr>
      <w:rFonts w:ascii="Arial" w:hAnsi="Arial"/>
      <w:lang w:val="es-ES" w:eastAsia="es-ES"/>
    </w:rPr>
  </w:style>
  <w:style w:type="paragraph" w:customStyle="1" w:styleId="epgrafe">
    <w:name w:val="epgrafe"/>
    <w:basedOn w:val="Normal"/>
    <w:rsid w:val="00D65AEE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79A36-1529-4F53-B8E5-501354F0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2420</Words>
  <Characters>13311</Characters>
  <Application>Microsoft Office Word</Application>
  <DocSecurity>0</DocSecurity>
  <Lines>110</Lines>
  <Paragraphs>31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dafp</Company>
  <LinksUpToDate>false</LinksUpToDate>
  <CharactersWithSpaces>15700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de sistemas</dc:creator>
  <cp:keywords/>
  <dc:description/>
  <cp:lastModifiedBy>Jorge Leonardo Núñez Cabrales</cp:lastModifiedBy>
  <cp:revision>2</cp:revision>
  <cp:lastPrinted>2019-07-09T00:30:00Z</cp:lastPrinted>
  <dcterms:created xsi:type="dcterms:W3CDTF">2022-02-01T15:18:00Z</dcterms:created>
  <dcterms:modified xsi:type="dcterms:W3CDTF">2022-02-01T15:18:00Z</dcterms:modified>
</cp:coreProperties>
</file>