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3481E" w14:textId="77777777" w:rsidR="004432C8" w:rsidRPr="00143748" w:rsidRDefault="004432C8">
      <w:pPr>
        <w:rPr>
          <w:rFonts w:ascii="Verdana" w:hAnsi="Verdana"/>
        </w:rPr>
      </w:pPr>
    </w:p>
    <w:p w14:paraId="6C4280CF" w14:textId="77777777" w:rsidR="00824726" w:rsidRPr="00143748" w:rsidRDefault="00824726">
      <w:pPr>
        <w:rPr>
          <w:rFonts w:ascii="Verdana" w:hAnsi="Verdana"/>
        </w:rPr>
      </w:pPr>
    </w:p>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143748" w14:paraId="6323975D" w14:textId="77777777" w:rsidTr="00711153">
        <w:trPr>
          <w:trHeight w:val="97"/>
        </w:trPr>
        <w:tc>
          <w:tcPr>
            <w:tcW w:w="3434" w:type="dxa"/>
            <w:tcBorders>
              <w:top w:val="single" w:sz="4" w:space="0" w:color="auto"/>
              <w:bottom w:val="single" w:sz="4" w:space="0" w:color="auto"/>
              <w:right w:val="single" w:sz="4" w:space="0" w:color="auto"/>
            </w:tcBorders>
            <w:shd w:val="clear" w:color="auto" w:fill="auto"/>
            <w:vAlign w:val="center"/>
          </w:tcPr>
          <w:p w14:paraId="4E548434" w14:textId="77777777" w:rsidR="0026513E" w:rsidRPr="00143748" w:rsidRDefault="00795C6B" w:rsidP="002264B8">
            <w:pPr>
              <w:pStyle w:val="Ttulo2"/>
              <w:ind w:right="72"/>
              <w:jc w:val="left"/>
              <w:rPr>
                <w:rFonts w:ascii="Verdana" w:hAnsi="Verdana" w:cs="Arial"/>
                <w:bCs/>
              </w:rPr>
            </w:pPr>
            <w:r w:rsidRPr="00143748">
              <w:rPr>
                <w:rFonts w:ascii="Verdana" w:hAnsi="Verdana" w:cs="Arial"/>
                <w:lang w:val="es-CO"/>
              </w:rPr>
              <w:t>Entidad</w:t>
            </w:r>
            <w:r w:rsidR="00086B16" w:rsidRPr="00143748">
              <w:rPr>
                <w:rFonts w:ascii="Verdana" w:hAnsi="Verdana" w:cs="Arial"/>
                <w:lang w:val="es-CO"/>
              </w:rPr>
              <w:t xml:space="preserve"> </w:t>
            </w:r>
            <w:r w:rsidRPr="00143748">
              <w:rPr>
                <w:rFonts w:ascii="Verdana" w:hAnsi="Verdana" w:cs="Arial"/>
                <w:lang w:val="es-CO"/>
              </w:rPr>
              <w:t>originadora</w:t>
            </w:r>
            <w:r w:rsidR="00293F29" w:rsidRPr="00143748">
              <w:rPr>
                <w:rFonts w:ascii="Verdana" w:hAnsi="Verdana" w:cs="Arial"/>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1B60943D" w14:textId="77777777" w:rsidR="0026513E" w:rsidRPr="00143748" w:rsidRDefault="00B30164" w:rsidP="00B30164">
            <w:pPr>
              <w:pStyle w:val="Ttulo2"/>
              <w:ind w:left="72" w:right="72"/>
              <w:jc w:val="both"/>
              <w:rPr>
                <w:rFonts w:ascii="Verdana" w:hAnsi="Verdana" w:cs="Arial"/>
                <w:b w:val="0"/>
                <w:i/>
              </w:rPr>
            </w:pPr>
            <w:r w:rsidRPr="00143748">
              <w:rPr>
                <w:rFonts w:ascii="Verdana" w:hAnsi="Verdana" w:cs="Arial"/>
                <w:b w:val="0"/>
                <w:i/>
              </w:rPr>
              <w:t>Ministerio de Vivienda, Ciudad y Territorio</w:t>
            </w:r>
          </w:p>
        </w:tc>
      </w:tr>
      <w:tr w:rsidR="005C4522" w:rsidRPr="00143748" w14:paraId="46D1C23A" w14:textId="77777777" w:rsidTr="00711153">
        <w:trPr>
          <w:trHeight w:val="97"/>
        </w:trPr>
        <w:tc>
          <w:tcPr>
            <w:tcW w:w="3434" w:type="dxa"/>
            <w:tcBorders>
              <w:top w:val="single" w:sz="4" w:space="0" w:color="auto"/>
              <w:bottom w:val="single" w:sz="4" w:space="0" w:color="auto"/>
              <w:right w:val="single" w:sz="4" w:space="0" w:color="auto"/>
            </w:tcBorders>
            <w:shd w:val="clear" w:color="auto" w:fill="auto"/>
            <w:vAlign w:val="center"/>
          </w:tcPr>
          <w:p w14:paraId="6772B542" w14:textId="77777777" w:rsidR="00C47F73" w:rsidRPr="00143748" w:rsidRDefault="0026513E" w:rsidP="002264B8">
            <w:pPr>
              <w:pStyle w:val="Ttulo2"/>
              <w:ind w:right="72"/>
              <w:jc w:val="left"/>
              <w:rPr>
                <w:rFonts w:ascii="Verdana" w:hAnsi="Verdana" w:cs="Arial"/>
                <w:bCs/>
              </w:rPr>
            </w:pPr>
            <w:r w:rsidRPr="00143748">
              <w:rPr>
                <w:rFonts w:ascii="Verdana" w:hAnsi="Verdana" w:cs="Arial"/>
                <w:bCs/>
              </w:rPr>
              <w:t>Fecha</w:t>
            </w:r>
            <w:r w:rsidR="00BB545F" w:rsidRPr="00143748">
              <w:rPr>
                <w:rFonts w:ascii="Verdana" w:hAnsi="Verdana" w:cs="Arial"/>
                <w:bCs/>
              </w:rPr>
              <w:t xml:space="preserve"> (</w:t>
            </w:r>
            <w:proofErr w:type="spellStart"/>
            <w:r w:rsidR="00BB545F" w:rsidRPr="00143748">
              <w:rPr>
                <w:rFonts w:ascii="Verdana" w:hAnsi="Verdana" w:cs="Arial"/>
                <w:bCs/>
              </w:rPr>
              <w:t>dd</w:t>
            </w:r>
            <w:proofErr w:type="spellEnd"/>
            <w:r w:rsidR="00BB545F" w:rsidRPr="00143748">
              <w:rPr>
                <w:rFonts w:ascii="Verdana" w:hAnsi="Verdana" w:cs="Arial"/>
                <w:bCs/>
              </w:rPr>
              <w:t>/mm/</w:t>
            </w:r>
            <w:proofErr w:type="spellStart"/>
            <w:r w:rsidR="00BB545F" w:rsidRPr="00143748">
              <w:rPr>
                <w:rFonts w:ascii="Verdana" w:hAnsi="Verdana" w:cs="Arial"/>
                <w:bCs/>
              </w:rPr>
              <w:t>aa</w:t>
            </w:r>
            <w:proofErr w:type="spellEnd"/>
            <w:r w:rsidR="00BB545F" w:rsidRPr="00143748">
              <w:rPr>
                <w:rFonts w:ascii="Verdana" w:hAnsi="Verdana" w:cs="Arial"/>
                <w:bCs/>
              </w:rPr>
              <w:t>)</w:t>
            </w:r>
            <w:r w:rsidR="00293F29" w:rsidRPr="00143748">
              <w:rPr>
                <w:rFonts w:ascii="Verdana" w:hAnsi="Verdana" w:cs="Arial"/>
                <w:bCs/>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36A08316" w14:textId="20071390" w:rsidR="00C47F73" w:rsidRPr="00143748" w:rsidRDefault="00B926C5" w:rsidP="00B30164">
            <w:pPr>
              <w:pStyle w:val="Ttulo2"/>
              <w:ind w:left="72" w:right="72"/>
              <w:jc w:val="both"/>
              <w:rPr>
                <w:rFonts w:ascii="Verdana" w:hAnsi="Verdana" w:cs="Arial"/>
                <w:b w:val="0"/>
              </w:rPr>
            </w:pPr>
            <w:r>
              <w:rPr>
                <w:rFonts w:ascii="Verdana" w:hAnsi="Verdana" w:cs="Arial"/>
                <w:b w:val="0"/>
                <w:i/>
                <w:color w:val="808080"/>
              </w:rPr>
              <w:t>10</w:t>
            </w:r>
            <w:r w:rsidR="00D81C9E">
              <w:rPr>
                <w:rFonts w:ascii="Verdana" w:hAnsi="Verdana" w:cs="Arial"/>
                <w:b w:val="0"/>
                <w:i/>
                <w:color w:val="808080"/>
              </w:rPr>
              <w:t>-05</w:t>
            </w:r>
            <w:r w:rsidR="0082450D" w:rsidRPr="00143748">
              <w:rPr>
                <w:rFonts w:ascii="Verdana" w:hAnsi="Verdana" w:cs="Arial"/>
                <w:b w:val="0"/>
                <w:i/>
                <w:color w:val="808080"/>
              </w:rPr>
              <w:t>-202</w:t>
            </w:r>
            <w:r w:rsidR="00DE7C9B" w:rsidRPr="00143748">
              <w:rPr>
                <w:rFonts w:ascii="Verdana" w:hAnsi="Verdana" w:cs="Arial"/>
                <w:b w:val="0"/>
                <w:i/>
                <w:color w:val="808080"/>
              </w:rPr>
              <w:t>4</w:t>
            </w:r>
          </w:p>
        </w:tc>
      </w:tr>
      <w:tr w:rsidR="005C4522" w:rsidRPr="00143748" w14:paraId="2D036D5A" w14:textId="77777777" w:rsidTr="00A10576">
        <w:trPr>
          <w:trHeight w:val="1268"/>
        </w:trPr>
        <w:tc>
          <w:tcPr>
            <w:tcW w:w="3434" w:type="dxa"/>
            <w:tcBorders>
              <w:top w:val="single" w:sz="4" w:space="0" w:color="auto"/>
              <w:bottom w:val="single" w:sz="4" w:space="0" w:color="auto"/>
              <w:right w:val="single" w:sz="4" w:space="0" w:color="auto"/>
            </w:tcBorders>
            <w:shd w:val="clear" w:color="auto" w:fill="auto"/>
            <w:vAlign w:val="center"/>
          </w:tcPr>
          <w:p w14:paraId="7814FFBC" w14:textId="77777777" w:rsidR="0059316B" w:rsidRPr="00143748" w:rsidRDefault="00A55DB6" w:rsidP="002264B8">
            <w:pPr>
              <w:pStyle w:val="Ttulo2"/>
              <w:ind w:right="72"/>
              <w:jc w:val="left"/>
              <w:rPr>
                <w:rFonts w:ascii="Verdana" w:hAnsi="Verdana" w:cs="Arial"/>
                <w:bCs/>
              </w:rPr>
            </w:pPr>
            <w:r w:rsidRPr="00143748">
              <w:rPr>
                <w:rFonts w:ascii="Verdana" w:hAnsi="Verdana" w:cs="Arial"/>
                <w:bCs/>
              </w:rPr>
              <w:t xml:space="preserve">Proyecto de </w:t>
            </w:r>
            <w:r w:rsidR="00587695" w:rsidRPr="00143748">
              <w:rPr>
                <w:rFonts w:ascii="Verdana" w:hAnsi="Verdana" w:cs="Arial"/>
                <w:bCs/>
              </w:rPr>
              <w:t>D</w:t>
            </w:r>
            <w:r w:rsidRPr="00143748">
              <w:rPr>
                <w:rFonts w:ascii="Verdana" w:hAnsi="Verdana" w:cs="Arial"/>
                <w:bCs/>
              </w:rPr>
              <w:t>ecreto</w:t>
            </w:r>
            <w:r w:rsidR="00795C6B" w:rsidRPr="00143748">
              <w:rPr>
                <w:rFonts w:ascii="Verdana" w:hAnsi="Verdana" w:cs="Arial"/>
                <w:bCs/>
              </w:rPr>
              <w:t>/Resolución</w:t>
            </w:r>
            <w:r w:rsidR="00293F29" w:rsidRPr="00143748">
              <w:rPr>
                <w:rFonts w:ascii="Verdana" w:hAnsi="Verdana" w:cs="Arial"/>
                <w:bCs/>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58A3D93D" w14:textId="77777777" w:rsidR="00D81C9E" w:rsidRDefault="00D81C9E" w:rsidP="00D81C9E">
            <w:pPr>
              <w:rPr>
                <w:rFonts w:ascii="Verdana" w:eastAsia="Verdana" w:hAnsi="Verdana" w:cs="Verdana"/>
                <w:i/>
              </w:rPr>
            </w:pPr>
            <w:r>
              <w:rPr>
                <w:rFonts w:ascii="Verdana" w:eastAsia="Verdana" w:hAnsi="Verdana" w:cs="Verdana"/>
                <w:i/>
              </w:rPr>
              <w:t>“Por medio de la cual se deroga la Resolución 1227 de 2023”.</w:t>
            </w:r>
          </w:p>
          <w:p w14:paraId="2EE89E08" w14:textId="77777777" w:rsidR="001F238A" w:rsidRPr="00143748" w:rsidRDefault="001F238A" w:rsidP="00D81C9E">
            <w:pPr>
              <w:jc w:val="both"/>
              <w:rPr>
                <w:rFonts w:ascii="Verdana" w:hAnsi="Verdana" w:cs="Arial"/>
                <w:i/>
                <w:spacing w:val="-3"/>
              </w:rPr>
            </w:pPr>
          </w:p>
        </w:tc>
      </w:tr>
      <w:tr w:rsidR="00DF60FD" w:rsidRPr="00143748" w14:paraId="175548F4" w14:textId="77777777" w:rsidTr="007F5D8C">
        <w:trPr>
          <w:trHeight w:val="674"/>
        </w:trPr>
        <w:tc>
          <w:tcPr>
            <w:tcW w:w="10774" w:type="dxa"/>
            <w:gridSpan w:val="3"/>
            <w:tcBorders>
              <w:top w:val="single" w:sz="4" w:space="0" w:color="auto"/>
            </w:tcBorders>
            <w:shd w:val="clear" w:color="auto" w:fill="FFFFFF"/>
            <w:vAlign w:val="center"/>
          </w:tcPr>
          <w:p w14:paraId="0E6A11E5" w14:textId="77777777" w:rsidR="008D546E" w:rsidRDefault="008D546E" w:rsidP="00D81C9E">
            <w:pPr>
              <w:spacing w:after="160" w:line="278" w:lineRule="auto"/>
              <w:jc w:val="both"/>
              <w:rPr>
                <w:rFonts w:ascii="Verdana" w:hAnsi="Verdana"/>
              </w:rPr>
            </w:pPr>
          </w:p>
          <w:p w14:paraId="1F29299C" w14:textId="1905C781" w:rsidR="009B5C66" w:rsidRPr="009B5C66" w:rsidRDefault="0052787E" w:rsidP="009B5C66">
            <w:pPr>
              <w:spacing w:after="160" w:line="278" w:lineRule="auto"/>
              <w:jc w:val="both"/>
              <w:rPr>
                <w:rFonts w:ascii="Verdana" w:hAnsi="Verdana"/>
              </w:rPr>
            </w:pPr>
            <w:r>
              <w:rPr>
                <w:rFonts w:ascii="Verdana" w:hAnsi="Verdana"/>
              </w:rPr>
              <w:t>E</w:t>
            </w:r>
            <w:r w:rsidR="009B5C66" w:rsidRPr="009B5C66">
              <w:rPr>
                <w:rFonts w:ascii="Verdana" w:hAnsi="Verdana"/>
              </w:rPr>
              <w:t>l sector construcción está en un proceso de estabilización y crecimiento en 2024, que se ve</w:t>
            </w:r>
            <w:r w:rsidR="000856E4">
              <w:rPr>
                <w:rFonts w:ascii="Verdana" w:hAnsi="Verdana"/>
              </w:rPr>
              <w:t>rá</w:t>
            </w:r>
            <w:r w:rsidR="009B5C66" w:rsidRPr="009B5C66">
              <w:rPr>
                <w:rFonts w:ascii="Verdana" w:hAnsi="Verdana"/>
              </w:rPr>
              <w:t xml:space="preserve"> fortalecido por las estrategias de la política de vivienda</w:t>
            </w:r>
            <w:r w:rsidR="009B5C66">
              <w:rPr>
                <w:rFonts w:ascii="Verdana" w:hAnsi="Verdana"/>
              </w:rPr>
              <w:t>, en particular por</w:t>
            </w:r>
            <w:r w:rsidR="009B5C66" w:rsidRPr="009B5C66">
              <w:rPr>
                <w:rFonts w:ascii="Verdana" w:hAnsi="Verdana"/>
              </w:rPr>
              <w:t xml:space="preserve"> los buenos niveles de asignación del Subsidio Familiar de Vivienda del programa “Mi Casa Ya”, lo cual favorecerá la demanda de vivienda VIS </w:t>
            </w:r>
            <w:r w:rsidR="0027782E">
              <w:rPr>
                <w:rFonts w:ascii="Verdana" w:hAnsi="Verdana"/>
              </w:rPr>
              <w:t xml:space="preserve">y VIP </w:t>
            </w:r>
            <w:r w:rsidR="009B5C66" w:rsidRPr="009B5C66">
              <w:rPr>
                <w:rFonts w:ascii="Verdana" w:hAnsi="Verdana"/>
              </w:rPr>
              <w:t xml:space="preserve">a corto plazo. </w:t>
            </w:r>
          </w:p>
          <w:p w14:paraId="4944F39B" w14:textId="0E54407F" w:rsidR="00106B8F" w:rsidRPr="009B5C66" w:rsidRDefault="0052787E" w:rsidP="00106B8F">
            <w:pPr>
              <w:spacing w:line="276" w:lineRule="auto"/>
              <w:jc w:val="both"/>
              <w:rPr>
                <w:rFonts w:ascii="Verdana" w:hAnsi="Verdana" w:cs="Arial"/>
                <w:bdr w:val="none" w:sz="0" w:space="0" w:color="auto" w:frame="1"/>
                <w:lang w:eastAsia="es-CO"/>
              </w:rPr>
            </w:pPr>
            <w:r>
              <w:rPr>
                <w:rFonts w:ascii="Verdana" w:hAnsi="Verdana" w:cs="Helvetica-Light"/>
              </w:rPr>
              <w:t xml:space="preserve">En el año 2023, en el marco del programa </w:t>
            </w:r>
            <w:r w:rsidR="00106B8F" w:rsidRPr="009B5C66">
              <w:rPr>
                <w:rFonts w:ascii="Verdana" w:hAnsi="Verdana" w:cs="Helvetica-Light"/>
              </w:rPr>
              <w:t xml:space="preserve">“Mi Casa Ya” se asignaron </w:t>
            </w:r>
            <w:r w:rsidR="00106B8F" w:rsidRPr="009B5C66">
              <w:rPr>
                <w:rFonts w:ascii="Verdana" w:hAnsi="Verdana" w:cs="Arial"/>
                <w:bCs/>
                <w:bdr w:val="none" w:sz="0" w:space="0" w:color="auto" w:frame="1"/>
                <w:lang w:eastAsia="es-CO"/>
              </w:rPr>
              <w:t>52.238 subsidios</w:t>
            </w:r>
            <w:r w:rsidR="00106B8F" w:rsidRPr="009B5C66">
              <w:rPr>
                <w:rFonts w:ascii="Verdana" w:hAnsi="Verdana" w:cs="Arial"/>
                <w:bdr w:val="none" w:sz="0" w:space="0" w:color="auto" w:frame="1"/>
                <w:lang w:eastAsia="es-CO"/>
              </w:rPr>
              <w:t xml:space="preserve">, de los cuales, 94 entre enero y marzo, previo a la expedición del Decreto 490 de 2023 y 52.144 entre abril y diciembre, con posterioridad a la expedición del referido Decreto. </w:t>
            </w:r>
          </w:p>
          <w:p w14:paraId="2661DAD8" w14:textId="77777777" w:rsidR="00106B8F" w:rsidRPr="009B5C66" w:rsidRDefault="00106B8F" w:rsidP="00106B8F">
            <w:pPr>
              <w:spacing w:line="276" w:lineRule="auto"/>
              <w:jc w:val="both"/>
              <w:rPr>
                <w:rFonts w:ascii="Verdana" w:hAnsi="Verdana" w:cs="Arial"/>
                <w:bdr w:val="none" w:sz="0" w:space="0" w:color="auto" w:frame="1"/>
                <w:lang w:eastAsia="es-CO"/>
              </w:rPr>
            </w:pPr>
          </w:p>
          <w:p w14:paraId="64A1E5F0" w14:textId="513B11DE" w:rsidR="005B1C43" w:rsidRPr="00C35AF6" w:rsidRDefault="00106B8F" w:rsidP="00106B8F">
            <w:pPr>
              <w:spacing w:line="276" w:lineRule="auto"/>
              <w:jc w:val="both"/>
              <w:rPr>
                <w:rFonts w:ascii="Verdana" w:hAnsi="Verdana" w:cs="Arial"/>
                <w:bdr w:val="none" w:sz="0" w:space="0" w:color="auto" w:frame="1"/>
                <w:lang w:eastAsia="es-CO"/>
              </w:rPr>
            </w:pPr>
            <w:r w:rsidRPr="009B5C66">
              <w:rPr>
                <w:rFonts w:ascii="Verdana" w:hAnsi="Verdana" w:cs="Arial"/>
                <w:bdr w:val="none" w:sz="0" w:space="0" w:color="auto" w:frame="1"/>
                <w:lang w:eastAsia="es-CO"/>
              </w:rPr>
              <w:t xml:space="preserve">Adicionalmente, con el presupuesto de la vigencia 2023 se asignaron en total </w:t>
            </w:r>
            <w:r w:rsidRPr="009B5C66">
              <w:rPr>
                <w:rFonts w:ascii="Verdana" w:hAnsi="Verdana" w:cs="Arial"/>
                <w:bCs/>
                <w:bdr w:val="none" w:sz="0" w:space="0" w:color="auto" w:frame="1"/>
                <w:lang w:eastAsia="es-CO"/>
              </w:rPr>
              <w:t xml:space="preserve">75.338 </w:t>
            </w:r>
            <w:r w:rsidRPr="009B5C66">
              <w:rPr>
                <w:rFonts w:ascii="Verdana" w:hAnsi="Verdana" w:cs="Arial"/>
                <w:bdr w:val="none" w:sz="0" w:space="0" w:color="auto" w:frame="1"/>
                <w:lang w:eastAsia="es-CO"/>
              </w:rPr>
              <w:t xml:space="preserve">subsidios. Por su parte, en lo corrido del año 2024 se han asignado </w:t>
            </w:r>
            <w:r w:rsidRPr="009B5C66">
              <w:rPr>
                <w:rFonts w:ascii="Verdana" w:hAnsi="Verdana" w:cs="Arial"/>
                <w:bCs/>
                <w:bdr w:val="none" w:sz="0" w:space="0" w:color="auto" w:frame="1"/>
                <w:lang w:eastAsia="es-CO"/>
              </w:rPr>
              <w:t>16.127</w:t>
            </w:r>
            <w:r w:rsidRPr="009B5C66">
              <w:rPr>
                <w:rFonts w:ascii="Verdana" w:hAnsi="Verdana" w:cs="Arial"/>
                <w:bdr w:val="none" w:sz="0" w:space="0" w:color="auto" w:frame="1"/>
                <w:lang w:eastAsia="es-CO"/>
              </w:rPr>
              <w:t xml:space="preserve"> subsidios del referido</w:t>
            </w:r>
            <w:r w:rsidRPr="00C35AF6">
              <w:rPr>
                <w:rFonts w:ascii="Verdana" w:hAnsi="Verdana" w:cs="Arial"/>
                <w:bdr w:val="none" w:sz="0" w:space="0" w:color="auto" w:frame="1"/>
                <w:lang w:eastAsia="es-CO"/>
              </w:rPr>
              <w:t xml:space="preserve"> programa. </w:t>
            </w:r>
          </w:p>
          <w:p w14:paraId="251AEECF" w14:textId="22DF2F83" w:rsidR="00106B8F" w:rsidRDefault="006934B3" w:rsidP="00106B8F">
            <w:pPr>
              <w:jc w:val="center"/>
              <w:rPr>
                <w:rFonts w:ascii="Verdana" w:hAnsi="Verdana" w:cs="Arial"/>
                <w:bdr w:val="none" w:sz="0" w:space="0" w:color="auto" w:frame="1"/>
                <w:lang w:eastAsia="es-CO"/>
              </w:rPr>
            </w:pPr>
            <w:r>
              <w:rPr>
                <w:noProof/>
                <w:lang w:val="en-US" w:eastAsia="en-US"/>
              </w:rPr>
              <mc:AlternateContent>
                <mc:Choice Requires="wps">
                  <w:drawing>
                    <wp:anchor distT="45720" distB="45720" distL="114300" distR="114300" simplePos="0" relativeHeight="251662336" behindDoc="0" locked="0" layoutInCell="1" allowOverlap="1" wp14:anchorId="4EDD35F3" wp14:editId="14C40844">
                      <wp:simplePos x="0" y="0"/>
                      <wp:positionH relativeFrom="column">
                        <wp:posOffset>5229860</wp:posOffset>
                      </wp:positionH>
                      <wp:positionV relativeFrom="paragraph">
                        <wp:posOffset>1049020</wp:posOffset>
                      </wp:positionV>
                      <wp:extent cx="581025" cy="228600"/>
                      <wp:effectExtent l="0" t="0" r="0" b="0"/>
                      <wp:wrapNone/>
                      <wp:docPr id="97585072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28600"/>
                              </a:xfrm>
                              <a:prstGeom prst="rect">
                                <a:avLst/>
                              </a:prstGeom>
                              <a:noFill/>
                              <a:ln w="9525">
                                <a:noFill/>
                                <a:miter lim="800000"/>
                                <a:headEnd/>
                                <a:tailEnd/>
                              </a:ln>
                            </wps:spPr>
                            <wps:txbx>
                              <w:txbxContent>
                                <w:p w14:paraId="5B165051" w14:textId="77777777" w:rsidR="00106B8F" w:rsidRPr="00106B8F" w:rsidRDefault="00106B8F" w:rsidP="00106B8F">
                                  <w:pPr>
                                    <w:rPr>
                                      <w:rFonts w:ascii="Verdana" w:hAnsi="Verdana"/>
                                      <w:color w:val="0E2841"/>
                                      <w:sz w:val="16"/>
                                      <w:szCs w:val="16"/>
                                    </w:rPr>
                                  </w:pPr>
                                  <w:r w:rsidRPr="00106B8F">
                                    <w:rPr>
                                      <w:rFonts w:ascii="Verdana" w:hAnsi="Verdana"/>
                                      <w:color w:val="0E2841"/>
                                      <w:sz w:val="16"/>
                                      <w:szCs w:val="16"/>
                                    </w:rPr>
                                    <w:t>50.000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DD35F3" id="_x0000_t202" coordsize="21600,21600" o:spt="202" path="m,l,21600r21600,l21600,xe">
                      <v:stroke joinstyle="miter"/>
                      <v:path gradientshapeok="t" o:connecttype="rect"/>
                    </v:shapetype>
                    <v:shape id="Cuadro de texto 8" o:spid="_x0000_s1026" type="#_x0000_t202" style="position:absolute;left:0;text-align:left;margin-left:411.8pt;margin-top:82.6pt;width:45.75pt;height: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" filled="f" stroked="f">
                      <v:textbox>
                        <w:txbxContent>
                          <w:p w14:paraId="5B165051" w14:textId="77777777" w:rsidR="00106B8F" w:rsidRPr="00106B8F" w:rsidRDefault="00106B8F" w:rsidP="00106B8F">
                            <w:pPr>
                              <w:rPr>
                                <w:rFonts w:ascii="Verdana" w:hAnsi="Verdana"/>
                                <w:color w:val="0E2841"/>
                                <w:sz w:val="16"/>
                                <w:szCs w:val="16"/>
                              </w:rPr>
                            </w:pPr>
                            <w:r w:rsidRPr="00106B8F">
                              <w:rPr>
                                <w:rFonts w:ascii="Verdana" w:hAnsi="Verdana"/>
                                <w:color w:val="0E2841"/>
                                <w:sz w:val="16"/>
                                <w:szCs w:val="16"/>
                              </w:rPr>
                              <w:t>50.000</w:t>
                            </w:r>
                          </w:p>
                        </w:txbxContent>
                      </v:textbox>
                    </v:shape>
                  </w:pict>
                </mc:Fallback>
              </mc:AlternateContent>
            </w:r>
            <w:r>
              <w:rPr>
                <w:noProof/>
                <w:lang w:val="en-US" w:eastAsia="en-US"/>
              </w:rPr>
              <mc:AlternateContent>
                <mc:Choice Requires="wps">
                  <w:drawing>
                    <wp:anchor distT="45720" distB="45720" distL="114300" distR="114300" simplePos="0" relativeHeight="251661312" behindDoc="0" locked="0" layoutInCell="1" allowOverlap="1" wp14:anchorId="4404BF9A" wp14:editId="3C535857">
                      <wp:simplePos x="0" y="0"/>
                      <wp:positionH relativeFrom="column">
                        <wp:posOffset>4801235</wp:posOffset>
                      </wp:positionH>
                      <wp:positionV relativeFrom="paragraph">
                        <wp:posOffset>1049020</wp:posOffset>
                      </wp:positionV>
                      <wp:extent cx="581025" cy="228600"/>
                      <wp:effectExtent l="0" t="0" r="0" b="0"/>
                      <wp:wrapNone/>
                      <wp:docPr id="134975339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28600"/>
                              </a:xfrm>
                              <a:prstGeom prst="rect">
                                <a:avLst/>
                              </a:prstGeom>
                              <a:noFill/>
                              <a:ln w="9525">
                                <a:noFill/>
                                <a:miter lim="800000"/>
                                <a:headEnd/>
                                <a:tailEnd/>
                              </a:ln>
                            </wps:spPr>
                            <wps:txbx>
                              <w:txbxContent>
                                <w:p w14:paraId="564DBB60" w14:textId="77777777" w:rsidR="00106B8F" w:rsidRPr="00106B8F" w:rsidRDefault="00106B8F" w:rsidP="00106B8F">
                                  <w:pPr>
                                    <w:rPr>
                                      <w:rFonts w:ascii="Verdana" w:hAnsi="Verdana"/>
                                      <w:color w:val="0E2841"/>
                                      <w:sz w:val="16"/>
                                      <w:szCs w:val="16"/>
                                    </w:rPr>
                                  </w:pPr>
                                  <w:r w:rsidRPr="00106B8F">
                                    <w:rPr>
                                      <w:rFonts w:ascii="Verdana" w:hAnsi="Verdana"/>
                                      <w:color w:val="0E2841"/>
                                      <w:sz w:val="16"/>
                                      <w:szCs w:val="16"/>
                                    </w:rPr>
                                    <w:t>50.000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04BF9A" id="Cuadro de texto 7" o:spid="_x0000_s1027" type="#_x0000_t202" style="position:absolute;left:0;text-align:left;margin-left:378.05pt;margin-top:82.6pt;width:45.7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" filled="f" stroked="f">
                      <v:textbox>
                        <w:txbxContent>
                          <w:p w14:paraId="564DBB60" w14:textId="77777777" w:rsidR="00106B8F" w:rsidRPr="00106B8F" w:rsidRDefault="00106B8F" w:rsidP="00106B8F">
                            <w:pPr>
                              <w:rPr>
                                <w:rFonts w:ascii="Verdana" w:hAnsi="Verdana"/>
                                <w:color w:val="0E2841"/>
                                <w:sz w:val="16"/>
                                <w:szCs w:val="16"/>
                              </w:rPr>
                            </w:pPr>
                            <w:r w:rsidRPr="00106B8F">
                              <w:rPr>
                                <w:rFonts w:ascii="Verdana" w:hAnsi="Verdana"/>
                                <w:color w:val="0E2841"/>
                                <w:sz w:val="16"/>
                                <w:szCs w:val="16"/>
                              </w:rPr>
                              <w:t>50.000</w:t>
                            </w:r>
                          </w:p>
                        </w:txbxContent>
                      </v:textbox>
                    </v:shape>
                  </w:pict>
                </mc:Fallback>
              </mc:AlternateContent>
            </w:r>
            <w:r w:rsidR="009B5C66">
              <w:rPr>
                <w:noProof/>
                <w:lang w:val="en-US" w:eastAsia="en-US"/>
              </w:rPr>
              <mc:AlternateContent>
                <mc:Choice Requires="wps">
                  <w:drawing>
                    <wp:anchor distT="45720" distB="45720" distL="114300" distR="114300" simplePos="0" relativeHeight="251659264" behindDoc="0" locked="0" layoutInCell="1" allowOverlap="1" wp14:anchorId="2CE6FDBA" wp14:editId="3659E936">
                      <wp:simplePos x="0" y="0"/>
                      <wp:positionH relativeFrom="column">
                        <wp:posOffset>4024630</wp:posOffset>
                      </wp:positionH>
                      <wp:positionV relativeFrom="paragraph">
                        <wp:posOffset>452755</wp:posOffset>
                      </wp:positionV>
                      <wp:extent cx="581025" cy="228600"/>
                      <wp:effectExtent l="0" t="0" r="0" b="0"/>
                      <wp:wrapNone/>
                      <wp:docPr id="61031703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28600"/>
                              </a:xfrm>
                              <a:prstGeom prst="rect">
                                <a:avLst/>
                              </a:prstGeom>
                              <a:solidFill>
                                <a:srgbClr val="FFFFFF"/>
                              </a:solidFill>
                              <a:ln w="9525">
                                <a:noFill/>
                                <a:miter lim="800000"/>
                                <a:headEnd/>
                                <a:tailEnd/>
                              </a:ln>
                            </wps:spPr>
                            <wps:txbx>
                              <w:txbxContent>
                                <w:p w14:paraId="0A560944" w14:textId="77777777" w:rsidR="00106B8F" w:rsidRPr="00106B8F" w:rsidRDefault="00106B8F" w:rsidP="00106B8F">
                                  <w:pPr>
                                    <w:rPr>
                                      <w:rFonts w:ascii="Verdana" w:hAnsi="Verdana"/>
                                      <w:color w:val="0E2841"/>
                                      <w:sz w:val="16"/>
                                      <w:szCs w:val="16"/>
                                    </w:rPr>
                                  </w:pPr>
                                  <w:r w:rsidRPr="00106B8F">
                                    <w:rPr>
                                      <w:rFonts w:ascii="Verdana" w:hAnsi="Verdana"/>
                                      <w:color w:val="0E2841"/>
                                      <w:sz w:val="16"/>
                                      <w:szCs w:val="16"/>
                                    </w:rPr>
                                    <w:t>75.338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E6FDBA" id="_x0000_t202" coordsize="21600,21600" o:spt="202" path="m,l,21600r21600,l21600,xe">
                      <v:stroke joinstyle="miter"/>
                      <v:path gradientshapeok="t" o:connecttype="rect"/>
                    </v:shapetype>
                    <v:shape id="Cuadro de texto 5" o:spid="_x0000_s1026" type="#_x0000_t202" style="position:absolute;left:0;text-align:left;margin-left:316.9pt;margin-top:35.65pt;width:45.7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" stroked="f">
                      <v:textbox>
                        <w:txbxContent>
                          <w:p w14:paraId="0A560944" w14:textId="77777777" w:rsidR="00106B8F" w:rsidRPr="00106B8F" w:rsidRDefault="00106B8F" w:rsidP="00106B8F">
                            <w:pPr>
                              <w:rPr>
                                <w:rFonts w:ascii="Verdana" w:hAnsi="Verdana"/>
                                <w:color w:val="0E2841"/>
                                <w:sz w:val="16"/>
                                <w:szCs w:val="16"/>
                              </w:rPr>
                            </w:pPr>
                            <w:r w:rsidRPr="00106B8F">
                              <w:rPr>
                                <w:rFonts w:ascii="Verdana" w:hAnsi="Verdana"/>
                                <w:color w:val="0E2841"/>
                                <w:sz w:val="16"/>
                                <w:szCs w:val="16"/>
                              </w:rPr>
                              <w:t>75.338</w:t>
                            </w:r>
                          </w:p>
                        </w:txbxContent>
                      </v:textbox>
                    </v:shape>
                  </w:pict>
                </mc:Fallback>
              </mc:AlternateContent>
            </w:r>
            <w:r w:rsidR="009B5C66">
              <w:rPr>
                <w:noProof/>
                <w:lang w:val="en-US" w:eastAsia="en-US"/>
              </w:rPr>
              <mc:AlternateContent>
                <mc:Choice Requires="wps">
                  <w:drawing>
                    <wp:anchor distT="45720" distB="45720" distL="114300" distR="114300" simplePos="0" relativeHeight="251660288" behindDoc="0" locked="0" layoutInCell="1" allowOverlap="1" wp14:anchorId="1804EDB7" wp14:editId="1D827C96">
                      <wp:simplePos x="0" y="0"/>
                      <wp:positionH relativeFrom="column">
                        <wp:posOffset>4394200</wp:posOffset>
                      </wp:positionH>
                      <wp:positionV relativeFrom="paragraph">
                        <wp:posOffset>1047750</wp:posOffset>
                      </wp:positionV>
                      <wp:extent cx="581025" cy="228600"/>
                      <wp:effectExtent l="0" t="0" r="0" b="0"/>
                      <wp:wrapNone/>
                      <wp:docPr id="1596401680"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28600"/>
                              </a:xfrm>
                              <a:prstGeom prst="rect">
                                <a:avLst/>
                              </a:prstGeom>
                              <a:noFill/>
                              <a:ln w="9525">
                                <a:noFill/>
                                <a:miter lim="800000"/>
                                <a:headEnd/>
                                <a:tailEnd/>
                              </a:ln>
                            </wps:spPr>
                            <wps:txbx>
                              <w:txbxContent>
                                <w:p w14:paraId="29FAB4EF" w14:textId="77777777" w:rsidR="00106B8F" w:rsidRPr="00106B8F" w:rsidRDefault="00106B8F" w:rsidP="00106B8F">
                                  <w:pPr>
                                    <w:rPr>
                                      <w:rFonts w:ascii="Verdana" w:hAnsi="Verdana"/>
                                      <w:color w:val="0E2841"/>
                                      <w:sz w:val="16"/>
                                      <w:szCs w:val="16"/>
                                    </w:rPr>
                                  </w:pPr>
                                  <w:r w:rsidRPr="00106B8F">
                                    <w:rPr>
                                      <w:rFonts w:ascii="Verdana" w:hAnsi="Verdana"/>
                                      <w:color w:val="0E2841"/>
                                      <w:sz w:val="16"/>
                                      <w:szCs w:val="16"/>
                                    </w:rPr>
                                    <w:t>50.000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04EDB7" id="Cuadro de texto 6" o:spid="_x0000_s1029" type="#_x0000_t202" style="position:absolute;left:0;text-align:left;margin-left:346pt;margin-top:82.5pt;width:45.75pt;height: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" filled="f" stroked="f">
                      <v:textbox>
                        <w:txbxContent>
                          <w:p w14:paraId="29FAB4EF" w14:textId="77777777" w:rsidR="00106B8F" w:rsidRPr="00106B8F" w:rsidRDefault="00106B8F" w:rsidP="00106B8F">
                            <w:pPr>
                              <w:rPr>
                                <w:rFonts w:ascii="Verdana" w:hAnsi="Verdana"/>
                                <w:color w:val="0E2841"/>
                                <w:sz w:val="16"/>
                                <w:szCs w:val="16"/>
                              </w:rPr>
                            </w:pPr>
                            <w:r w:rsidRPr="00106B8F">
                              <w:rPr>
                                <w:rFonts w:ascii="Verdana" w:hAnsi="Verdana"/>
                                <w:color w:val="0E2841"/>
                                <w:sz w:val="16"/>
                                <w:szCs w:val="16"/>
                              </w:rPr>
                              <w:t>50.000</w:t>
                            </w:r>
                          </w:p>
                        </w:txbxContent>
                      </v:textbox>
                    </v:shape>
                  </w:pict>
                </mc:Fallback>
              </mc:AlternateContent>
            </w:r>
            <w:r w:rsidR="00106B8F" w:rsidRPr="004257E3">
              <w:rPr>
                <w:noProof/>
                <w:lang w:val="en-US" w:eastAsia="en-US"/>
              </w:rPr>
              <w:drawing>
                <wp:inline distT="0" distB="0" distL="0" distR="0" wp14:anchorId="38EBA9F0" wp14:editId="3E734779">
                  <wp:extent cx="4872355" cy="2905125"/>
                  <wp:effectExtent l="0" t="0" r="4445" b="0"/>
                  <wp:docPr id="192810296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8673EC" w14:textId="77777777" w:rsidR="005B1C43" w:rsidRDefault="005B1C43" w:rsidP="00106B8F">
            <w:pPr>
              <w:jc w:val="both"/>
              <w:rPr>
                <w:rFonts w:ascii="Verdana" w:hAnsi="Verdana" w:cs="Arial"/>
                <w:sz w:val="16"/>
                <w:szCs w:val="16"/>
                <w:bdr w:val="none" w:sz="0" w:space="0" w:color="auto" w:frame="1"/>
                <w:lang w:eastAsia="es-CO"/>
              </w:rPr>
            </w:pPr>
            <w:r>
              <w:rPr>
                <w:rFonts w:ascii="Verdana" w:hAnsi="Verdana" w:cs="Arial"/>
                <w:sz w:val="16"/>
                <w:szCs w:val="16"/>
                <w:bdr w:val="none" w:sz="0" w:space="0" w:color="auto" w:frame="1"/>
                <w:lang w:eastAsia="es-CO"/>
              </w:rPr>
              <w:t xml:space="preserve">                         </w:t>
            </w:r>
          </w:p>
          <w:p w14:paraId="15484CF3" w14:textId="7AE563ED" w:rsidR="00106B8F" w:rsidRPr="00582949" w:rsidRDefault="005B1C43" w:rsidP="00106B8F">
            <w:pPr>
              <w:jc w:val="both"/>
              <w:rPr>
                <w:rFonts w:ascii="Verdana" w:hAnsi="Verdana" w:cs="Arial"/>
                <w:sz w:val="16"/>
                <w:szCs w:val="16"/>
                <w:bdr w:val="none" w:sz="0" w:space="0" w:color="auto" w:frame="1"/>
                <w:lang w:eastAsia="es-CO"/>
              </w:rPr>
            </w:pPr>
            <w:r>
              <w:rPr>
                <w:rFonts w:ascii="Verdana" w:hAnsi="Verdana" w:cs="Arial"/>
                <w:sz w:val="16"/>
                <w:szCs w:val="16"/>
                <w:bdr w:val="none" w:sz="0" w:space="0" w:color="auto" w:frame="1"/>
                <w:lang w:eastAsia="es-CO"/>
              </w:rPr>
              <w:t xml:space="preserve">                           </w:t>
            </w:r>
            <w:r w:rsidR="00106B8F" w:rsidRPr="00582949">
              <w:rPr>
                <w:rFonts w:ascii="Verdana" w:hAnsi="Verdana" w:cs="Arial"/>
                <w:sz w:val="16"/>
                <w:szCs w:val="16"/>
                <w:bdr w:val="none" w:sz="0" w:space="0" w:color="auto" w:frame="1"/>
                <w:lang w:eastAsia="es-CO"/>
              </w:rPr>
              <w:t>Fuente: Subdirección de Subsidio Familiar de Vivienda</w:t>
            </w:r>
          </w:p>
          <w:p w14:paraId="11BCC046" w14:textId="3D4D2F83" w:rsidR="00106B8F" w:rsidRPr="00582949" w:rsidRDefault="005B1C43" w:rsidP="00106B8F">
            <w:pPr>
              <w:jc w:val="both"/>
              <w:rPr>
                <w:rFonts w:ascii="Verdana" w:hAnsi="Verdana" w:cs="Arial"/>
                <w:sz w:val="16"/>
                <w:szCs w:val="16"/>
                <w:bdr w:val="none" w:sz="0" w:space="0" w:color="auto" w:frame="1"/>
                <w:lang w:eastAsia="es-CO"/>
              </w:rPr>
            </w:pPr>
            <w:r>
              <w:rPr>
                <w:rFonts w:ascii="Verdana" w:hAnsi="Verdana" w:cs="Arial"/>
                <w:sz w:val="16"/>
                <w:szCs w:val="16"/>
                <w:bdr w:val="none" w:sz="0" w:space="0" w:color="auto" w:frame="1"/>
                <w:lang w:eastAsia="es-CO"/>
              </w:rPr>
              <w:t xml:space="preserve">                           </w:t>
            </w:r>
            <w:r w:rsidR="00106B8F" w:rsidRPr="00582949">
              <w:rPr>
                <w:rFonts w:ascii="Verdana" w:hAnsi="Verdana" w:cs="Arial"/>
                <w:sz w:val="16"/>
                <w:szCs w:val="16"/>
                <w:bdr w:val="none" w:sz="0" w:space="0" w:color="auto" w:frame="1"/>
                <w:lang w:eastAsia="es-CO"/>
              </w:rPr>
              <w:t>Fecha de corte: 3 de mayo de 2024</w:t>
            </w:r>
          </w:p>
          <w:p w14:paraId="11290789" w14:textId="77777777" w:rsidR="00106B8F" w:rsidRDefault="00106B8F" w:rsidP="00106B8F">
            <w:pPr>
              <w:jc w:val="both"/>
              <w:rPr>
                <w:rFonts w:ascii="Verdana" w:hAnsi="Verdana" w:cs="Arial"/>
                <w:bdr w:val="none" w:sz="0" w:space="0" w:color="auto" w:frame="1"/>
                <w:lang w:eastAsia="es-CO"/>
              </w:rPr>
            </w:pPr>
          </w:p>
          <w:p w14:paraId="55FC0567" w14:textId="75C322BD" w:rsidR="005B1C43" w:rsidRPr="00C35AF6" w:rsidRDefault="000856E4" w:rsidP="00106B8F">
            <w:pPr>
              <w:spacing w:line="276" w:lineRule="auto"/>
              <w:jc w:val="both"/>
              <w:rPr>
                <w:rFonts w:ascii="Verdana" w:eastAsia="Verdana" w:hAnsi="Verdana" w:cs="Verdana"/>
              </w:rPr>
            </w:pPr>
            <w:r>
              <w:rPr>
                <w:rFonts w:ascii="Verdana" w:hAnsi="Verdana" w:cs="Helvetica-Light"/>
              </w:rPr>
              <w:t>Con</w:t>
            </w:r>
            <w:r w:rsidR="00106B8F" w:rsidRPr="00C35AF6">
              <w:rPr>
                <w:rFonts w:ascii="Verdana" w:hAnsi="Verdana" w:cs="Helvetica-Light"/>
              </w:rPr>
              <w:t xml:space="preserve"> respecto a la distribución de las asignaciones por </w:t>
            </w:r>
            <w:r w:rsidR="00106B8F" w:rsidRPr="009B5C66">
              <w:rPr>
                <w:rFonts w:ascii="Verdana" w:hAnsi="Verdana" w:cs="Helvetica-Light"/>
              </w:rPr>
              <w:t>grupo de Sisbén IV, del total de subsidios asignados con posterioridad al Decreto 490 de 2023, se e</w:t>
            </w:r>
            <w:r>
              <w:rPr>
                <w:rFonts w:ascii="Verdana" w:hAnsi="Verdana" w:cs="Helvetica-Light"/>
              </w:rPr>
              <w:t>ncuentra</w:t>
            </w:r>
            <w:r w:rsidR="00106B8F" w:rsidRPr="009B5C66">
              <w:rPr>
                <w:rFonts w:ascii="Verdana" w:hAnsi="Verdana" w:cs="Helvetica-Light"/>
              </w:rPr>
              <w:t xml:space="preserve"> que, </w:t>
            </w:r>
            <w:r w:rsidR="00106B8F" w:rsidRPr="009B5C66">
              <w:rPr>
                <w:rFonts w:ascii="Verdana" w:eastAsia="Verdana" w:hAnsi="Verdana" w:cs="Verdana"/>
              </w:rPr>
              <w:t xml:space="preserve">el </w:t>
            </w:r>
            <w:r w:rsidR="00106B8F" w:rsidRPr="009B5C66">
              <w:rPr>
                <w:rFonts w:ascii="Verdana" w:eastAsia="Verdana" w:hAnsi="Verdana" w:cs="Verdana"/>
                <w:bCs/>
              </w:rPr>
              <w:t>89.4%</w:t>
            </w:r>
            <w:r w:rsidR="00106B8F" w:rsidRPr="009B5C66">
              <w:rPr>
                <w:rFonts w:ascii="Verdana" w:eastAsia="Verdana" w:hAnsi="Verdana" w:cs="Verdana"/>
              </w:rPr>
              <w:t xml:space="preserve"> (61.102) se asign</w:t>
            </w:r>
            <w:r>
              <w:rPr>
                <w:rFonts w:ascii="Verdana" w:eastAsia="Verdana" w:hAnsi="Verdana" w:cs="Verdana"/>
              </w:rPr>
              <w:t>ó</w:t>
            </w:r>
            <w:r w:rsidR="00106B8F" w:rsidRPr="009B5C66">
              <w:rPr>
                <w:rFonts w:ascii="Verdana" w:eastAsia="Verdana" w:hAnsi="Verdana" w:cs="Verdana"/>
              </w:rPr>
              <w:t xml:space="preserve"> a hogares con una clasificación de Sisbén IV en los grupos A, B y C,</w:t>
            </w:r>
            <w:r>
              <w:rPr>
                <w:rFonts w:ascii="Verdana" w:eastAsia="Verdana" w:hAnsi="Verdana" w:cs="Verdana"/>
              </w:rPr>
              <w:t xml:space="preserve"> que corresponde a las categorías de hogares pobres </w:t>
            </w:r>
            <w:r>
              <w:rPr>
                <w:rFonts w:ascii="Verdana" w:eastAsia="Verdana" w:hAnsi="Verdana" w:cs="Verdana"/>
              </w:rPr>
              <w:lastRenderedPageBreak/>
              <w:t>extremos, pobres moderados y vulnerables.</w:t>
            </w:r>
            <w:r w:rsidR="00106B8F" w:rsidRPr="009B5C66">
              <w:rPr>
                <w:rFonts w:ascii="Verdana" w:eastAsia="Verdana" w:hAnsi="Verdana" w:cs="Verdana"/>
              </w:rPr>
              <w:t xml:space="preserve"> </w:t>
            </w:r>
            <w:r>
              <w:rPr>
                <w:rFonts w:ascii="Verdana" w:eastAsia="Verdana" w:hAnsi="Verdana" w:cs="Verdana"/>
              </w:rPr>
              <w:t>L</w:t>
            </w:r>
            <w:r w:rsidR="00106B8F" w:rsidRPr="009B5C66">
              <w:rPr>
                <w:rFonts w:ascii="Verdana" w:eastAsia="Verdana" w:hAnsi="Verdana" w:cs="Verdana"/>
              </w:rPr>
              <w:t>o</w:t>
            </w:r>
            <w:r>
              <w:rPr>
                <w:rFonts w:ascii="Verdana" w:eastAsia="Verdana" w:hAnsi="Verdana" w:cs="Verdana"/>
              </w:rPr>
              <w:t xml:space="preserve"> anterior</w:t>
            </w:r>
            <w:r w:rsidR="00106B8F" w:rsidRPr="009B5C66">
              <w:rPr>
                <w:rFonts w:ascii="Verdana" w:eastAsia="Verdana" w:hAnsi="Verdana" w:cs="Verdana"/>
              </w:rPr>
              <w:t xml:space="preserve"> evidencia que con esta política se están priorizando </w:t>
            </w:r>
            <w:r>
              <w:rPr>
                <w:rFonts w:ascii="Verdana" w:eastAsia="Verdana" w:hAnsi="Verdana" w:cs="Verdana"/>
              </w:rPr>
              <w:t xml:space="preserve">efectivamente </w:t>
            </w:r>
            <w:r w:rsidR="00106B8F" w:rsidRPr="009B5C66">
              <w:rPr>
                <w:rFonts w:ascii="Verdana" w:eastAsia="Verdana" w:hAnsi="Verdana" w:cs="Verdana"/>
              </w:rPr>
              <w:t>los hogares con mayores condiciones de vulnerabilidad.</w:t>
            </w:r>
            <w:r w:rsidR="00106B8F" w:rsidRPr="00C35AF6">
              <w:rPr>
                <w:rFonts w:ascii="Verdana" w:eastAsia="Verdana" w:hAnsi="Verdana" w:cs="Verdana"/>
              </w:rPr>
              <w:t xml:space="preserve"> </w:t>
            </w:r>
          </w:p>
          <w:p w14:paraId="64FDE602" w14:textId="72ADD368" w:rsidR="00106B8F" w:rsidRPr="00D436A8" w:rsidRDefault="00106B8F" w:rsidP="005B1C43">
            <w:pPr>
              <w:jc w:val="center"/>
              <w:rPr>
                <w:rFonts w:ascii="Verdana" w:eastAsia="Verdana" w:hAnsi="Verdana" w:cs="Verdana"/>
              </w:rPr>
            </w:pPr>
            <w:r>
              <w:rPr>
                <w:noProof/>
                <w:lang w:val="en-US" w:eastAsia="en-US"/>
              </w:rPr>
              <mc:AlternateContent>
                <mc:Choice Requires="wps">
                  <w:drawing>
                    <wp:anchor distT="0" distB="0" distL="114300" distR="114300" simplePos="0" relativeHeight="251663360" behindDoc="0" locked="0" layoutInCell="1" allowOverlap="1" wp14:anchorId="0CA5623A" wp14:editId="3AB2A697">
                      <wp:simplePos x="0" y="0"/>
                      <wp:positionH relativeFrom="column">
                        <wp:posOffset>3682365</wp:posOffset>
                      </wp:positionH>
                      <wp:positionV relativeFrom="paragraph">
                        <wp:posOffset>440055</wp:posOffset>
                      </wp:positionV>
                      <wp:extent cx="1714500" cy="676275"/>
                      <wp:effectExtent l="0" t="0" r="0" b="9525"/>
                      <wp:wrapNone/>
                      <wp:docPr id="196979656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67627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14:paraId="31DBD678" w14:textId="77777777" w:rsidR="00106B8F" w:rsidRPr="00106B8F" w:rsidRDefault="00106B8F" w:rsidP="00106B8F">
                                  <w:pPr>
                                    <w:rPr>
                                      <w:rFonts w:ascii="Verdana" w:hAnsi="Verdana"/>
                                      <w:b/>
                                      <w:bCs/>
                                      <w:color w:val="0E2841"/>
                                      <w:sz w:val="16"/>
                                      <w:szCs w:val="16"/>
                                      <w:lang w:val="es-CO"/>
                                    </w:rPr>
                                  </w:pPr>
                                  <w:r w:rsidRPr="00106B8F">
                                    <w:rPr>
                                      <w:rFonts w:ascii="Verdana" w:hAnsi="Verdana"/>
                                      <w:b/>
                                      <w:bCs/>
                                      <w:color w:val="0E2841"/>
                                      <w:sz w:val="16"/>
                                      <w:szCs w:val="16"/>
                                      <w:lang w:val="es-CO"/>
                                    </w:rPr>
                                    <w:t xml:space="preserve">Grupo A: </w:t>
                                  </w:r>
                                  <w:r w:rsidRPr="00106B8F">
                                    <w:rPr>
                                      <w:rFonts w:ascii="Verdana" w:hAnsi="Verdana"/>
                                      <w:color w:val="000000"/>
                                      <w:sz w:val="16"/>
                                      <w:szCs w:val="16"/>
                                      <w:lang w:val="es-CO"/>
                                    </w:rPr>
                                    <w:t xml:space="preserve">14.270 </w:t>
                                  </w:r>
                                  <w:r w:rsidRPr="00106B8F">
                                    <w:rPr>
                                      <w:rFonts w:ascii="Verdana" w:hAnsi="Verdana"/>
                                      <w:b/>
                                      <w:bCs/>
                                      <w:color w:val="000000"/>
                                      <w:sz w:val="16"/>
                                      <w:szCs w:val="16"/>
                                      <w:lang w:val="es-CO"/>
                                    </w:rPr>
                                    <w:t>(20,9%)</w:t>
                                  </w:r>
                                </w:p>
                                <w:p w14:paraId="59BF8FD6" w14:textId="77777777" w:rsidR="00106B8F" w:rsidRPr="00106B8F" w:rsidRDefault="00106B8F" w:rsidP="00106B8F">
                                  <w:pPr>
                                    <w:rPr>
                                      <w:rFonts w:ascii="Verdana" w:hAnsi="Verdana"/>
                                      <w:b/>
                                      <w:bCs/>
                                      <w:color w:val="0E2841"/>
                                      <w:sz w:val="16"/>
                                      <w:szCs w:val="16"/>
                                      <w:lang w:val="es-CO"/>
                                    </w:rPr>
                                  </w:pPr>
                                  <w:r w:rsidRPr="00106B8F">
                                    <w:rPr>
                                      <w:rFonts w:ascii="Verdana" w:hAnsi="Verdana"/>
                                      <w:b/>
                                      <w:bCs/>
                                      <w:color w:val="0E2841"/>
                                      <w:sz w:val="16"/>
                                      <w:szCs w:val="16"/>
                                      <w:lang w:val="es-CO"/>
                                    </w:rPr>
                                    <w:t xml:space="preserve">Grupo B: </w:t>
                                  </w:r>
                                  <w:r w:rsidRPr="00106B8F">
                                    <w:rPr>
                                      <w:rFonts w:ascii="Verdana" w:hAnsi="Verdana"/>
                                      <w:color w:val="000000"/>
                                      <w:sz w:val="16"/>
                                      <w:szCs w:val="16"/>
                                      <w:lang w:val="es-CO"/>
                                    </w:rPr>
                                    <w:t xml:space="preserve">24.875 </w:t>
                                  </w:r>
                                  <w:r w:rsidRPr="00106B8F">
                                    <w:rPr>
                                      <w:rFonts w:ascii="Verdana" w:hAnsi="Verdana"/>
                                      <w:b/>
                                      <w:bCs/>
                                      <w:color w:val="000000"/>
                                      <w:sz w:val="16"/>
                                      <w:szCs w:val="16"/>
                                      <w:lang w:val="es-CO"/>
                                    </w:rPr>
                                    <w:t>(36,4%)</w:t>
                                  </w:r>
                                </w:p>
                                <w:p w14:paraId="24FDE135" w14:textId="77777777" w:rsidR="00106B8F" w:rsidRPr="00106B8F" w:rsidRDefault="00106B8F" w:rsidP="00106B8F">
                                  <w:pPr>
                                    <w:rPr>
                                      <w:rFonts w:ascii="Verdana" w:hAnsi="Verdana"/>
                                      <w:b/>
                                      <w:bCs/>
                                      <w:color w:val="0E2841"/>
                                      <w:sz w:val="16"/>
                                      <w:szCs w:val="16"/>
                                      <w:lang w:val="es-CO"/>
                                    </w:rPr>
                                  </w:pPr>
                                  <w:r w:rsidRPr="00106B8F">
                                    <w:rPr>
                                      <w:rFonts w:ascii="Verdana" w:hAnsi="Verdana"/>
                                      <w:b/>
                                      <w:bCs/>
                                      <w:color w:val="0E2841"/>
                                      <w:sz w:val="16"/>
                                      <w:szCs w:val="16"/>
                                      <w:lang w:val="es-CO"/>
                                    </w:rPr>
                                    <w:t xml:space="preserve">Grupo C: </w:t>
                                  </w:r>
                                  <w:r w:rsidRPr="00106B8F">
                                    <w:rPr>
                                      <w:rFonts w:ascii="Verdana" w:hAnsi="Verdana"/>
                                      <w:color w:val="000000"/>
                                      <w:sz w:val="16"/>
                                      <w:szCs w:val="16"/>
                                      <w:lang w:val="es-CO"/>
                                    </w:rPr>
                                    <w:t xml:space="preserve">21.957 </w:t>
                                  </w:r>
                                  <w:r w:rsidRPr="00106B8F">
                                    <w:rPr>
                                      <w:rFonts w:ascii="Verdana" w:hAnsi="Verdana"/>
                                      <w:b/>
                                      <w:bCs/>
                                      <w:color w:val="000000"/>
                                      <w:sz w:val="16"/>
                                      <w:szCs w:val="16"/>
                                      <w:lang w:val="es-CO"/>
                                    </w:rPr>
                                    <w:t>(32,1%)</w:t>
                                  </w:r>
                                </w:p>
                                <w:p w14:paraId="3AB56746" w14:textId="77777777" w:rsidR="00106B8F" w:rsidRPr="00106B8F" w:rsidRDefault="00106B8F" w:rsidP="00106B8F">
                                  <w:pPr>
                                    <w:rPr>
                                      <w:rFonts w:ascii="Verdana" w:hAnsi="Verdana"/>
                                      <w:b/>
                                      <w:bCs/>
                                      <w:color w:val="0E2841"/>
                                      <w:sz w:val="16"/>
                                      <w:szCs w:val="16"/>
                                      <w:lang w:val="en-US"/>
                                    </w:rPr>
                                  </w:pPr>
                                  <w:r w:rsidRPr="00106B8F">
                                    <w:rPr>
                                      <w:rFonts w:ascii="Verdana" w:hAnsi="Verdana"/>
                                      <w:b/>
                                      <w:bCs/>
                                      <w:color w:val="0E2841"/>
                                      <w:sz w:val="16"/>
                                      <w:szCs w:val="16"/>
                                      <w:lang w:val="en-US"/>
                                    </w:rPr>
                                    <w:t xml:space="preserve">Grupo D: </w:t>
                                  </w:r>
                                  <w:r w:rsidRPr="00106B8F">
                                    <w:rPr>
                                      <w:rFonts w:ascii="Verdana" w:hAnsi="Verdana"/>
                                      <w:color w:val="000000"/>
                                      <w:sz w:val="16"/>
                                      <w:szCs w:val="16"/>
                                      <w:lang w:val="en-US"/>
                                    </w:rPr>
                                    <w:t xml:space="preserve">7.169 </w:t>
                                  </w:r>
                                  <w:r w:rsidRPr="00106B8F">
                                    <w:rPr>
                                      <w:rFonts w:ascii="Verdana" w:hAnsi="Verdana"/>
                                      <w:b/>
                                      <w:bCs/>
                                      <w:color w:val="000000"/>
                                      <w:sz w:val="16"/>
                                      <w:szCs w:val="16"/>
                                      <w:lang w:val="en-US"/>
                                    </w:rPr>
                                    <w:t>(10,5%)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A5623A" id="Rectángulo 4" o:spid="_x0000_s1030" style="position:absolute;left:0;text-align:left;margin-left:289.95pt;margin-top:34.65pt;width:13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" fillcolor="window" strokecolor="#7f7f7f" strokeweight="1pt">
                      <v:path arrowok="t"/>
                      <v:textbox>
                        <w:txbxContent>
                          <w:p w14:paraId="31DBD678" w14:textId="77777777" w:rsidR="00106B8F" w:rsidRPr="00106B8F" w:rsidRDefault="00106B8F" w:rsidP="00106B8F">
                            <w:pPr>
                              <w:rPr>
                                <w:rFonts w:ascii="Verdana" w:hAnsi="Verdana"/>
                                <w:b/>
                                <w:bCs/>
                                <w:color w:val="0E2841"/>
                                <w:sz w:val="16"/>
                                <w:szCs w:val="16"/>
                                <w:lang w:val="es-CO"/>
                              </w:rPr>
                            </w:pPr>
                            <w:r w:rsidRPr="00106B8F">
                              <w:rPr>
                                <w:rFonts w:ascii="Verdana" w:hAnsi="Verdana"/>
                                <w:b/>
                                <w:bCs/>
                                <w:color w:val="0E2841"/>
                                <w:sz w:val="16"/>
                                <w:szCs w:val="16"/>
                                <w:lang w:val="es-CO"/>
                              </w:rPr>
                              <w:t xml:space="preserve">Grupo A: </w:t>
                            </w:r>
                            <w:r w:rsidRPr="00106B8F">
                              <w:rPr>
                                <w:rFonts w:ascii="Verdana" w:hAnsi="Verdana"/>
                                <w:color w:val="000000"/>
                                <w:sz w:val="16"/>
                                <w:szCs w:val="16"/>
                                <w:lang w:val="es-CO"/>
                              </w:rPr>
                              <w:t xml:space="preserve">14.270 </w:t>
                            </w:r>
                            <w:r w:rsidRPr="00106B8F">
                              <w:rPr>
                                <w:rFonts w:ascii="Verdana" w:hAnsi="Verdana"/>
                                <w:b/>
                                <w:bCs/>
                                <w:color w:val="000000"/>
                                <w:sz w:val="16"/>
                                <w:szCs w:val="16"/>
                                <w:lang w:val="es-CO"/>
                              </w:rPr>
                              <w:t>(20,9%)</w:t>
                            </w:r>
                          </w:p>
                          <w:p w14:paraId="59BF8FD6" w14:textId="77777777" w:rsidR="00106B8F" w:rsidRPr="00106B8F" w:rsidRDefault="00106B8F" w:rsidP="00106B8F">
                            <w:pPr>
                              <w:rPr>
                                <w:rFonts w:ascii="Verdana" w:hAnsi="Verdana"/>
                                <w:b/>
                                <w:bCs/>
                                <w:color w:val="0E2841"/>
                                <w:sz w:val="16"/>
                                <w:szCs w:val="16"/>
                                <w:lang w:val="es-CO"/>
                              </w:rPr>
                            </w:pPr>
                            <w:r w:rsidRPr="00106B8F">
                              <w:rPr>
                                <w:rFonts w:ascii="Verdana" w:hAnsi="Verdana"/>
                                <w:b/>
                                <w:bCs/>
                                <w:color w:val="0E2841"/>
                                <w:sz w:val="16"/>
                                <w:szCs w:val="16"/>
                                <w:lang w:val="es-CO"/>
                              </w:rPr>
                              <w:t xml:space="preserve">Grupo B: </w:t>
                            </w:r>
                            <w:r w:rsidRPr="00106B8F">
                              <w:rPr>
                                <w:rFonts w:ascii="Verdana" w:hAnsi="Verdana"/>
                                <w:color w:val="000000"/>
                                <w:sz w:val="16"/>
                                <w:szCs w:val="16"/>
                                <w:lang w:val="es-CO"/>
                              </w:rPr>
                              <w:t xml:space="preserve">24.875 </w:t>
                            </w:r>
                            <w:r w:rsidRPr="00106B8F">
                              <w:rPr>
                                <w:rFonts w:ascii="Verdana" w:hAnsi="Verdana"/>
                                <w:b/>
                                <w:bCs/>
                                <w:color w:val="000000"/>
                                <w:sz w:val="16"/>
                                <w:szCs w:val="16"/>
                                <w:lang w:val="es-CO"/>
                              </w:rPr>
                              <w:t>(36,4%)</w:t>
                            </w:r>
                          </w:p>
                          <w:p w14:paraId="24FDE135" w14:textId="77777777" w:rsidR="00106B8F" w:rsidRPr="00106B8F" w:rsidRDefault="00106B8F" w:rsidP="00106B8F">
                            <w:pPr>
                              <w:rPr>
                                <w:rFonts w:ascii="Verdana" w:hAnsi="Verdana"/>
                                <w:b/>
                                <w:bCs/>
                                <w:color w:val="0E2841"/>
                                <w:sz w:val="16"/>
                                <w:szCs w:val="16"/>
                                <w:lang w:val="es-CO"/>
                              </w:rPr>
                            </w:pPr>
                            <w:r w:rsidRPr="00106B8F">
                              <w:rPr>
                                <w:rFonts w:ascii="Verdana" w:hAnsi="Verdana"/>
                                <w:b/>
                                <w:bCs/>
                                <w:color w:val="0E2841"/>
                                <w:sz w:val="16"/>
                                <w:szCs w:val="16"/>
                                <w:lang w:val="es-CO"/>
                              </w:rPr>
                              <w:t xml:space="preserve">Grupo C: </w:t>
                            </w:r>
                            <w:r w:rsidRPr="00106B8F">
                              <w:rPr>
                                <w:rFonts w:ascii="Verdana" w:hAnsi="Verdana"/>
                                <w:color w:val="000000"/>
                                <w:sz w:val="16"/>
                                <w:szCs w:val="16"/>
                                <w:lang w:val="es-CO"/>
                              </w:rPr>
                              <w:t xml:space="preserve">21.957 </w:t>
                            </w:r>
                            <w:r w:rsidRPr="00106B8F">
                              <w:rPr>
                                <w:rFonts w:ascii="Verdana" w:hAnsi="Verdana"/>
                                <w:b/>
                                <w:bCs/>
                                <w:color w:val="000000"/>
                                <w:sz w:val="16"/>
                                <w:szCs w:val="16"/>
                                <w:lang w:val="es-CO"/>
                              </w:rPr>
                              <w:t>(32,1%)</w:t>
                            </w:r>
                          </w:p>
                          <w:p w14:paraId="3AB56746" w14:textId="77777777" w:rsidR="00106B8F" w:rsidRPr="00106B8F" w:rsidRDefault="00106B8F" w:rsidP="00106B8F">
                            <w:pPr>
                              <w:rPr>
                                <w:rFonts w:ascii="Verdana" w:hAnsi="Verdana"/>
                                <w:b/>
                                <w:bCs/>
                                <w:color w:val="0E2841"/>
                                <w:sz w:val="16"/>
                                <w:szCs w:val="16"/>
                                <w:lang w:val="en-US"/>
                              </w:rPr>
                            </w:pPr>
                            <w:r w:rsidRPr="00106B8F">
                              <w:rPr>
                                <w:rFonts w:ascii="Verdana" w:hAnsi="Verdana"/>
                                <w:b/>
                                <w:bCs/>
                                <w:color w:val="0E2841"/>
                                <w:sz w:val="16"/>
                                <w:szCs w:val="16"/>
                                <w:lang w:val="en-US"/>
                              </w:rPr>
                              <w:t xml:space="preserve">Grupo D: </w:t>
                            </w:r>
                            <w:r w:rsidRPr="00106B8F">
                              <w:rPr>
                                <w:rFonts w:ascii="Verdana" w:hAnsi="Verdana"/>
                                <w:color w:val="000000"/>
                                <w:sz w:val="16"/>
                                <w:szCs w:val="16"/>
                                <w:lang w:val="en-US"/>
                              </w:rPr>
                              <w:t xml:space="preserve">7.169 </w:t>
                            </w:r>
                            <w:r w:rsidRPr="00106B8F">
                              <w:rPr>
                                <w:rFonts w:ascii="Verdana" w:hAnsi="Verdana"/>
                                <w:b/>
                                <w:bCs/>
                                <w:color w:val="000000"/>
                                <w:sz w:val="16"/>
                                <w:szCs w:val="16"/>
                                <w:lang w:val="en-US"/>
                              </w:rPr>
                              <w:t>(10,5%)</w:t>
                            </w:r>
                          </w:p>
                        </w:txbxContent>
                      </v:textbox>
                    </v:rect>
                  </w:pict>
                </mc:Fallback>
              </mc:AlternateContent>
            </w:r>
            <w:r w:rsidRPr="004257E3">
              <w:rPr>
                <w:noProof/>
                <w:lang w:val="en-US" w:eastAsia="en-US"/>
              </w:rPr>
              <w:drawing>
                <wp:inline distT="0" distB="0" distL="0" distR="0" wp14:anchorId="73B9C465" wp14:editId="1620FE1D">
                  <wp:extent cx="5609590" cy="2656936"/>
                  <wp:effectExtent l="0" t="0" r="3810" b="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6DCD70" w14:textId="4F1785A0" w:rsidR="00106B8F" w:rsidRPr="00582949" w:rsidRDefault="005B1C43" w:rsidP="00106B8F">
            <w:pPr>
              <w:jc w:val="both"/>
              <w:rPr>
                <w:rFonts w:ascii="Verdana" w:hAnsi="Verdana" w:cs="Arial"/>
                <w:sz w:val="16"/>
                <w:szCs w:val="16"/>
                <w:bdr w:val="none" w:sz="0" w:space="0" w:color="auto" w:frame="1"/>
                <w:lang w:eastAsia="es-CO"/>
              </w:rPr>
            </w:pPr>
            <w:r>
              <w:rPr>
                <w:rFonts w:ascii="Verdana" w:hAnsi="Verdana" w:cs="Arial"/>
                <w:sz w:val="16"/>
                <w:szCs w:val="16"/>
                <w:bdr w:val="none" w:sz="0" w:space="0" w:color="auto" w:frame="1"/>
                <w:lang w:eastAsia="es-CO"/>
              </w:rPr>
              <w:t xml:space="preserve">                   </w:t>
            </w:r>
            <w:r w:rsidR="00106B8F" w:rsidRPr="00582949">
              <w:rPr>
                <w:rFonts w:ascii="Verdana" w:hAnsi="Verdana" w:cs="Arial"/>
                <w:sz w:val="16"/>
                <w:szCs w:val="16"/>
                <w:bdr w:val="none" w:sz="0" w:space="0" w:color="auto" w:frame="1"/>
                <w:lang w:eastAsia="es-CO"/>
              </w:rPr>
              <w:t>Fuente: Subdirección de Subsidio Familiar de Vivienda</w:t>
            </w:r>
          </w:p>
          <w:p w14:paraId="3E6F4569" w14:textId="1F3BDF1B" w:rsidR="00106B8F" w:rsidRPr="00582949" w:rsidRDefault="005B1C43" w:rsidP="00106B8F">
            <w:pPr>
              <w:jc w:val="both"/>
              <w:rPr>
                <w:rFonts w:ascii="Verdana" w:hAnsi="Verdana" w:cs="Arial"/>
                <w:sz w:val="16"/>
                <w:szCs w:val="16"/>
                <w:bdr w:val="none" w:sz="0" w:space="0" w:color="auto" w:frame="1"/>
                <w:lang w:eastAsia="es-CO"/>
              </w:rPr>
            </w:pPr>
            <w:r>
              <w:rPr>
                <w:rFonts w:ascii="Verdana" w:hAnsi="Verdana" w:cs="Arial"/>
                <w:sz w:val="16"/>
                <w:szCs w:val="16"/>
                <w:bdr w:val="none" w:sz="0" w:space="0" w:color="auto" w:frame="1"/>
                <w:lang w:eastAsia="es-CO"/>
              </w:rPr>
              <w:t xml:space="preserve">                   </w:t>
            </w:r>
            <w:r w:rsidR="00106B8F" w:rsidRPr="00582949">
              <w:rPr>
                <w:rFonts w:ascii="Verdana" w:hAnsi="Verdana" w:cs="Arial"/>
                <w:sz w:val="16"/>
                <w:szCs w:val="16"/>
                <w:bdr w:val="none" w:sz="0" w:space="0" w:color="auto" w:frame="1"/>
                <w:lang w:eastAsia="es-CO"/>
              </w:rPr>
              <w:t>Fecha de corte: 3 de mayo de 2024</w:t>
            </w:r>
          </w:p>
          <w:p w14:paraId="4DC6B392" w14:textId="77777777" w:rsidR="00106B8F" w:rsidRPr="00D436A8" w:rsidRDefault="00106B8F" w:rsidP="00106B8F">
            <w:pPr>
              <w:jc w:val="both"/>
              <w:rPr>
                <w:rFonts w:ascii="Verdana" w:hAnsi="Verdana" w:cs="Helvetica-Light"/>
              </w:rPr>
            </w:pPr>
          </w:p>
          <w:p w14:paraId="5AE3CD7E" w14:textId="77777777" w:rsidR="00106B8F" w:rsidRPr="00C35AF6" w:rsidRDefault="00106B8F" w:rsidP="00106B8F">
            <w:pPr>
              <w:spacing w:line="276" w:lineRule="auto"/>
              <w:jc w:val="both"/>
              <w:rPr>
                <w:rFonts w:ascii="Verdana" w:eastAsia="Verdana" w:hAnsi="Verdana" w:cs="Verdana"/>
              </w:rPr>
            </w:pPr>
            <w:r w:rsidRPr="00C35AF6">
              <w:rPr>
                <w:rFonts w:ascii="Verdana" w:eastAsia="Verdana" w:hAnsi="Verdana" w:cs="Verdana"/>
              </w:rPr>
              <w:t xml:space="preserve">Por otro lado, en el año 2023 y lo corrido del 2024, se han asignado 25.056 subsidios del programa para la compra de vivienda de interés prioritario, 20.224 subsidios para la compra de vivienda en municipios de categorías 3,4,5 y 6, 8.760 subsidios para madres cabeza de hogar y 7.481 subsidios para hogares con al menos </w:t>
            </w:r>
            <w:proofErr w:type="gramStart"/>
            <w:r w:rsidRPr="00C35AF6">
              <w:rPr>
                <w:rFonts w:ascii="Verdana" w:eastAsia="Verdana" w:hAnsi="Verdana" w:cs="Verdana"/>
              </w:rPr>
              <w:t>un integrante víctima</w:t>
            </w:r>
            <w:proofErr w:type="gramEnd"/>
            <w:r w:rsidRPr="00C35AF6">
              <w:rPr>
                <w:rFonts w:ascii="Verdana" w:eastAsia="Verdana" w:hAnsi="Verdana" w:cs="Verdana"/>
              </w:rPr>
              <w:t xml:space="preserve"> del conflicto armado. En todos los casos, el porcentaje de participación de estos criterios en las asignaciones totales del programa fue superior al de los dos años inmediatamente anteriores. </w:t>
            </w:r>
          </w:p>
          <w:p w14:paraId="704F325D" w14:textId="6C2554FE" w:rsidR="00106B8F" w:rsidRPr="00D436A8" w:rsidRDefault="00106B8F" w:rsidP="00106B8F">
            <w:pPr>
              <w:jc w:val="center"/>
              <w:rPr>
                <w:rFonts w:ascii="Verdana" w:eastAsia="Verdana" w:hAnsi="Verdana" w:cs="Verdana"/>
              </w:rPr>
            </w:pPr>
            <w:r w:rsidRPr="00106B8F">
              <w:rPr>
                <w:rFonts w:ascii="Verdana" w:hAnsi="Verdana"/>
                <w:noProof/>
                <w:lang w:val="en-US" w:eastAsia="en-US"/>
              </w:rPr>
              <w:drawing>
                <wp:inline distT="0" distB="0" distL="0" distR="0" wp14:anchorId="4B83F57F" wp14:editId="291AF61C">
                  <wp:extent cx="4606290" cy="2570671"/>
                  <wp:effectExtent l="0" t="0" r="3810" b="0"/>
                  <wp:docPr id="3"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4C0097" w14:textId="419B475D" w:rsidR="00106B8F" w:rsidRDefault="005B1C43" w:rsidP="00106B8F">
            <w:pPr>
              <w:ind w:firstLine="708"/>
              <w:jc w:val="both"/>
              <w:rPr>
                <w:rFonts w:ascii="Verdana" w:hAnsi="Verdana" w:cs="Arial"/>
                <w:sz w:val="16"/>
                <w:szCs w:val="16"/>
                <w:bdr w:val="none" w:sz="0" w:space="0" w:color="auto" w:frame="1"/>
                <w:lang w:eastAsia="es-CO"/>
              </w:rPr>
            </w:pPr>
            <w:r>
              <w:rPr>
                <w:rFonts w:ascii="Verdana" w:hAnsi="Verdana" w:cs="Arial"/>
                <w:sz w:val="16"/>
                <w:szCs w:val="16"/>
                <w:bdr w:val="none" w:sz="0" w:space="0" w:color="auto" w:frame="1"/>
                <w:lang w:eastAsia="es-CO"/>
              </w:rPr>
              <w:t xml:space="preserve">                  </w:t>
            </w:r>
            <w:r w:rsidR="00106B8F" w:rsidRPr="00582949">
              <w:rPr>
                <w:rFonts w:ascii="Verdana" w:hAnsi="Verdana" w:cs="Arial"/>
                <w:sz w:val="16"/>
                <w:szCs w:val="16"/>
                <w:bdr w:val="none" w:sz="0" w:space="0" w:color="auto" w:frame="1"/>
                <w:lang w:eastAsia="es-CO"/>
              </w:rPr>
              <w:t>Fuente: Subdirección de Subsidio Familiar de Vivienda</w:t>
            </w:r>
          </w:p>
          <w:p w14:paraId="63BF5C6C" w14:textId="77777777" w:rsidR="00106B8F" w:rsidRPr="00582949" w:rsidRDefault="00106B8F" w:rsidP="00106B8F">
            <w:pPr>
              <w:jc w:val="both"/>
              <w:rPr>
                <w:rFonts w:ascii="Verdana" w:hAnsi="Verdana" w:cs="Arial"/>
                <w:sz w:val="16"/>
                <w:szCs w:val="16"/>
                <w:bdr w:val="none" w:sz="0" w:space="0" w:color="auto" w:frame="1"/>
                <w:lang w:eastAsia="es-CO"/>
              </w:rPr>
            </w:pPr>
          </w:p>
          <w:p w14:paraId="281F4868" w14:textId="24DA9E71" w:rsidR="00E43338" w:rsidRDefault="00E43338" w:rsidP="009B5C66">
            <w:pPr>
              <w:spacing w:after="160" w:line="278" w:lineRule="auto"/>
              <w:jc w:val="both"/>
              <w:rPr>
                <w:rFonts w:ascii="Verdana" w:hAnsi="Verdana"/>
              </w:rPr>
            </w:pPr>
            <w:r>
              <w:rPr>
                <w:rFonts w:ascii="Verdana" w:hAnsi="Verdana"/>
              </w:rPr>
              <w:lastRenderedPageBreak/>
              <w:t>Lo anterior, permite concluir que las modificaciones introducidas al programa “</w:t>
            </w:r>
            <w:r w:rsidRPr="00E43338">
              <w:rPr>
                <w:rFonts w:ascii="Verdana" w:hAnsi="Verdana"/>
                <w:i/>
              </w:rPr>
              <w:t>Mi Casa Ya</w:t>
            </w:r>
            <w:r>
              <w:rPr>
                <w:rFonts w:ascii="Verdana" w:hAnsi="Verdana"/>
              </w:rPr>
              <w:t>”</w:t>
            </w:r>
            <w:r w:rsidR="000856E4">
              <w:rPr>
                <w:rFonts w:ascii="Verdana" w:hAnsi="Verdana"/>
              </w:rPr>
              <w:t>,</w:t>
            </w:r>
            <w:r>
              <w:rPr>
                <w:rFonts w:ascii="Verdana" w:hAnsi="Verdana"/>
              </w:rPr>
              <w:t xml:space="preserve"> con la expedición del Decreto 490 del año 2023, han mejorado la focalización de esta política pública, logrando llegar a los hogares con mayor grado de vulnerabilidad (segmentos A, B y C del Sisb</w:t>
            </w:r>
            <w:r w:rsidR="0052787E">
              <w:rPr>
                <w:rFonts w:ascii="Verdana" w:hAnsi="Verdana"/>
              </w:rPr>
              <w:t>é</w:t>
            </w:r>
            <w:r>
              <w:rPr>
                <w:rFonts w:ascii="Verdana" w:hAnsi="Verdana"/>
              </w:rPr>
              <w:t xml:space="preserve">n IV), a los grupos poblaciones </w:t>
            </w:r>
            <w:r w:rsidR="007B0748">
              <w:rPr>
                <w:rFonts w:ascii="Verdana" w:hAnsi="Verdana"/>
              </w:rPr>
              <w:t>como víctimas, mujeres cabeza de familia</w:t>
            </w:r>
            <w:r>
              <w:rPr>
                <w:rFonts w:ascii="Verdana" w:hAnsi="Verdana"/>
              </w:rPr>
              <w:t xml:space="preserve">, a los municipios categorías 3, 4, 5 y 6, y a promover la compra de la vivienda de interés prioritario, la cual, por su </w:t>
            </w:r>
            <w:r w:rsidR="000856E4">
              <w:rPr>
                <w:rFonts w:ascii="Verdana" w:hAnsi="Verdana"/>
              </w:rPr>
              <w:t>valor</w:t>
            </w:r>
            <w:r>
              <w:rPr>
                <w:rFonts w:ascii="Verdana" w:hAnsi="Verdana"/>
              </w:rPr>
              <w:t xml:space="preserve">, es aquella que adquieren los hogares con menores capacidades de ingreso. </w:t>
            </w:r>
          </w:p>
          <w:p w14:paraId="4592445C" w14:textId="5978FCBB" w:rsidR="009B5C66" w:rsidRPr="00D81C9E" w:rsidRDefault="0052787E" w:rsidP="009B5C66">
            <w:pPr>
              <w:spacing w:after="160" w:line="278" w:lineRule="auto"/>
              <w:jc w:val="both"/>
              <w:rPr>
                <w:rFonts w:ascii="Verdana" w:hAnsi="Verdana"/>
              </w:rPr>
            </w:pPr>
            <w:r>
              <w:rPr>
                <w:rFonts w:ascii="Verdana" w:hAnsi="Verdana"/>
              </w:rPr>
              <w:t>Por lo anterior, se estima procedente derogar la resolución 1227 de 2023, teniendo en cuenta que en la actualidad, el programa “Mi Casa Ya” opera en beneficio de</w:t>
            </w:r>
            <w:r w:rsidR="007B0748">
              <w:rPr>
                <w:rFonts w:ascii="Verdana" w:hAnsi="Verdana"/>
              </w:rPr>
              <w:t xml:space="preserve"> grupos poblacionales </w:t>
            </w:r>
            <w:r>
              <w:rPr>
                <w:rFonts w:ascii="Verdana" w:hAnsi="Verdana"/>
              </w:rPr>
              <w:t>con mayor grado de vulnerabilidad.</w:t>
            </w:r>
          </w:p>
        </w:tc>
      </w:tr>
      <w:tr w:rsidR="00DF60FD" w:rsidRPr="00143748" w14:paraId="4CB6865D" w14:textId="77777777" w:rsidTr="0075705D">
        <w:trPr>
          <w:trHeight w:val="47"/>
        </w:trPr>
        <w:tc>
          <w:tcPr>
            <w:tcW w:w="10774" w:type="dxa"/>
            <w:gridSpan w:val="3"/>
            <w:shd w:val="clear" w:color="auto" w:fill="FFFFFF"/>
            <w:vAlign w:val="center"/>
          </w:tcPr>
          <w:p w14:paraId="3DDC6FB7" w14:textId="77777777" w:rsidR="00251FCE" w:rsidRPr="00143748" w:rsidRDefault="00251FCE" w:rsidP="0075705D">
            <w:pPr>
              <w:jc w:val="both"/>
              <w:rPr>
                <w:rFonts w:ascii="Verdana" w:hAnsi="Verdana"/>
                <w:lang w:eastAsia="es-CO"/>
              </w:rPr>
            </w:pPr>
          </w:p>
        </w:tc>
      </w:tr>
      <w:tr w:rsidR="00DF60FD" w:rsidRPr="00143748" w14:paraId="75ABFEBC"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114D712F" w14:textId="77777777" w:rsidR="00DF60FD" w:rsidRPr="00143748" w:rsidRDefault="00601BA5" w:rsidP="00792E66">
            <w:pPr>
              <w:numPr>
                <w:ilvl w:val="0"/>
                <w:numId w:val="44"/>
              </w:numPr>
              <w:ind w:left="494"/>
              <w:rPr>
                <w:rFonts w:ascii="Verdana" w:hAnsi="Verdana" w:cs="Arial"/>
                <w:b/>
                <w:color w:val="000000"/>
              </w:rPr>
            </w:pPr>
            <w:r w:rsidRPr="00143748">
              <w:rPr>
                <w:rFonts w:ascii="Verdana" w:hAnsi="Verdana" w:cs="Arial"/>
                <w:b/>
                <w:color w:val="000000"/>
              </w:rPr>
              <w:t>Á</w:t>
            </w:r>
            <w:r w:rsidR="00DF60FD" w:rsidRPr="00143748">
              <w:rPr>
                <w:rFonts w:ascii="Verdana" w:hAnsi="Verdana" w:cs="Arial"/>
                <w:b/>
                <w:color w:val="000000"/>
              </w:rPr>
              <w:t>MBITO DE APLICACIÓN Y SUJETO</w:t>
            </w:r>
            <w:r w:rsidR="00795C6B" w:rsidRPr="00143748">
              <w:rPr>
                <w:rFonts w:ascii="Verdana" w:hAnsi="Verdana" w:cs="Arial"/>
                <w:b/>
                <w:color w:val="000000"/>
              </w:rPr>
              <w:t>S</w:t>
            </w:r>
            <w:r w:rsidR="00DF60FD" w:rsidRPr="00143748">
              <w:rPr>
                <w:rFonts w:ascii="Verdana" w:hAnsi="Verdana" w:cs="Arial"/>
                <w:b/>
                <w:color w:val="000000"/>
              </w:rPr>
              <w:t xml:space="preserve"> A QUIEN</w:t>
            </w:r>
            <w:r w:rsidR="00795C6B" w:rsidRPr="00143748">
              <w:rPr>
                <w:rFonts w:ascii="Verdana" w:hAnsi="Verdana" w:cs="Arial"/>
                <w:b/>
                <w:color w:val="000000"/>
              </w:rPr>
              <w:t>ES</w:t>
            </w:r>
            <w:r w:rsidR="00DF60FD" w:rsidRPr="00143748">
              <w:rPr>
                <w:rFonts w:ascii="Verdana" w:hAnsi="Verdana" w:cs="Arial"/>
                <w:b/>
                <w:color w:val="000000"/>
              </w:rPr>
              <w:t xml:space="preserve"> VA DIRIGIDO</w:t>
            </w:r>
          </w:p>
          <w:p w14:paraId="62FBD1EB" w14:textId="77777777" w:rsidR="00A10576" w:rsidRPr="00143748" w:rsidRDefault="00A10576" w:rsidP="00A10576">
            <w:pPr>
              <w:ind w:right="208"/>
              <w:jc w:val="both"/>
              <w:rPr>
                <w:rFonts w:ascii="Verdana" w:hAnsi="Verdana" w:cs="Arial"/>
                <w:i/>
                <w:color w:val="808080"/>
              </w:rPr>
            </w:pPr>
          </w:p>
          <w:p w14:paraId="71B106E6" w14:textId="249109C7" w:rsidR="00A10576" w:rsidRPr="00143748" w:rsidRDefault="00A10576" w:rsidP="00A10576">
            <w:pPr>
              <w:ind w:right="208"/>
              <w:jc w:val="both"/>
              <w:rPr>
                <w:rFonts w:ascii="Verdana" w:hAnsi="Verdana" w:cs="Arial"/>
              </w:rPr>
            </w:pPr>
            <w:r w:rsidRPr="00143748">
              <w:rPr>
                <w:rFonts w:ascii="Verdana" w:hAnsi="Verdana" w:cs="Arial"/>
              </w:rPr>
              <w:t>El proyecto de resolución que se fundamenta en la presente memoria justificativa es de carácter nacional y va dirigid</w:t>
            </w:r>
            <w:r w:rsidR="007B0748">
              <w:rPr>
                <w:rFonts w:ascii="Verdana" w:hAnsi="Verdana" w:cs="Arial"/>
              </w:rPr>
              <w:t>o</w:t>
            </w:r>
            <w:r w:rsidRPr="00143748">
              <w:rPr>
                <w:rFonts w:ascii="Verdana" w:hAnsi="Verdana" w:cs="Arial"/>
              </w:rPr>
              <w:t xml:space="preserve"> a los pot</w:t>
            </w:r>
            <w:r w:rsidR="00154524" w:rsidRPr="00143748">
              <w:rPr>
                <w:rFonts w:ascii="Verdana" w:hAnsi="Verdana" w:cs="Arial"/>
              </w:rPr>
              <w:t xml:space="preserve">enciales hogares beneficiarios </w:t>
            </w:r>
            <w:r w:rsidRPr="00143748">
              <w:rPr>
                <w:rFonts w:ascii="Verdana" w:hAnsi="Verdana" w:cs="Arial"/>
              </w:rPr>
              <w:t xml:space="preserve">en el marco </w:t>
            </w:r>
            <w:r w:rsidRPr="00143748">
              <w:rPr>
                <w:rFonts w:ascii="Verdana" w:hAnsi="Verdana" w:cs="Arial"/>
                <w:lang w:val="es-MX"/>
              </w:rPr>
              <w:t xml:space="preserve">del </w:t>
            </w:r>
            <w:r w:rsidRPr="00143748">
              <w:rPr>
                <w:rFonts w:ascii="Verdana" w:hAnsi="Verdana" w:cs="Arial"/>
                <w:lang w:val="es-ES_tradnl"/>
              </w:rPr>
              <w:t xml:space="preserve">programa de promoción de acceso a la vivienda de interés social </w:t>
            </w:r>
            <w:r w:rsidRPr="00143748">
              <w:rPr>
                <w:rFonts w:ascii="Verdana" w:hAnsi="Verdana" w:cs="Arial"/>
                <w:i/>
                <w:iCs/>
                <w:lang w:val="es-ES_tradnl"/>
              </w:rPr>
              <w:t>"Mi Casa Ya"</w:t>
            </w:r>
            <w:r w:rsidR="00601BA5" w:rsidRPr="00143748">
              <w:rPr>
                <w:rFonts w:ascii="Verdana" w:hAnsi="Verdana" w:cs="Arial"/>
                <w:lang w:val="es-ES_tradnl"/>
              </w:rPr>
              <w:t xml:space="preserve">, así como a todos los actores que intervienen en el programa. </w:t>
            </w:r>
          </w:p>
          <w:p w14:paraId="2F62A04A" w14:textId="77777777" w:rsidR="00795C6B" w:rsidRPr="00143748" w:rsidRDefault="00795C6B" w:rsidP="0075705D">
            <w:pPr>
              <w:rPr>
                <w:rFonts w:ascii="Verdana" w:hAnsi="Verdana" w:cs="Arial"/>
                <w:iCs/>
                <w:color w:val="000000"/>
              </w:rPr>
            </w:pPr>
          </w:p>
        </w:tc>
      </w:tr>
      <w:tr w:rsidR="00DF60FD" w:rsidRPr="00143748" w14:paraId="49C47EC9" w14:textId="77777777" w:rsidTr="007A5F0F">
        <w:trPr>
          <w:trHeight w:val="1511"/>
        </w:trPr>
        <w:tc>
          <w:tcPr>
            <w:tcW w:w="10774" w:type="dxa"/>
            <w:gridSpan w:val="3"/>
            <w:tcBorders>
              <w:bottom w:val="single" w:sz="4" w:space="0" w:color="auto"/>
            </w:tcBorders>
            <w:shd w:val="clear" w:color="auto" w:fill="FFFFFF"/>
            <w:vAlign w:val="center"/>
          </w:tcPr>
          <w:p w14:paraId="625879EA" w14:textId="77777777" w:rsidR="00D05B67" w:rsidRPr="00143748" w:rsidRDefault="00DF60FD" w:rsidP="007A5F0F">
            <w:pPr>
              <w:numPr>
                <w:ilvl w:val="0"/>
                <w:numId w:val="44"/>
              </w:numPr>
              <w:ind w:left="494"/>
              <w:rPr>
                <w:rFonts w:ascii="Verdana" w:hAnsi="Verdana" w:cs="Arial"/>
                <w:b/>
                <w:color w:val="000000"/>
              </w:rPr>
            </w:pPr>
            <w:bookmarkStart w:id="0" w:name="_GoBack"/>
            <w:r w:rsidRPr="00143748">
              <w:rPr>
                <w:rFonts w:ascii="Verdana" w:hAnsi="Verdana" w:cs="Arial"/>
                <w:b/>
                <w:color w:val="000000"/>
              </w:rPr>
              <w:t>VIABILIDAD JURÍDICA</w:t>
            </w:r>
          </w:p>
          <w:p w14:paraId="7749FD84" w14:textId="77777777" w:rsidR="00D05B67" w:rsidRPr="00143748" w:rsidRDefault="00D05B67" w:rsidP="0075705D">
            <w:pPr>
              <w:ind w:left="494" w:hanging="283"/>
              <w:jc w:val="both"/>
              <w:rPr>
                <w:rFonts w:ascii="Verdana" w:hAnsi="Verdana" w:cs="Arial"/>
                <w:lang w:val="es-CO" w:eastAsia="es-CO"/>
              </w:rPr>
            </w:pPr>
          </w:p>
          <w:p w14:paraId="6C8FA64A" w14:textId="77777777" w:rsidR="00131A9D" w:rsidRPr="00143748" w:rsidRDefault="00131A9D" w:rsidP="00131A9D">
            <w:pPr>
              <w:ind w:left="494" w:hanging="283"/>
              <w:jc w:val="both"/>
              <w:rPr>
                <w:rFonts w:ascii="Verdana" w:hAnsi="Verdana" w:cs="Arial"/>
                <w:lang w:val="es-CO" w:eastAsia="es-CO"/>
              </w:rPr>
            </w:pPr>
            <w:r w:rsidRPr="00143748">
              <w:rPr>
                <w:rFonts w:ascii="Verdana" w:hAnsi="Verdana" w:cs="Arial"/>
                <w:lang w:val="es-CO" w:eastAsia="es-CO"/>
              </w:rPr>
              <w:t>3.1 Análisis de las normas que otorgan la competencia para la expedición del proyecto normativo</w:t>
            </w:r>
          </w:p>
          <w:p w14:paraId="5DEB501B" w14:textId="77777777" w:rsidR="00131A9D" w:rsidRPr="00143748" w:rsidRDefault="00131A9D" w:rsidP="00131A9D">
            <w:pPr>
              <w:ind w:left="494" w:hanging="283"/>
              <w:jc w:val="both"/>
              <w:rPr>
                <w:rFonts w:ascii="Verdana" w:hAnsi="Verdana" w:cs="Arial"/>
                <w:lang w:val="es-CO" w:eastAsia="es-CO"/>
              </w:rPr>
            </w:pPr>
          </w:p>
          <w:p w14:paraId="276CF2F4" w14:textId="77777777" w:rsidR="00131A9D" w:rsidRPr="00143748" w:rsidRDefault="00131A9D" w:rsidP="00131A9D">
            <w:pPr>
              <w:jc w:val="both"/>
              <w:textAlignment w:val="baseline"/>
              <w:rPr>
                <w:rFonts w:ascii="Verdana" w:hAnsi="Verdana" w:cs="Arial"/>
                <w:b/>
                <w:bCs/>
                <w:lang w:val="es-CO" w:eastAsia="es-CO"/>
              </w:rPr>
            </w:pPr>
            <w:r w:rsidRPr="00143748">
              <w:rPr>
                <w:rFonts w:ascii="Verdana" w:hAnsi="Verdana" w:cs="Arial"/>
                <w:b/>
                <w:bCs/>
                <w:color w:val="000000"/>
                <w:lang w:val="es-CO" w:eastAsia="es-CO"/>
              </w:rPr>
              <w:t>Fundamento Constitucional </w:t>
            </w:r>
          </w:p>
          <w:p w14:paraId="19B137A3" w14:textId="77777777" w:rsidR="00131A9D" w:rsidRPr="00143748" w:rsidRDefault="00131A9D" w:rsidP="00131A9D">
            <w:pPr>
              <w:jc w:val="both"/>
              <w:textAlignment w:val="baseline"/>
              <w:rPr>
                <w:rFonts w:ascii="Verdana" w:hAnsi="Verdana" w:cs="Arial"/>
                <w:lang w:val="es-CO" w:eastAsia="es-CO"/>
              </w:rPr>
            </w:pPr>
          </w:p>
          <w:p w14:paraId="3EB01625" w14:textId="77777777" w:rsidR="00131A9D" w:rsidRPr="00143748" w:rsidRDefault="00131A9D" w:rsidP="00131A9D">
            <w:pPr>
              <w:jc w:val="both"/>
              <w:textAlignment w:val="baseline"/>
              <w:rPr>
                <w:rFonts w:ascii="Verdana" w:hAnsi="Verdana" w:cs="Arial"/>
                <w:lang w:val="es-CO" w:eastAsia="es-CO"/>
              </w:rPr>
            </w:pPr>
            <w:r w:rsidRPr="00143748">
              <w:rPr>
                <w:rFonts w:ascii="Verdana" w:hAnsi="Verdana" w:cs="Arial"/>
                <w:color w:val="000000"/>
                <w:lang w:val="es-CO" w:eastAsia="es-CO"/>
              </w:rPr>
              <w:t xml:space="preserve">El artículo 51 de la Constitución Política de Colombia, en relación con el deber del Estado de promover el acceso a una vivienda establece que: </w:t>
            </w:r>
            <w:r w:rsidRPr="00143748">
              <w:rPr>
                <w:rFonts w:ascii="Verdana" w:hAnsi="Verdana" w:cs="Arial"/>
                <w:i/>
                <w:color w:val="000000"/>
                <w:lang w:val="es-CO" w:eastAsia="es-CO"/>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r w:rsidRPr="00143748">
              <w:rPr>
                <w:rFonts w:ascii="Verdana" w:hAnsi="Verdana" w:cs="Arial"/>
                <w:color w:val="000000"/>
                <w:lang w:val="es-CO" w:eastAsia="es-CO"/>
              </w:rPr>
              <w:t> </w:t>
            </w:r>
          </w:p>
          <w:p w14:paraId="044E708C" w14:textId="77777777" w:rsidR="00131A9D" w:rsidRPr="00143748" w:rsidRDefault="00131A9D" w:rsidP="00131A9D">
            <w:pPr>
              <w:jc w:val="both"/>
              <w:textAlignment w:val="baseline"/>
              <w:rPr>
                <w:rFonts w:ascii="Verdana" w:hAnsi="Verdana" w:cs="Arial"/>
                <w:lang w:val="es-CO" w:eastAsia="es-CO"/>
              </w:rPr>
            </w:pPr>
            <w:r w:rsidRPr="00143748">
              <w:rPr>
                <w:rFonts w:ascii="Verdana" w:hAnsi="Verdana" w:cs="Arial"/>
                <w:color w:val="000000"/>
                <w:lang w:val="es-CO" w:eastAsia="es-CO"/>
              </w:rPr>
              <w:t> </w:t>
            </w:r>
          </w:p>
          <w:p w14:paraId="50405BF0" w14:textId="77777777" w:rsidR="00131A9D" w:rsidRPr="00143748" w:rsidRDefault="00131A9D" w:rsidP="00131A9D">
            <w:pPr>
              <w:jc w:val="both"/>
              <w:textAlignment w:val="baseline"/>
              <w:rPr>
                <w:rFonts w:ascii="Verdana" w:hAnsi="Verdana" w:cs="Arial"/>
                <w:b/>
                <w:bCs/>
                <w:lang w:val="es-CO" w:eastAsia="es-CO"/>
              </w:rPr>
            </w:pPr>
            <w:r w:rsidRPr="00143748">
              <w:rPr>
                <w:rFonts w:ascii="Verdana" w:hAnsi="Verdana" w:cs="Arial"/>
                <w:b/>
                <w:bCs/>
                <w:color w:val="000000"/>
                <w:lang w:val="es-CO" w:eastAsia="es-CO"/>
              </w:rPr>
              <w:t>Fundamento legal y Reglamentario</w:t>
            </w:r>
          </w:p>
          <w:p w14:paraId="5013DF0D" w14:textId="77777777" w:rsidR="00131A9D" w:rsidRPr="00143748" w:rsidRDefault="00131A9D" w:rsidP="00131A9D">
            <w:pPr>
              <w:jc w:val="both"/>
              <w:textAlignment w:val="baseline"/>
              <w:rPr>
                <w:rFonts w:ascii="Verdana" w:hAnsi="Verdana" w:cs="Arial"/>
                <w:color w:val="000000"/>
                <w:lang w:val="es-CO" w:eastAsia="es-CO"/>
              </w:rPr>
            </w:pPr>
          </w:p>
          <w:p w14:paraId="2560DFE6" w14:textId="77777777" w:rsidR="00131A9D" w:rsidRPr="00143748" w:rsidRDefault="00131A9D" w:rsidP="00131A9D">
            <w:pPr>
              <w:jc w:val="both"/>
              <w:textAlignment w:val="baseline"/>
              <w:rPr>
                <w:rFonts w:ascii="Verdana" w:hAnsi="Verdana" w:cs="Arial"/>
                <w:lang w:val="es-CO" w:eastAsia="es-CO"/>
              </w:rPr>
            </w:pPr>
            <w:r w:rsidRPr="00143748">
              <w:rPr>
                <w:rFonts w:ascii="Verdana" w:hAnsi="Verdana" w:cs="Arial"/>
                <w:color w:val="000000"/>
                <w:lang w:val="es-CO" w:eastAsia="es-CO"/>
              </w:rPr>
              <w:t>El Artículo 5 de la Ley 3ª de 1991, modificado por el artículo 27 de la Ley 1469 de 2011, establece como solución de vivienda el conjunto de operaciones que permite a un hogar disponer de habitación en condiciones sanitarias satisfactorias de espacio, servicios públicos y calidad de estructura, o iniciar el proceso para obtenerlas en el futuro.  </w:t>
            </w:r>
          </w:p>
          <w:p w14:paraId="107A3CCB" w14:textId="77777777" w:rsidR="00131A9D" w:rsidRPr="00143748" w:rsidRDefault="00131A9D" w:rsidP="00131A9D">
            <w:pPr>
              <w:jc w:val="both"/>
              <w:textAlignment w:val="baseline"/>
              <w:rPr>
                <w:rFonts w:ascii="Verdana" w:hAnsi="Verdana" w:cs="Arial"/>
                <w:color w:val="000000"/>
                <w:lang w:val="es-CO" w:eastAsia="es-CO"/>
              </w:rPr>
            </w:pPr>
          </w:p>
          <w:p w14:paraId="3C7B011A" w14:textId="77777777" w:rsidR="00131A9D" w:rsidRPr="00143748" w:rsidRDefault="00131A9D" w:rsidP="00131A9D">
            <w:pPr>
              <w:jc w:val="both"/>
              <w:textAlignment w:val="baseline"/>
              <w:rPr>
                <w:rFonts w:ascii="Verdana" w:hAnsi="Verdana" w:cs="Arial"/>
                <w:lang w:val="es-CO" w:eastAsia="es-CO"/>
              </w:rPr>
            </w:pPr>
            <w:r w:rsidRPr="00143748">
              <w:rPr>
                <w:rFonts w:ascii="Verdana" w:hAnsi="Verdana" w:cs="Arial"/>
                <w:color w:val="000000"/>
                <w:lang w:val="es-CO" w:eastAsia="es-CO"/>
              </w:rPr>
              <w:t>El inciso primero del artículo 6 de la Ley 3 de 1991, modificado por el artículo 28 de la Ley 1469 de 2011, define el subsidio familiar de vivienda como un aporte estatal en dinero o en especie, que podrá aplicarse en lotes con servicios para programas de desarrollo de autoconstrucción, entre otros, otorgado por una sola vez al beneficiario con el objeto de facilitar el acceso a una solución de vivienda de interés social o interés prioritario, sin cargo de restitución, siempre que el beneficiario cumpla con las condiciones que establece la ley. </w:t>
            </w:r>
          </w:p>
          <w:p w14:paraId="55E6159D" w14:textId="77777777" w:rsidR="00131A9D" w:rsidRPr="00143748" w:rsidRDefault="00131A9D" w:rsidP="00131A9D">
            <w:pPr>
              <w:jc w:val="both"/>
              <w:textAlignment w:val="baseline"/>
              <w:rPr>
                <w:rFonts w:ascii="Verdana" w:hAnsi="Verdana" w:cs="Arial"/>
                <w:color w:val="000000"/>
                <w:lang w:val="es-CO" w:eastAsia="es-CO"/>
              </w:rPr>
            </w:pPr>
          </w:p>
          <w:p w14:paraId="76D819B3" w14:textId="77777777" w:rsidR="00131A9D" w:rsidRPr="00143748" w:rsidRDefault="00131A9D" w:rsidP="00131A9D">
            <w:pPr>
              <w:jc w:val="both"/>
              <w:textAlignment w:val="baseline"/>
              <w:rPr>
                <w:rFonts w:ascii="Verdana" w:hAnsi="Verdana" w:cs="Arial"/>
                <w:color w:val="000000"/>
                <w:lang w:val="es-CO" w:eastAsia="es-CO"/>
              </w:rPr>
            </w:pPr>
            <w:r w:rsidRPr="00143748">
              <w:rPr>
                <w:rFonts w:ascii="Verdana" w:hAnsi="Verdana" w:cs="Arial"/>
                <w:color w:val="000000"/>
                <w:lang w:val="es-CO" w:eastAsia="es-CO"/>
              </w:rPr>
              <w:t xml:space="preserve">El inciso segundo del artículo 6 de la Ley 3° de 1991, modificado por el artículo 28 de la Ley 1469 de 2011, establece que está en cabeza del Gobierno </w:t>
            </w:r>
            <w:r w:rsidR="00601BA5" w:rsidRPr="00143748">
              <w:rPr>
                <w:rFonts w:ascii="Verdana" w:hAnsi="Verdana" w:cs="Arial"/>
                <w:color w:val="000000"/>
                <w:lang w:val="es-CO" w:eastAsia="es-CO"/>
              </w:rPr>
              <w:t>N</w:t>
            </w:r>
            <w:r w:rsidRPr="00143748">
              <w:rPr>
                <w:rFonts w:ascii="Verdana" w:hAnsi="Verdana" w:cs="Arial"/>
                <w:color w:val="000000"/>
                <w:lang w:val="es-CO" w:eastAsia="es-CO"/>
              </w:rPr>
              <w:t xml:space="preserve">acional la facultad de determinar la cuantía del subsidio familiar de vivienda, de acuerdo con los recursos disponibles, el valor final de la solución de vivienda y las condiciones socioeconómicas de los beneficiarios, en cuya postulación se dará un tratamiento preferente </w:t>
            </w:r>
            <w:r w:rsidRPr="00143748">
              <w:rPr>
                <w:rFonts w:ascii="Verdana" w:hAnsi="Verdana" w:cs="Arial"/>
                <w:color w:val="000000"/>
                <w:lang w:val="es-CO" w:eastAsia="es-CO"/>
              </w:rPr>
              <w:lastRenderedPageBreak/>
              <w:t>a las mujeres cabeza de familia de los estratos más pobres de la población, a las trabajadoras del sector informal y a las madres comunitarias.</w:t>
            </w:r>
          </w:p>
          <w:p w14:paraId="5B5ED6EB" w14:textId="77777777" w:rsidR="00F628D7" w:rsidRPr="00143748" w:rsidRDefault="00F628D7" w:rsidP="00131A9D">
            <w:pPr>
              <w:jc w:val="both"/>
              <w:textAlignment w:val="baseline"/>
              <w:rPr>
                <w:rFonts w:ascii="Verdana" w:hAnsi="Verdana" w:cs="Arial"/>
                <w:color w:val="000000"/>
                <w:lang w:val="es-CO" w:eastAsia="es-CO"/>
              </w:rPr>
            </w:pPr>
          </w:p>
          <w:p w14:paraId="6067EEFA" w14:textId="77777777" w:rsidR="00131A9D" w:rsidRPr="00143748" w:rsidRDefault="00143748" w:rsidP="00143748">
            <w:pPr>
              <w:jc w:val="both"/>
              <w:rPr>
                <w:rFonts w:ascii="Verdana" w:hAnsi="Verdana" w:cs="Arial"/>
                <w:b/>
                <w:lang w:val="es-CO" w:eastAsia="es-CO"/>
              </w:rPr>
            </w:pPr>
            <w:r w:rsidRPr="00143748">
              <w:rPr>
                <w:rFonts w:ascii="Verdana" w:hAnsi="Verdana" w:cs="Arial"/>
                <w:i/>
                <w:iCs/>
              </w:rPr>
              <w:t xml:space="preserve"> </w:t>
            </w:r>
            <w:r w:rsidR="00131A9D" w:rsidRPr="00143748">
              <w:rPr>
                <w:rFonts w:ascii="Verdana" w:hAnsi="Verdana" w:cs="Arial"/>
                <w:b/>
                <w:lang w:val="es-CO" w:eastAsia="es-CO"/>
              </w:rPr>
              <w:t>3.2 Vigencia de la ley o norma reglamentada o desarrollada</w:t>
            </w:r>
          </w:p>
          <w:p w14:paraId="0E47E575" w14:textId="77777777" w:rsidR="00131A9D" w:rsidRPr="00143748" w:rsidRDefault="00131A9D" w:rsidP="00131A9D">
            <w:pPr>
              <w:ind w:left="494" w:hanging="283"/>
              <w:jc w:val="both"/>
              <w:rPr>
                <w:rFonts w:ascii="Verdana" w:hAnsi="Verdana" w:cs="Arial"/>
                <w:lang w:val="es-CO" w:eastAsia="es-CO"/>
              </w:rPr>
            </w:pPr>
          </w:p>
          <w:p w14:paraId="773A7DE9" w14:textId="77777777" w:rsidR="00131A9D" w:rsidRPr="00143748" w:rsidRDefault="00131A9D" w:rsidP="00131A9D">
            <w:pPr>
              <w:jc w:val="both"/>
              <w:rPr>
                <w:rFonts w:ascii="Verdana" w:hAnsi="Verdana" w:cs="Arial"/>
                <w:color w:val="000000"/>
                <w:lang w:val="es-CO" w:eastAsia="es-CO"/>
              </w:rPr>
            </w:pPr>
            <w:r w:rsidRPr="00143748">
              <w:rPr>
                <w:rFonts w:ascii="Verdana" w:hAnsi="Verdana" w:cs="Arial"/>
                <w:iCs/>
              </w:rPr>
              <w:t>Todas</w:t>
            </w:r>
            <w:r w:rsidRPr="00143748">
              <w:rPr>
                <w:rFonts w:ascii="Verdana" w:hAnsi="Verdana" w:cs="Arial"/>
                <w:iCs/>
                <w:lang w:val="es-CO" w:eastAsia="es-CO"/>
              </w:rPr>
              <w:t xml:space="preserve"> </w:t>
            </w:r>
            <w:r w:rsidRPr="00143748">
              <w:rPr>
                <w:rFonts w:ascii="Verdana" w:hAnsi="Verdana" w:cs="Arial"/>
                <w:lang w:val="es-CO" w:eastAsia="es-CO"/>
              </w:rPr>
              <w:t xml:space="preserve">las normas que fundamentan la competencia reglamentaria del Ministerio de Vivienda, Ciudad y Territorio, particularmente, </w:t>
            </w:r>
            <w:r w:rsidRPr="00143748">
              <w:rPr>
                <w:rFonts w:ascii="Verdana" w:hAnsi="Verdana" w:cs="Arial"/>
                <w:lang w:val="es-CO"/>
              </w:rPr>
              <w:t xml:space="preserve">el </w:t>
            </w:r>
            <w:r w:rsidRPr="00143748">
              <w:rPr>
                <w:rFonts w:ascii="Verdana" w:hAnsi="Verdana" w:cs="Arial"/>
              </w:rPr>
              <w:t xml:space="preserve">Decreto 1077 de 2015 </w:t>
            </w:r>
            <w:r w:rsidRPr="00143748">
              <w:rPr>
                <w:rFonts w:ascii="Verdana" w:hAnsi="Verdana" w:cs="Arial"/>
                <w:lang w:val="es-CO" w:eastAsia="es-CO"/>
              </w:rPr>
              <w:t>se encuentran vigentes.</w:t>
            </w:r>
          </w:p>
          <w:p w14:paraId="19FD4DA1" w14:textId="77777777" w:rsidR="00131A9D" w:rsidRPr="00143748" w:rsidRDefault="00131A9D" w:rsidP="00131A9D">
            <w:pPr>
              <w:ind w:left="494" w:hanging="283"/>
              <w:jc w:val="both"/>
              <w:rPr>
                <w:rFonts w:ascii="Verdana" w:hAnsi="Verdana" w:cs="Arial"/>
                <w:b/>
                <w:lang w:val="es-CO" w:eastAsia="es-CO"/>
              </w:rPr>
            </w:pPr>
          </w:p>
          <w:p w14:paraId="2597E83D" w14:textId="77777777" w:rsidR="00131A9D" w:rsidRPr="00143748" w:rsidRDefault="00131A9D" w:rsidP="00131A9D">
            <w:pPr>
              <w:ind w:left="494" w:hanging="283"/>
              <w:jc w:val="both"/>
              <w:rPr>
                <w:rFonts w:ascii="Verdana" w:hAnsi="Verdana" w:cs="Arial"/>
                <w:b/>
                <w:lang w:val="es-CO" w:eastAsia="es-CO"/>
              </w:rPr>
            </w:pPr>
            <w:r w:rsidRPr="00143748">
              <w:rPr>
                <w:rFonts w:ascii="Verdana" w:hAnsi="Verdana" w:cs="Arial"/>
                <w:b/>
                <w:lang w:val="es-CO" w:eastAsia="es-CO"/>
              </w:rPr>
              <w:t xml:space="preserve">3.3. Disposiciones derogadas, subrogadas, modificadas, adicionadas o sustituidas </w:t>
            </w:r>
          </w:p>
          <w:p w14:paraId="4FB54254" w14:textId="77777777" w:rsidR="00131A9D" w:rsidRPr="00143748" w:rsidRDefault="00131A9D" w:rsidP="00131A9D">
            <w:pPr>
              <w:ind w:left="494" w:hanging="283"/>
              <w:jc w:val="both"/>
              <w:rPr>
                <w:rFonts w:ascii="Verdana" w:hAnsi="Verdana" w:cs="Arial"/>
                <w:lang w:val="es-CO" w:eastAsia="es-CO"/>
              </w:rPr>
            </w:pPr>
          </w:p>
          <w:p w14:paraId="77BE6601" w14:textId="77777777" w:rsidR="00131A9D" w:rsidRPr="00143748" w:rsidRDefault="00D81C9E" w:rsidP="00131A9D">
            <w:pPr>
              <w:jc w:val="both"/>
              <w:rPr>
                <w:rFonts w:ascii="Verdana" w:hAnsi="Verdana" w:cs="Arial"/>
                <w:lang w:eastAsia="es-CO"/>
              </w:rPr>
            </w:pPr>
            <w:r>
              <w:rPr>
                <w:rFonts w:ascii="Verdana" w:hAnsi="Verdana"/>
              </w:rPr>
              <w:t xml:space="preserve">Resolución n.° 1227 de 2023 </w:t>
            </w:r>
            <w:r w:rsidR="001917FE" w:rsidRPr="0B4478E3">
              <w:rPr>
                <w:rFonts w:ascii="Verdana" w:hAnsi="Verdana"/>
              </w:rPr>
              <w:t xml:space="preserve">expedidas por </w:t>
            </w:r>
            <w:r>
              <w:rPr>
                <w:rFonts w:ascii="Verdana" w:hAnsi="Verdana"/>
              </w:rPr>
              <w:t xml:space="preserve">el Ministerio de Vivienda, Ciudad y Territorio. </w:t>
            </w:r>
          </w:p>
          <w:p w14:paraId="5E5C3E3B" w14:textId="77777777" w:rsidR="00131A9D" w:rsidRPr="00143748" w:rsidRDefault="00131A9D" w:rsidP="00131A9D">
            <w:pPr>
              <w:ind w:left="494" w:hanging="283"/>
              <w:jc w:val="both"/>
              <w:rPr>
                <w:rFonts w:ascii="Verdana" w:hAnsi="Verdana" w:cs="Arial"/>
                <w:lang w:eastAsia="es-CO"/>
              </w:rPr>
            </w:pPr>
          </w:p>
          <w:p w14:paraId="13CC3FAB" w14:textId="77777777" w:rsidR="00131A9D" w:rsidRPr="00143748" w:rsidRDefault="00131A9D" w:rsidP="00131A9D">
            <w:pPr>
              <w:ind w:left="494" w:hanging="283"/>
              <w:jc w:val="both"/>
              <w:rPr>
                <w:rFonts w:ascii="Verdana" w:hAnsi="Verdana" w:cs="Arial"/>
                <w:b/>
                <w:lang w:val="es-CO" w:eastAsia="es-CO"/>
              </w:rPr>
            </w:pPr>
            <w:r w:rsidRPr="00143748">
              <w:rPr>
                <w:rFonts w:ascii="Verdana" w:hAnsi="Verdana" w:cs="Arial"/>
                <w:b/>
                <w:lang w:val="es-CO" w:eastAsia="es-CO"/>
              </w:rPr>
              <w:t>3.4 Revisión y análisis de la jurisprudencia que tenga impacto o sea relevante para la expedición del proyecto normativo (órganos de cierre de cada jurisdicción)</w:t>
            </w:r>
          </w:p>
          <w:p w14:paraId="1DB33B9F" w14:textId="77777777" w:rsidR="00131A9D" w:rsidRPr="00143748" w:rsidRDefault="00131A9D" w:rsidP="00131A9D">
            <w:pPr>
              <w:ind w:left="494" w:hanging="283"/>
              <w:jc w:val="both"/>
              <w:rPr>
                <w:rFonts w:ascii="Verdana" w:hAnsi="Verdana" w:cs="Arial"/>
                <w:lang w:val="es-CO" w:eastAsia="es-CO"/>
              </w:rPr>
            </w:pPr>
          </w:p>
          <w:p w14:paraId="0002F498" w14:textId="77777777" w:rsidR="00131A9D" w:rsidRPr="00143748" w:rsidRDefault="00036BE1" w:rsidP="00131A9D">
            <w:pPr>
              <w:jc w:val="both"/>
              <w:rPr>
                <w:rFonts w:ascii="Verdana" w:hAnsi="Verdana" w:cs="Arial"/>
                <w:lang w:val="es-CO" w:eastAsia="es-CO"/>
              </w:rPr>
            </w:pPr>
            <w:r>
              <w:rPr>
                <w:rFonts w:ascii="Verdana" w:hAnsi="Verdana" w:cs="Arial"/>
                <w:lang w:val="es-CO" w:eastAsia="es-CO"/>
              </w:rPr>
              <w:t xml:space="preserve">   NA.</w:t>
            </w:r>
          </w:p>
          <w:p w14:paraId="0C6E16AE" w14:textId="77777777" w:rsidR="00131A9D" w:rsidRPr="00143748" w:rsidRDefault="00131A9D" w:rsidP="00131A9D">
            <w:pPr>
              <w:ind w:left="494" w:hanging="283"/>
              <w:jc w:val="both"/>
              <w:rPr>
                <w:rFonts w:ascii="Verdana" w:hAnsi="Verdana" w:cs="Arial"/>
                <w:lang w:val="es-CO" w:eastAsia="es-CO"/>
              </w:rPr>
            </w:pPr>
          </w:p>
          <w:p w14:paraId="7668D22C" w14:textId="77777777" w:rsidR="00131A9D" w:rsidRPr="00143748" w:rsidRDefault="00131A9D" w:rsidP="00131A9D">
            <w:pPr>
              <w:ind w:left="494" w:hanging="283"/>
              <w:jc w:val="both"/>
              <w:rPr>
                <w:rFonts w:ascii="Verdana" w:hAnsi="Verdana" w:cs="Arial"/>
                <w:b/>
                <w:lang w:val="es-CO" w:eastAsia="es-CO"/>
              </w:rPr>
            </w:pPr>
            <w:r w:rsidRPr="00143748">
              <w:rPr>
                <w:rFonts w:ascii="Verdana" w:hAnsi="Verdana" w:cs="Arial"/>
                <w:b/>
                <w:lang w:val="es-CO" w:eastAsia="es-CO"/>
              </w:rPr>
              <w:t xml:space="preserve">3.5 Circunstancias jurídicas adicionales </w:t>
            </w:r>
          </w:p>
          <w:p w14:paraId="2E53DC2A" w14:textId="77777777" w:rsidR="00131A9D" w:rsidRPr="00143748" w:rsidRDefault="00131A9D" w:rsidP="00131A9D">
            <w:pPr>
              <w:jc w:val="both"/>
              <w:rPr>
                <w:rFonts w:ascii="Verdana" w:hAnsi="Verdana" w:cs="Arial"/>
                <w:iCs/>
                <w:shd w:val="clear" w:color="auto" w:fill="FFFFFF"/>
              </w:rPr>
            </w:pPr>
          </w:p>
          <w:p w14:paraId="623213A5" w14:textId="2051D52D" w:rsidR="00DD3D8C" w:rsidRDefault="000F3C23" w:rsidP="000F3C23">
            <w:pPr>
              <w:ind w:left="216" w:hanging="283"/>
              <w:jc w:val="both"/>
              <w:rPr>
                <w:rFonts w:ascii="Verdana" w:hAnsi="Verdana" w:cs="Arial"/>
                <w:lang w:val="es-CO" w:eastAsia="es-CO"/>
              </w:rPr>
            </w:pPr>
            <w:r>
              <w:rPr>
                <w:rFonts w:ascii="Verdana" w:hAnsi="Verdana" w:cs="Arial"/>
                <w:lang w:eastAsia="es-CO"/>
              </w:rPr>
              <w:t xml:space="preserve">    </w:t>
            </w:r>
            <w:r w:rsidRPr="000F3C23">
              <w:rPr>
                <w:rFonts w:ascii="Verdana" w:hAnsi="Verdana" w:cs="Arial"/>
                <w:lang w:val="es-CO" w:eastAsia="es-CO"/>
              </w:rPr>
              <w:t>El proyecto normativo y la memoria justificativa fueron publicados en la página web del Ministerio de Vivienda, Ciudad y Territorio por 15 días cale</w:t>
            </w:r>
            <w:r>
              <w:rPr>
                <w:rFonts w:ascii="Verdana" w:hAnsi="Verdana" w:cs="Arial"/>
                <w:lang w:val="es-CO" w:eastAsia="es-CO"/>
              </w:rPr>
              <w:t xml:space="preserve">ndario, esto es, desde el día </w:t>
            </w:r>
            <w:r w:rsidR="007B0748">
              <w:rPr>
                <w:rFonts w:ascii="Verdana" w:hAnsi="Verdana" w:cs="Arial"/>
                <w:lang w:val="es-CO" w:eastAsia="es-CO"/>
              </w:rPr>
              <w:t>10</w:t>
            </w:r>
            <w:r w:rsidRPr="000F3C23">
              <w:rPr>
                <w:rFonts w:ascii="Verdana" w:hAnsi="Verdana" w:cs="Arial"/>
                <w:lang w:val="es-CO" w:eastAsia="es-CO"/>
              </w:rPr>
              <w:t xml:space="preserve"> de </w:t>
            </w:r>
            <w:r w:rsidR="00D81C9E">
              <w:rPr>
                <w:rFonts w:ascii="Verdana" w:hAnsi="Verdana" w:cs="Arial"/>
                <w:lang w:val="es-CO" w:eastAsia="es-CO"/>
              </w:rPr>
              <w:t>mayo</w:t>
            </w:r>
            <w:r>
              <w:rPr>
                <w:rFonts w:ascii="Verdana" w:hAnsi="Verdana" w:cs="Arial"/>
                <w:lang w:val="es-CO" w:eastAsia="es-CO"/>
              </w:rPr>
              <w:t xml:space="preserve"> de </w:t>
            </w:r>
            <w:r w:rsidRPr="00B926C5">
              <w:rPr>
                <w:rFonts w:ascii="Verdana" w:hAnsi="Verdana" w:cs="Arial"/>
                <w:lang w:val="es-CO" w:eastAsia="es-CO"/>
              </w:rPr>
              <w:t xml:space="preserve">2024 al </w:t>
            </w:r>
            <w:r w:rsidR="00D81C9E" w:rsidRPr="00B926C5">
              <w:rPr>
                <w:rFonts w:ascii="Verdana" w:hAnsi="Verdana" w:cs="Arial"/>
                <w:lang w:val="es-CO" w:eastAsia="es-CO"/>
              </w:rPr>
              <w:t>2</w:t>
            </w:r>
            <w:r w:rsidR="007B0748" w:rsidRPr="00B926C5">
              <w:rPr>
                <w:rFonts w:ascii="Verdana" w:hAnsi="Verdana" w:cs="Arial"/>
                <w:lang w:val="es-CO" w:eastAsia="es-CO"/>
              </w:rPr>
              <w:t>5</w:t>
            </w:r>
            <w:r w:rsidR="00D81C9E">
              <w:rPr>
                <w:rFonts w:ascii="Verdana" w:hAnsi="Verdana" w:cs="Arial"/>
                <w:lang w:val="es-CO" w:eastAsia="es-CO"/>
              </w:rPr>
              <w:t xml:space="preserve"> de mayo</w:t>
            </w:r>
            <w:r w:rsidRPr="000F3C23">
              <w:rPr>
                <w:rFonts w:ascii="Verdana" w:hAnsi="Verdana" w:cs="Arial"/>
                <w:lang w:val="es-CO" w:eastAsia="es-CO"/>
              </w:rPr>
              <w:t xml:space="preserve"> del mismo año; tiempo durante el cual, se recibieron comentarios y observaciones por parte de la ciudadanía los cuales fueron atendidos y publicados en la página web del Ministerio de Vivienda, Ciudad y Territorio el día </w:t>
            </w:r>
            <w:r>
              <w:rPr>
                <w:rFonts w:ascii="Verdana" w:hAnsi="Verdana" w:cs="Arial"/>
                <w:lang w:val="es-CO" w:eastAsia="es-CO"/>
              </w:rPr>
              <w:t>xx</w:t>
            </w:r>
            <w:r w:rsidRPr="000F3C23">
              <w:rPr>
                <w:rFonts w:ascii="Verdana" w:hAnsi="Verdana" w:cs="Arial"/>
                <w:lang w:val="es-CO" w:eastAsia="es-CO"/>
              </w:rPr>
              <w:t xml:space="preserve"> de </w:t>
            </w:r>
            <w:r>
              <w:rPr>
                <w:rFonts w:ascii="Verdana" w:hAnsi="Verdana" w:cs="Arial"/>
                <w:lang w:val="es-CO" w:eastAsia="es-CO"/>
              </w:rPr>
              <w:t>xx</w:t>
            </w:r>
            <w:r w:rsidRPr="000F3C23">
              <w:rPr>
                <w:rFonts w:ascii="Verdana" w:hAnsi="Verdana" w:cs="Arial"/>
                <w:lang w:val="es-CO" w:eastAsia="es-CO"/>
              </w:rPr>
              <w:t xml:space="preserve"> </w:t>
            </w:r>
            <w:r>
              <w:rPr>
                <w:rFonts w:ascii="Verdana" w:hAnsi="Verdana" w:cs="Arial"/>
                <w:lang w:val="es-CO" w:eastAsia="es-CO"/>
              </w:rPr>
              <w:t>de 2024</w:t>
            </w:r>
            <w:r w:rsidRPr="000F3C23">
              <w:rPr>
                <w:rFonts w:ascii="Verdana" w:hAnsi="Verdana" w:cs="Arial"/>
                <w:lang w:val="es-CO" w:eastAsia="es-CO"/>
              </w:rPr>
              <w:t>.</w:t>
            </w:r>
          </w:p>
          <w:p w14:paraId="3628795C" w14:textId="77777777" w:rsidR="000F3C23" w:rsidRPr="00143748" w:rsidRDefault="000F3C23" w:rsidP="000F3C23">
            <w:pPr>
              <w:ind w:left="216" w:hanging="283"/>
              <w:jc w:val="both"/>
              <w:rPr>
                <w:rFonts w:ascii="Verdana" w:hAnsi="Verdana" w:cs="Arial"/>
                <w:lang w:val="es-CO" w:eastAsia="es-CO"/>
              </w:rPr>
            </w:pPr>
          </w:p>
        </w:tc>
      </w:tr>
      <w:bookmarkEnd w:id="0"/>
      <w:tr w:rsidR="00DF60FD" w:rsidRPr="00143748" w14:paraId="60E742D7" w14:textId="77777777" w:rsidTr="00690FDA">
        <w:trPr>
          <w:trHeight w:val="383"/>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40BFFC" w14:textId="77777777" w:rsidR="00843EFF" w:rsidRPr="00143748" w:rsidRDefault="00843EFF" w:rsidP="00A161B9">
            <w:pPr>
              <w:rPr>
                <w:rFonts w:ascii="Verdana" w:hAnsi="Verdana" w:cs="Arial"/>
                <w:b/>
                <w:color w:val="000000"/>
              </w:rPr>
            </w:pPr>
          </w:p>
          <w:p w14:paraId="5911EDA7" w14:textId="77777777" w:rsidR="00240181" w:rsidRPr="00143748" w:rsidRDefault="00DF60FD" w:rsidP="004432C8">
            <w:pPr>
              <w:numPr>
                <w:ilvl w:val="0"/>
                <w:numId w:val="44"/>
              </w:numPr>
              <w:ind w:left="494"/>
              <w:rPr>
                <w:rFonts w:ascii="Verdana" w:hAnsi="Verdana" w:cs="Arial"/>
                <w:b/>
                <w:color w:val="000000"/>
              </w:rPr>
            </w:pPr>
            <w:r w:rsidRPr="00143748">
              <w:rPr>
                <w:rFonts w:ascii="Verdana" w:hAnsi="Verdana" w:cs="Arial"/>
                <w:b/>
                <w:color w:val="000000"/>
              </w:rPr>
              <w:t xml:space="preserve">IMPACTO ECONÓMICO </w:t>
            </w:r>
            <w:r w:rsidR="00D05B67" w:rsidRPr="00143748">
              <w:rPr>
                <w:rFonts w:ascii="Verdana" w:hAnsi="Verdana" w:cs="Arial"/>
                <w:color w:val="000000"/>
              </w:rPr>
              <w:t>(Si se requiere)</w:t>
            </w:r>
          </w:p>
          <w:p w14:paraId="1FD707F8" w14:textId="77777777" w:rsidR="004432C8" w:rsidRPr="00143748" w:rsidRDefault="004432C8" w:rsidP="004432C8">
            <w:pPr>
              <w:ind w:left="494"/>
              <w:rPr>
                <w:rFonts w:ascii="Verdana" w:hAnsi="Verdana" w:cs="Arial"/>
                <w:b/>
                <w:color w:val="000000"/>
              </w:rPr>
            </w:pPr>
          </w:p>
          <w:p w14:paraId="175988F1" w14:textId="77777777" w:rsidR="00690FDA" w:rsidRPr="00143748" w:rsidRDefault="00690FDA" w:rsidP="00240181">
            <w:pPr>
              <w:pStyle w:val="Listavistosa-nfasis11"/>
              <w:spacing w:line="240" w:lineRule="auto"/>
              <w:ind w:left="0"/>
              <w:jc w:val="both"/>
              <w:rPr>
                <w:rFonts w:ascii="Verdana" w:hAnsi="Verdana" w:cs="Arial"/>
                <w:sz w:val="20"/>
                <w:szCs w:val="20"/>
              </w:rPr>
            </w:pPr>
            <w:r w:rsidRPr="00143748">
              <w:rPr>
                <w:rFonts w:ascii="Verdana" w:hAnsi="Verdana" w:cs="Arial"/>
                <w:color w:val="000000"/>
                <w:sz w:val="20"/>
                <w:szCs w:val="20"/>
              </w:rPr>
              <w:t>La expedición de la Resolución no tiene impacto económico por cuanto se mantienen los valores del subsidio familiar de vivienda, los cuales se asignan en concordancia con el marco de gasto de mediano plazo.</w:t>
            </w:r>
          </w:p>
        </w:tc>
      </w:tr>
      <w:tr w:rsidR="00DF60FD" w:rsidRPr="00143748" w14:paraId="30FE9E3D"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FC2246" w14:textId="77777777" w:rsidR="00843EFF" w:rsidRPr="00143748" w:rsidRDefault="00843EFF" w:rsidP="00A161B9">
            <w:pPr>
              <w:rPr>
                <w:rFonts w:ascii="Verdana" w:hAnsi="Verdana" w:cs="Arial"/>
                <w:b/>
                <w:color w:val="000000"/>
              </w:rPr>
            </w:pPr>
          </w:p>
          <w:p w14:paraId="3DBBAE0C" w14:textId="77777777" w:rsidR="00DF60FD" w:rsidRPr="00143748" w:rsidRDefault="00795C6B" w:rsidP="007A5F0F">
            <w:pPr>
              <w:numPr>
                <w:ilvl w:val="0"/>
                <w:numId w:val="44"/>
              </w:numPr>
              <w:ind w:left="494"/>
              <w:rPr>
                <w:rFonts w:ascii="Verdana" w:hAnsi="Verdana" w:cs="Arial"/>
                <w:b/>
                <w:color w:val="000000"/>
              </w:rPr>
            </w:pPr>
            <w:r w:rsidRPr="00143748">
              <w:rPr>
                <w:rFonts w:ascii="Verdana" w:hAnsi="Verdana" w:cs="Arial"/>
                <w:b/>
                <w:color w:val="000000"/>
              </w:rPr>
              <w:t xml:space="preserve">VIABILIDAD O </w:t>
            </w:r>
            <w:r w:rsidR="00DF60FD" w:rsidRPr="00143748">
              <w:rPr>
                <w:rFonts w:ascii="Verdana" w:hAnsi="Verdana" w:cs="Arial"/>
                <w:b/>
                <w:color w:val="000000"/>
              </w:rPr>
              <w:t xml:space="preserve">DISPONIBILIDAD PRESUPUESTAL </w:t>
            </w:r>
            <w:r w:rsidR="00D05B67" w:rsidRPr="00143748">
              <w:rPr>
                <w:rFonts w:ascii="Verdana" w:hAnsi="Verdana" w:cs="Arial"/>
                <w:color w:val="000000"/>
              </w:rPr>
              <w:t>(Si se requiere)</w:t>
            </w:r>
          </w:p>
          <w:p w14:paraId="6410DB4C" w14:textId="77777777" w:rsidR="00690FDA" w:rsidRPr="00143748" w:rsidRDefault="00690FDA" w:rsidP="00690FDA">
            <w:pPr>
              <w:ind w:left="494"/>
              <w:rPr>
                <w:rFonts w:ascii="Verdana" w:hAnsi="Verdana" w:cs="Arial"/>
                <w:b/>
                <w:color w:val="000000"/>
              </w:rPr>
            </w:pPr>
          </w:p>
          <w:p w14:paraId="75B9E3C0" w14:textId="77777777" w:rsidR="00F44A2E" w:rsidRPr="00143748" w:rsidRDefault="00690FDA" w:rsidP="00F44A2E">
            <w:pPr>
              <w:jc w:val="both"/>
              <w:rPr>
                <w:rFonts w:ascii="Verdana" w:hAnsi="Verdana"/>
                <w:lang w:eastAsia="es-CO"/>
              </w:rPr>
            </w:pPr>
            <w:r w:rsidRPr="00143748">
              <w:rPr>
                <w:rStyle w:val="normaltextrun"/>
                <w:rFonts w:ascii="Verdana" w:hAnsi="Verdana" w:cs="Arial"/>
                <w:color w:val="000000"/>
                <w:shd w:val="clear" w:color="auto" w:fill="FFFFFF"/>
              </w:rPr>
              <w:t>La presente Resolución no tiene impacto presupuestal distinto al establecido en el marco de gasto de mediano plazo del sector vivienda, ciudad y territorio.</w:t>
            </w:r>
          </w:p>
          <w:p w14:paraId="7763213A" w14:textId="77777777" w:rsidR="00696582" w:rsidRPr="00143748" w:rsidRDefault="00696582" w:rsidP="00F44A2E">
            <w:pPr>
              <w:jc w:val="both"/>
              <w:rPr>
                <w:rFonts w:ascii="Verdana" w:hAnsi="Verdana"/>
                <w:lang w:eastAsia="es-CO"/>
              </w:rPr>
            </w:pPr>
          </w:p>
        </w:tc>
      </w:tr>
      <w:tr w:rsidR="00DF60FD" w:rsidRPr="00143748" w14:paraId="7BD79D32" w14:textId="77777777" w:rsidTr="00696582">
        <w:trPr>
          <w:trHeight w:val="1295"/>
        </w:trPr>
        <w:tc>
          <w:tcPr>
            <w:tcW w:w="10774" w:type="dxa"/>
            <w:gridSpan w:val="3"/>
            <w:tcBorders>
              <w:top w:val="single" w:sz="4" w:space="0" w:color="auto"/>
              <w:bottom w:val="single" w:sz="4" w:space="0" w:color="auto"/>
            </w:tcBorders>
            <w:shd w:val="clear" w:color="auto" w:fill="FFFFFF"/>
            <w:vAlign w:val="center"/>
          </w:tcPr>
          <w:p w14:paraId="330960DA" w14:textId="77777777" w:rsidR="00DF60FD" w:rsidRPr="00143748" w:rsidRDefault="00DF60FD" w:rsidP="007A5F0F">
            <w:pPr>
              <w:numPr>
                <w:ilvl w:val="0"/>
                <w:numId w:val="44"/>
              </w:numPr>
              <w:ind w:left="494"/>
              <w:rPr>
                <w:rFonts w:ascii="Verdana" w:hAnsi="Verdana" w:cs="Arial"/>
                <w:b/>
                <w:color w:val="000000"/>
              </w:rPr>
            </w:pPr>
            <w:r w:rsidRPr="00143748">
              <w:rPr>
                <w:rFonts w:ascii="Verdana" w:hAnsi="Verdana" w:cs="Arial"/>
                <w:b/>
                <w:color w:val="000000"/>
              </w:rPr>
              <w:t xml:space="preserve"> IMPACTO MEDIOAMBIENTAL O SOBRE EL PATRIMONIO CULTURAL DE LA NACIÓN </w:t>
            </w:r>
            <w:r w:rsidR="00D05B67" w:rsidRPr="00143748">
              <w:rPr>
                <w:rFonts w:ascii="Verdana" w:hAnsi="Verdana" w:cs="Arial"/>
                <w:color w:val="000000"/>
              </w:rPr>
              <w:t>(Si se requiere)</w:t>
            </w:r>
          </w:p>
          <w:p w14:paraId="09D56B1B" w14:textId="77777777" w:rsidR="00D05B67" w:rsidRPr="00143748" w:rsidRDefault="00D05B67" w:rsidP="00FA4A9E">
            <w:pPr>
              <w:jc w:val="both"/>
              <w:rPr>
                <w:rFonts w:ascii="Verdana" w:hAnsi="Verdana" w:cs="Arial"/>
                <w:b/>
                <w:color w:val="000000"/>
              </w:rPr>
            </w:pPr>
          </w:p>
          <w:p w14:paraId="5B7AB177" w14:textId="77777777" w:rsidR="00690FDA" w:rsidRPr="00143748" w:rsidRDefault="00690FDA" w:rsidP="00FA4A9E">
            <w:pPr>
              <w:jc w:val="both"/>
              <w:rPr>
                <w:rFonts w:ascii="Verdana" w:hAnsi="Verdana" w:cs="Arial"/>
                <w:color w:val="000000"/>
              </w:rPr>
            </w:pPr>
            <w:r w:rsidRPr="00143748">
              <w:rPr>
                <w:rFonts w:ascii="Verdana" w:hAnsi="Verdana" w:cs="Arial"/>
                <w:color w:val="000000"/>
              </w:rPr>
              <w:t>La presente Resolución no genera ningún impacto medioambiental o sobre el patrimonio cultural de la nación.</w:t>
            </w:r>
          </w:p>
          <w:p w14:paraId="0CF70716" w14:textId="77777777" w:rsidR="00696582" w:rsidRPr="00143748" w:rsidRDefault="00696582" w:rsidP="00FA4A9E">
            <w:pPr>
              <w:jc w:val="both"/>
              <w:rPr>
                <w:rFonts w:ascii="Verdana" w:hAnsi="Verdana" w:cs="Arial"/>
                <w:b/>
                <w:color w:val="000000"/>
              </w:rPr>
            </w:pPr>
          </w:p>
        </w:tc>
      </w:tr>
      <w:tr w:rsidR="00DF60FD" w:rsidRPr="00143748" w14:paraId="0B9645C3"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19B68EF0" w14:textId="77777777" w:rsidR="00D05B67" w:rsidRPr="00143748" w:rsidRDefault="00D05B67" w:rsidP="007A5F0F">
            <w:pPr>
              <w:numPr>
                <w:ilvl w:val="0"/>
                <w:numId w:val="44"/>
              </w:numPr>
              <w:ind w:left="494"/>
              <w:rPr>
                <w:rFonts w:ascii="Verdana" w:hAnsi="Verdana" w:cs="Arial"/>
              </w:rPr>
            </w:pPr>
            <w:r w:rsidRPr="00143748">
              <w:rPr>
                <w:rFonts w:ascii="Verdana" w:hAnsi="Verdana" w:cs="Arial"/>
                <w:b/>
              </w:rPr>
              <w:t>ESTUDIOS TÉCNICOS QUE SUSTENTEN EL PROYECTO NORMATIVO</w:t>
            </w:r>
            <w:r w:rsidRPr="00143748">
              <w:rPr>
                <w:rFonts w:ascii="Verdana" w:hAnsi="Verdana" w:cs="Arial"/>
              </w:rPr>
              <w:t xml:space="preserve"> (Si cuenta con ellos)</w:t>
            </w:r>
            <w:r w:rsidR="00696582" w:rsidRPr="00143748">
              <w:rPr>
                <w:rFonts w:ascii="Verdana" w:hAnsi="Verdana" w:cs="Arial"/>
              </w:rPr>
              <w:t xml:space="preserve"> </w:t>
            </w:r>
          </w:p>
        </w:tc>
      </w:tr>
      <w:tr w:rsidR="00DF60FD" w:rsidRPr="00143748" w14:paraId="3814F4EB"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1EFF02A3" w14:textId="77777777" w:rsidR="00843EFF" w:rsidRPr="00143748" w:rsidRDefault="00843EFF" w:rsidP="00A161B9">
            <w:pPr>
              <w:rPr>
                <w:rFonts w:ascii="Verdana" w:hAnsi="Verdana" w:cs="Arial"/>
                <w:b/>
                <w:color w:val="000000"/>
              </w:rPr>
            </w:pPr>
          </w:p>
        </w:tc>
      </w:tr>
      <w:tr w:rsidR="00690FDA" w:rsidRPr="00143748" w14:paraId="26FCB495"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17049CB6" w14:textId="77777777" w:rsidR="00690FDA" w:rsidRPr="00143748" w:rsidRDefault="00792E66" w:rsidP="00036BE1">
            <w:pPr>
              <w:jc w:val="both"/>
              <w:rPr>
                <w:rFonts w:ascii="Verdana" w:hAnsi="Verdana" w:cs="Arial"/>
              </w:rPr>
            </w:pPr>
            <w:r w:rsidRPr="00143748">
              <w:rPr>
                <w:rStyle w:val="normaltextrun"/>
                <w:rFonts w:ascii="Verdana" w:hAnsi="Verdana" w:cs="Arial"/>
                <w:color w:val="000000"/>
                <w:shd w:val="clear" w:color="auto" w:fill="FFFFFF"/>
              </w:rPr>
              <w:t>Los estudios técnicos con que se cuentan se relacionan para la modificación contenida en el Numeral 1.</w:t>
            </w:r>
          </w:p>
        </w:tc>
      </w:tr>
      <w:tr w:rsidR="00792E66" w:rsidRPr="00143748" w14:paraId="23DE835A"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47A87006" w14:textId="77777777" w:rsidR="00792E66" w:rsidRPr="00143748" w:rsidRDefault="00792E66" w:rsidP="00690FDA">
            <w:pPr>
              <w:jc w:val="both"/>
              <w:rPr>
                <w:rStyle w:val="normaltextrun"/>
                <w:rFonts w:ascii="Verdana" w:hAnsi="Verdana" w:cs="Arial"/>
                <w:color w:val="000000"/>
                <w:shd w:val="clear" w:color="auto" w:fill="FFFFFF"/>
              </w:rPr>
            </w:pPr>
          </w:p>
        </w:tc>
      </w:tr>
      <w:tr w:rsidR="00690FDA" w:rsidRPr="00143748" w14:paraId="07DFE998"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2A61E020" w14:textId="77777777" w:rsidR="00690FDA" w:rsidRPr="00143748" w:rsidRDefault="00690FDA" w:rsidP="00690FDA">
            <w:pPr>
              <w:jc w:val="center"/>
              <w:rPr>
                <w:rFonts w:ascii="Verdana" w:hAnsi="Verdana" w:cs="Arial"/>
                <w:u w:val="single"/>
              </w:rPr>
            </w:pPr>
          </w:p>
        </w:tc>
      </w:tr>
      <w:tr w:rsidR="00690FDA" w:rsidRPr="00143748" w14:paraId="1138D2FC" w14:textId="77777777" w:rsidTr="007A5F0F">
        <w:trPr>
          <w:trHeight w:val="416"/>
        </w:trPr>
        <w:tc>
          <w:tcPr>
            <w:tcW w:w="10774" w:type="dxa"/>
            <w:gridSpan w:val="3"/>
            <w:tcBorders>
              <w:top w:val="single" w:sz="4" w:space="0" w:color="auto"/>
              <w:bottom w:val="single" w:sz="4" w:space="0" w:color="auto"/>
            </w:tcBorders>
            <w:shd w:val="clear" w:color="auto" w:fill="C5E9F3"/>
            <w:vAlign w:val="center"/>
          </w:tcPr>
          <w:p w14:paraId="34112803" w14:textId="77777777" w:rsidR="00690FDA" w:rsidRPr="00143748" w:rsidRDefault="00690FDA" w:rsidP="00690FDA">
            <w:pPr>
              <w:jc w:val="center"/>
              <w:rPr>
                <w:rFonts w:ascii="Verdana" w:hAnsi="Verdana" w:cs="Arial"/>
              </w:rPr>
            </w:pPr>
            <w:r w:rsidRPr="00143748">
              <w:rPr>
                <w:rFonts w:ascii="Verdana" w:hAnsi="Verdana" w:cs="Arial"/>
                <w:b/>
              </w:rPr>
              <w:t>ANEXOS:</w:t>
            </w:r>
            <w:r w:rsidRPr="00143748">
              <w:rPr>
                <w:rFonts w:ascii="Verdana" w:hAnsi="Verdana" w:cs="Arial"/>
              </w:rPr>
              <w:t xml:space="preserve"> </w:t>
            </w:r>
          </w:p>
        </w:tc>
      </w:tr>
      <w:tr w:rsidR="00690FDA" w:rsidRPr="00143748" w14:paraId="58B911C6"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4C02C37F" w14:textId="77777777" w:rsidR="00690FDA" w:rsidRPr="00143748" w:rsidRDefault="00690FDA" w:rsidP="00690FDA">
            <w:pPr>
              <w:jc w:val="both"/>
              <w:rPr>
                <w:rFonts w:ascii="Verdana" w:hAnsi="Verdana" w:cs="Arial"/>
              </w:rPr>
            </w:pPr>
            <w:r w:rsidRPr="00143748">
              <w:rPr>
                <w:rFonts w:ascii="Verdana" w:hAnsi="Verdana" w:cs="Arial"/>
              </w:rPr>
              <w:t xml:space="preserve">Certificación de cumplimiento de requisitos de consulta, publicidad y de incorporación en la agenda regulatoria </w:t>
            </w:r>
          </w:p>
          <w:p w14:paraId="2112B096" w14:textId="77777777" w:rsidR="00690FDA" w:rsidRPr="00143748" w:rsidRDefault="00690FDA" w:rsidP="00690FDA">
            <w:pPr>
              <w:jc w:val="both"/>
              <w:rPr>
                <w:rFonts w:ascii="Verdana" w:hAnsi="Verdana" w:cs="Arial"/>
                <w:i/>
                <w:color w:val="808080"/>
              </w:rPr>
            </w:pPr>
            <w:r w:rsidRPr="00143748">
              <w:rPr>
                <w:rFonts w:ascii="Verdana" w:hAnsi="Verdana" w:cs="Arial"/>
                <w:i/>
                <w:color w:val="808080"/>
              </w:rPr>
              <w:t>(Firmada por el servidor público competente –entidad originadora)</w:t>
            </w:r>
          </w:p>
          <w:p w14:paraId="650D2EFA" w14:textId="77777777" w:rsidR="007043E5" w:rsidRPr="00143748" w:rsidRDefault="007043E5" w:rsidP="00690FDA">
            <w:pPr>
              <w:jc w:val="both"/>
              <w:rPr>
                <w:rFonts w:ascii="Verdana" w:hAnsi="Verdana" w:cs="Arial"/>
                <w:i/>
                <w:color w:val="808080"/>
              </w:rPr>
            </w:pPr>
          </w:p>
        </w:tc>
        <w:tc>
          <w:tcPr>
            <w:tcW w:w="3119" w:type="dxa"/>
            <w:tcBorders>
              <w:top w:val="single" w:sz="4" w:space="0" w:color="auto"/>
              <w:left w:val="single" w:sz="4" w:space="0" w:color="auto"/>
              <w:bottom w:val="single" w:sz="4" w:space="0" w:color="auto"/>
            </w:tcBorders>
            <w:shd w:val="clear" w:color="auto" w:fill="FFFFFF"/>
            <w:vAlign w:val="center"/>
          </w:tcPr>
          <w:p w14:paraId="45D00769" w14:textId="77777777" w:rsidR="00690FDA" w:rsidRPr="00143748" w:rsidRDefault="00690FDA" w:rsidP="00690FDA">
            <w:pPr>
              <w:jc w:val="both"/>
              <w:rPr>
                <w:rFonts w:ascii="Verdana" w:hAnsi="Verdana" w:cs="Arial"/>
                <w:i/>
                <w:color w:val="808080"/>
              </w:rPr>
            </w:pPr>
            <w:r w:rsidRPr="00143748">
              <w:rPr>
                <w:rFonts w:ascii="Verdana" w:hAnsi="Verdana" w:cs="Arial"/>
                <w:i/>
                <w:color w:val="808080"/>
              </w:rPr>
              <w:t>X</w:t>
            </w:r>
          </w:p>
        </w:tc>
      </w:tr>
      <w:tr w:rsidR="00690FDA" w:rsidRPr="00143748" w14:paraId="7329804B"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4EEBAF79" w14:textId="77777777" w:rsidR="00690FDA" w:rsidRPr="00143748" w:rsidRDefault="00690FDA" w:rsidP="00690FDA">
            <w:pPr>
              <w:jc w:val="both"/>
              <w:rPr>
                <w:rFonts w:ascii="Verdana" w:hAnsi="Verdana" w:cs="Arial"/>
              </w:rPr>
            </w:pPr>
            <w:r w:rsidRPr="00143748">
              <w:rPr>
                <w:rFonts w:ascii="Verdana" w:hAnsi="Verdana" w:cs="Arial"/>
              </w:rPr>
              <w:t>Concepto(s) de Ministerio de Comercio, Industria y Turismo</w:t>
            </w:r>
          </w:p>
          <w:p w14:paraId="42B786EE" w14:textId="77777777" w:rsidR="00690FDA" w:rsidRPr="00143748" w:rsidRDefault="00690FDA" w:rsidP="00690FDA">
            <w:pPr>
              <w:jc w:val="both"/>
              <w:rPr>
                <w:rFonts w:ascii="Verdana" w:hAnsi="Verdana" w:cs="Arial"/>
                <w:i/>
                <w:color w:val="808080"/>
              </w:rPr>
            </w:pPr>
            <w:r w:rsidRPr="00143748">
              <w:rPr>
                <w:rFonts w:ascii="Verdana" w:hAnsi="Verdana" w:cs="Arial"/>
                <w:i/>
                <w:color w:val="808080"/>
              </w:rPr>
              <w:t>(Cuando se trate de un proyecto de reglamento técnico o de procedimientos de evaluación de conformidad)</w:t>
            </w:r>
          </w:p>
          <w:p w14:paraId="15C0275D" w14:textId="77777777" w:rsidR="007043E5" w:rsidRPr="00143748" w:rsidRDefault="007043E5" w:rsidP="00690FDA">
            <w:pPr>
              <w:jc w:val="both"/>
              <w:rPr>
                <w:rFonts w:ascii="Verdana" w:hAnsi="Verdana" w:cs="Arial"/>
                <w:i/>
                <w:color w:val="808080"/>
              </w:rPr>
            </w:pPr>
          </w:p>
        </w:tc>
        <w:tc>
          <w:tcPr>
            <w:tcW w:w="3119" w:type="dxa"/>
            <w:tcBorders>
              <w:top w:val="single" w:sz="4" w:space="0" w:color="auto"/>
              <w:left w:val="single" w:sz="4" w:space="0" w:color="auto"/>
              <w:bottom w:val="single" w:sz="4" w:space="0" w:color="auto"/>
            </w:tcBorders>
            <w:shd w:val="clear" w:color="auto" w:fill="FFFFFF"/>
            <w:vAlign w:val="center"/>
          </w:tcPr>
          <w:p w14:paraId="07B2D888" w14:textId="77777777" w:rsidR="00690FDA" w:rsidRPr="00143748" w:rsidRDefault="00690FDA" w:rsidP="00690FDA">
            <w:pPr>
              <w:jc w:val="both"/>
              <w:rPr>
                <w:rFonts w:ascii="Verdana" w:hAnsi="Verdana" w:cs="Arial"/>
              </w:rPr>
            </w:pPr>
            <w:r w:rsidRPr="00143748">
              <w:rPr>
                <w:rFonts w:ascii="Verdana" w:hAnsi="Verdana" w:cs="Arial"/>
                <w:i/>
                <w:color w:val="808080"/>
              </w:rPr>
              <w:t>NA</w:t>
            </w:r>
          </w:p>
        </w:tc>
      </w:tr>
      <w:tr w:rsidR="00690FDA" w:rsidRPr="00143748" w14:paraId="2562125B"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A2BA181" w14:textId="77777777" w:rsidR="00690FDA" w:rsidRPr="00143748" w:rsidRDefault="00690FDA" w:rsidP="00690FDA">
            <w:pPr>
              <w:jc w:val="both"/>
              <w:rPr>
                <w:rFonts w:ascii="Verdana" w:hAnsi="Verdana" w:cs="Arial"/>
              </w:rPr>
            </w:pPr>
            <w:r w:rsidRPr="00143748">
              <w:rPr>
                <w:rFonts w:ascii="Verdana" w:hAnsi="Verdana" w:cs="Arial"/>
              </w:rPr>
              <w:t xml:space="preserve">Informe de observaciones y respuestas </w:t>
            </w:r>
          </w:p>
          <w:p w14:paraId="16DF86D7" w14:textId="77777777" w:rsidR="00690FDA" w:rsidRPr="00143748" w:rsidRDefault="00690FDA" w:rsidP="00690FDA">
            <w:pPr>
              <w:jc w:val="both"/>
              <w:rPr>
                <w:rFonts w:ascii="Verdana" w:hAnsi="Verdana" w:cs="Arial"/>
                <w:i/>
                <w:color w:val="808080"/>
              </w:rPr>
            </w:pPr>
            <w:r w:rsidRPr="00143748">
              <w:rPr>
                <w:rFonts w:ascii="Verdana" w:hAnsi="Verdana" w:cs="Arial"/>
                <w:i/>
                <w:color w:val="808080"/>
              </w:rPr>
              <w:t>(Análisis del informe con la evaluación de las observaciones de los ciudadanos y grupos de interés sobre el proyecto normativo)</w:t>
            </w:r>
          </w:p>
          <w:p w14:paraId="1844A9B2" w14:textId="77777777" w:rsidR="007043E5" w:rsidRPr="00143748" w:rsidRDefault="007043E5" w:rsidP="00690FDA">
            <w:pPr>
              <w:jc w:val="both"/>
              <w:rPr>
                <w:rFonts w:ascii="Verdana" w:hAnsi="Verdana" w:cs="Arial"/>
                <w:i/>
                <w:color w:val="808080"/>
              </w:rPr>
            </w:pPr>
          </w:p>
        </w:tc>
        <w:tc>
          <w:tcPr>
            <w:tcW w:w="3119" w:type="dxa"/>
            <w:tcBorders>
              <w:top w:val="single" w:sz="4" w:space="0" w:color="auto"/>
              <w:left w:val="single" w:sz="4" w:space="0" w:color="auto"/>
              <w:bottom w:val="single" w:sz="4" w:space="0" w:color="auto"/>
            </w:tcBorders>
            <w:shd w:val="clear" w:color="auto" w:fill="FFFFFF"/>
            <w:vAlign w:val="center"/>
          </w:tcPr>
          <w:p w14:paraId="1D2EBF00" w14:textId="77777777" w:rsidR="00690FDA" w:rsidRPr="00143748" w:rsidRDefault="00690FDA" w:rsidP="00690FDA">
            <w:pPr>
              <w:jc w:val="both"/>
              <w:rPr>
                <w:rFonts w:ascii="Verdana" w:hAnsi="Verdana" w:cs="Arial"/>
              </w:rPr>
            </w:pPr>
            <w:r w:rsidRPr="00143748">
              <w:rPr>
                <w:rFonts w:ascii="Verdana" w:hAnsi="Verdana" w:cs="Arial"/>
                <w:i/>
                <w:color w:val="808080"/>
              </w:rPr>
              <w:t>X</w:t>
            </w:r>
          </w:p>
        </w:tc>
      </w:tr>
      <w:tr w:rsidR="00690FDA" w:rsidRPr="00143748" w14:paraId="349FFC19"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E66FF1B" w14:textId="77777777" w:rsidR="00690FDA" w:rsidRPr="00143748" w:rsidRDefault="00690FDA" w:rsidP="00690FDA">
            <w:pPr>
              <w:jc w:val="both"/>
              <w:rPr>
                <w:rFonts w:ascii="Verdana" w:hAnsi="Verdana" w:cs="Arial"/>
              </w:rPr>
            </w:pPr>
            <w:r w:rsidRPr="00143748">
              <w:rPr>
                <w:rFonts w:ascii="Verdana" w:hAnsi="Verdana" w:cs="Arial"/>
              </w:rPr>
              <w:t>Concepto de Abogacía de la Competencia de la Superintendencia de Industria y Comercio</w:t>
            </w:r>
          </w:p>
          <w:p w14:paraId="105584AE" w14:textId="77777777" w:rsidR="00690FDA" w:rsidRPr="00143748" w:rsidRDefault="00690FDA" w:rsidP="00690FDA">
            <w:pPr>
              <w:jc w:val="both"/>
              <w:rPr>
                <w:rFonts w:ascii="Verdana" w:hAnsi="Verdana" w:cs="Arial"/>
                <w:i/>
                <w:color w:val="808080"/>
              </w:rPr>
            </w:pPr>
            <w:r w:rsidRPr="00143748">
              <w:rPr>
                <w:rFonts w:ascii="Verdana" w:hAnsi="Verdana" w:cs="Arial"/>
                <w:i/>
                <w:color w:val="808080"/>
              </w:rPr>
              <w:t>(Cuando los proyectos normativos tengan incidencia en la libre competencia de los mercados)</w:t>
            </w:r>
          </w:p>
          <w:p w14:paraId="3BCFC0D5" w14:textId="77777777" w:rsidR="007043E5" w:rsidRPr="00143748" w:rsidRDefault="007043E5" w:rsidP="00690FDA">
            <w:pPr>
              <w:jc w:val="both"/>
              <w:rPr>
                <w:rFonts w:ascii="Verdana" w:hAnsi="Verdana" w:cs="Arial"/>
                <w:i/>
                <w:color w:val="808080"/>
              </w:rPr>
            </w:pPr>
          </w:p>
        </w:tc>
        <w:tc>
          <w:tcPr>
            <w:tcW w:w="3119" w:type="dxa"/>
            <w:tcBorders>
              <w:top w:val="single" w:sz="4" w:space="0" w:color="auto"/>
              <w:left w:val="single" w:sz="4" w:space="0" w:color="auto"/>
              <w:bottom w:val="single" w:sz="4" w:space="0" w:color="auto"/>
            </w:tcBorders>
            <w:shd w:val="clear" w:color="auto" w:fill="FFFFFF"/>
            <w:vAlign w:val="center"/>
          </w:tcPr>
          <w:p w14:paraId="2C257902" w14:textId="77777777" w:rsidR="00690FDA" w:rsidRPr="00143748" w:rsidRDefault="00690FDA" w:rsidP="00690FDA">
            <w:pPr>
              <w:jc w:val="both"/>
              <w:rPr>
                <w:rFonts w:ascii="Verdana" w:hAnsi="Verdana" w:cs="Arial"/>
              </w:rPr>
            </w:pPr>
            <w:r w:rsidRPr="00143748">
              <w:rPr>
                <w:rFonts w:ascii="Verdana" w:hAnsi="Verdana" w:cs="Arial"/>
                <w:i/>
                <w:color w:val="808080"/>
              </w:rPr>
              <w:t>NA</w:t>
            </w:r>
          </w:p>
        </w:tc>
      </w:tr>
      <w:tr w:rsidR="00690FDA" w:rsidRPr="00143748" w14:paraId="74E3AFF7"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89711A9" w14:textId="77777777" w:rsidR="00690FDA" w:rsidRPr="00143748" w:rsidRDefault="00690FDA" w:rsidP="00690FDA">
            <w:pPr>
              <w:jc w:val="both"/>
              <w:rPr>
                <w:rFonts w:ascii="Verdana" w:hAnsi="Verdana" w:cs="Arial"/>
              </w:rPr>
            </w:pPr>
            <w:r w:rsidRPr="00143748">
              <w:rPr>
                <w:rFonts w:ascii="Verdana" w:hAnsi="Verdana" w:cs="Arial"/>
              </w:rPr>
              <w:t>Concepto de aprobación nuevos trámites del Departamento Administrativo de la Función Pública</w:t>
            </w:r>
          </w:p>
          <w:p w14:paraId="568D84A4" w14:textId="77777777" w:rsidR="007043E5" w:rsidRPr="00143748" w:rsidRDefault="00690FDA" w:rsidP="00690FDA">
            <w:pPr>
              <w:jc w:val="both"/>
              <w:rPr>
                <w:rFonts w:ascii="Verdana" w:hAnsi="Verdana" w:cs="Arial"/>
                <w:i/>
                <w:color w:val="808080"/>
              </w:rPr>
            </w:pPr>
            <w:r w:rsidRPr="00143748">
              <w:rPr>
                <w:rFonts w:ascii="Verdana" w:hAnsi="Verdana" w:cs="Arial"/>
                <w:i/>
                <w:color w:val="808080"/>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0E267859" w14:textId="77777777" w:rsidR="00690FDA" w:rsidRPr="00143748" w:rsidRDefault="00690FDA" w:rsidP="00690FDA">
            <w:pPr>
              <w:jc w:val="both"/>
              <w:rPr>
                <w:rFonts w:ascii="Verdana" w:hAnsi="Verdana" w:cs="Arial"/>
              </w:rPr>
            </w:pPr>
            <w:r w:rsidRPr="00143748">
              <w:rPr>
                <w:rFonts w:ascii="Verdana" w:hAnsi="Verdana" w:cs="Arial"/>
                <w:i/>
                <w:color w:val="808080"/>
              </w:rPr>
              <w:t>NA</w:t>
            </w:r>
          </w:p>
        </w:tc>
      </w:tr>
      <w:tr w:rsidR="00690FDA" w:rsidRPr="00143748" w14:paraId="2FDA3052"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5DE29B6D" w14:textId="77777777" w:rsidR="00792E66" w:rsidRPr="00143748" w:rsidRDefault="00792E66" w:rsidP="00690FDA">
            <w:pPr>
              <w:jc w:val="both"/>
              <w:rPr>
                <w:rFonts w:ascii="Verdana" w:hAnsi="Verdana" w:cs="Arial"/>
              </w:rPr>
            </w:pPr>
          </w:p>
          <w:p w14:paraId="597198CF" w14:textId="77777777" w:rsidR="00792E66" w:rsidRPr="00143748" w:rsidRDefault="00792E66" w:rsidP="00690FDA">
            <w:pPr>
              <w:jc w:val="both"/>
              <w:rPr>
                <w:rFonts w:ascii="Verdana" w:hAnsi="Verdana" w:cs="Arial"/>
              </w:rPr>
            </w:pPr>
          </w:p>
          <w:p w14:paraId="760032D5" w14:textId="77777777" w:rsidR="00792E66" w:rsidRPr="00143748" w:rsidRDefault="00792E66" w:rsidP="00690FDA">
            <w:pPr>
              <w:jc w:val="both"/>
              <w:rPr>
                <w:rFonts w:ascii="Verdana" w:hAnsi="Verdana" w:cs="Arial"/>
              </w:rPr>
            </w:pPr>
          </w:p>
          <w:p w14:paraId="00AB1C54" w14:textId="77777777" w:rsidR="00690FDA" w:rsidRPr="00143748" w:rsidRDefault="00690FDA" w:rsidP="00690FDA">
            <w:pPr>
              <w:jc w:val="both"/>
              <w:rPr>
                <w:rFonts w:ascii="Verdana" w:hAnsi="Verdana" w:cs="Arial"/>
              </w:rPr>
            </w:pPr>
            <w:r w:rsidRPr="00143748">
              <w:rPr>
                <w:rFonts w:ascii="Verdana" w:hAnsi="Verdana" w:cs="Arial"/>
              </w:rPr>
              <w:t xml:space="preserve">Otro </w:t>
            </w:r>
          </w:p>
          <w:p w14:paraId="3F6A7B3D" w14:textId="77777777" w:rsidR="00690FDA" w:rsidRPr="00143748" w:rsidRDefault="00690FDA" w:rsidP="00690FDA">
            <w:pPr>
              <w:jc w:val="both"/>
              <w:rPr>
                <w:rFonts w:ascii="Verdana" w:hAnsi="Verdana" w:cs="Arial"/>
              </w:rPr>
            </w:pPr>
            <w:r w:rsidRPr="00143748">
              <w:rPr>
                <w:rFonts w:ascii="Verdana" w:hAnsi="Verdana" w:cs="Arial"/>
                <w:i/>
                <w:color w:val="808080"/>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730699E4" w14:textId="77777777" w:rsidR="007043E5" w:rsidRPr="00143748" w:rsidRDefault="007043E5" w:rsidP="00690FDA">
            <w:pPr>
              <w:jc w:val="both"/>
              <w:rPr>
                <w:rFonts w:ascii="Verdana" w:hAnsi="Verdana" w:cs="Arial"/>
                <w:i/>
                <w:color w:val="808080"/>
              </w:rPr>
            </w:pPr>
          </w:p>
          <w:p w14:paraId="5F4AB71D" w14:textId="77777777" w:rsidR="007043E5" w:rsidRPr="00143748" w:rsidRDefault="007043E5" w:rsidP="00690FDA">
            <w:pPr>
              <w:jc w:val="both"/>
              <w:rPr>
                <w:rFonts w:ascii="Verdana" w:hAnsi="Verdana" w:cs="Arial"/>
                <w:i/>
                <w:color w:val="808080"/>
              </w:rPr>
            </w:pPr>
          </w:p>
          <w:p w14:paraId="505FB3F8" w14:textId="77777777" w:rsidR="007043E5" w:rsidRPr="00143748" w:rsidRDefault="007043E5" w:rsidP="00690FDA">
            <w:pPr>
              <w:jc w:val="both"/>
              <w:rPr>
                <w:rFonts w:ascii="Verdana" w:hAnsi="Verdana" w:cs="Arial"/>
                <w:i/>
                <w:color w:val="808080"/>
              </w:rPr>
            </w:pPr>
          </w:p>
          <w:p w14:paraId="0288022C" w14:textId="77777777" w:rsidR="007043E5" w:rsidRPr="00143748" w:rsidRDefault="007043E5" w:rsidP="00690FDA">
            <w:pPr>
              <w:jc w:val="both"/>
              <w:rPr>
                <w:rFonts w:ascii="Verdana" w:hAnsi="Verdana" w:cs="Arial"/>
                <w:i/>
                <w:color w:val="808080"/>
              </w:rPr>
            </w:pPr>
          </w:p>
          <w:p w14:paraId="36C7F3A1" w14:textId="77777777" w:rsidR="00690FDA" w:rsidRPr="00143748" w:rsidRDefault="007043E5" w:rsidP="007043E5">
            <w:pPr>
              <w:jc w:val="both"/>
              <w:rPr>
                <w:rFonts w:ascii="Verdana" w:hAnsi="Verdana" w:cs="Arial"/>
              </w:rPr>
            </w:pPr>
            <w:r w:rsidRPr="00143748">
              <w:rPr>
                <w:rFonts w:ascii="Verdana" w:hAnsi="Verdana" w:cs="Arial"/>
                <w:i/>
                <w:color w:val="808080"/>
              </w:rPr>
              <w:t>NA</w:t>
            </w:r>
          </w:p>
        </w:tc>
      </w:tr>
    </w:tbl>
    <w:p w14:paraId="607C998C" w14:textId="77777777" w:rsidR="008B26BF" w:rsidRPr="00143748" w:rsidRDefault="008B26BF" w:rsidP="00702554">
      <w:pPr>
        <w:ind w:right="-377"/>
        <w:jc w:val="both"/>
        <w:rPr>
          <w:rFonts w:ascii="Verdana" w:hAnsi="Verdana" w:cs="Arial"/>
          <w:b/>
        </w:rPr>
      </w:pPr>
    </w:p>
    <w:p w14:paraId="271B6EF2" w14:textId="77777777" w:rsidR="006C396F" w:rsidRPr="00143748" w:rsidRDefault="006C396F" w:rsidP="008B26BF">
      <w:pPr>
        <w:ind w:left="-1276" w:right="-377" w:firstLine="283"/>
        <w:jc w:val="both"/>
        <w:rPr>
          <w:rFonts w:ascii="Verdana" w:hAnsi="Verdana" w:cs="Arial"/>
          <w:b/>
        </w:rPr>
      </w:pPr>
    </w:p>
    <w:p w14:paraId="627C00A5" w14:textId="77777777" w:rsidR="00B16FA1" w:rsidRPr="00143748" w:rsidRDefault="000B30A6" w:rsidP="008B26BF">
      <w:pPr>
        <w:ind w:left="-1276" w:right="-377" w:firstLine="283"/>
        <w:jc w:val="both"/>
        <w:rPr>
          <w:rFonts w:ascii="Verdana" w:hAnsi="Verdana" w:cs="Arial"/>
          <w:b/>
        </w:rPr>
      </w:pPr>
      <w:r w:rsidRPr="00143748">
        <w:rPr>
          <w:rFonts w:ascii="Verdana" w:hAnsi="Verdana" w:cs="Arial"/>
          <w:b/>
        </w:rPr>
        <w:t>Aprobó</w:t>
      </w:r>
      <w:r w:rsidR="00CB4D37" w:rsidRPr="00143748">
        <w:rPr>
          <w:rFonts w:ascii="Verdana" w:hAnsi="Verdana" w:cs="Arial"/>
          <w:b/>
        </w:rPr>
        <w:t>:</w:t>
      </w:r>
    </w:p>
    <w:p w14:paraId="4A31A5C3" w14:textId="77777777" w:rsidR="00B16FA1" w:rsidRPr="00143748" w:rsidRDefault="00B16FA1" w:rsidP="00B16FA1">
      <w:pPr>
        <w:ind w:right="-377"/>
        <w:jc w:val="both"/>
        <w:rPr>
          <w:rFonts w:ascii="Verdana" w:hAnsi="Verdana" w:cs="Arial"/>
          <w:b/>
        </w:rPr>
      </w:pPr>
    </w:p>
    <w:p w14:paraId="6DB1124A" w14:textId="77777777" w:rsidR="008B26BF" w:rsidRPr="00143748" w:rsidRDefault="008B26BF" w:rsidP="00B16FA1">
      <w:pPr>
        <w:ind w:right="-377"/>
        <w:jc w:val="both"/>
        <w:rPr>
          <w:rFonts w:ascii="Verdana" w:hAnsi="Verdana" w:cs="Arial"/>
          <w:b/>
        </w:rPr>
      </w:pPr>
    </w:p>
    <w:p w14:paraId="3D1782AA" w14:textId="77777777" w:rsidR="007043E5" w:rsidRPr="00143748" w:rsidRDefault="007043E5" w:rsidP="00B16FA1">
      <w:pPr>
        <w:ind w:right="-377"/>
        <w:jc w:val="both"/>
        <w:rPr>
          <w:rFonts w:ascii="Verdana" w:hAnsi="Verdana" w:cs="Arial"/>
          <w:b/>
        </w:rPr>
      </w:pPr>
    </w:p>
    <w:p w14:paraId="49FC8F3F" w14:textId="77777777" w:rsidR="00B16FA1" w:rsidRPr="00143748" w:rsidRDefault="00B16FA1" w:rsidP="00B16FA1">
      <w:pPr>
        <w:ind w:left="-1276" w:right="-377" w:firstLine="283"/>
        <w:jc w:val="both"/>
        <w:rPr>
          <w:rFonts w:ascii="Verdana" w:hAnsi="Verdana" w:cs="Arial"/>
          <w:b/>
        </w:rPr>
      </w:pPr>
      <w:r w:rsidRPr="00143748">
        <w:rPr>
          <w:rFonts w:ascii="Verdana" w:hAnsi="Verdana" w:cs="Arial"/>
          <w:b/>
        </w:rPr>
        <w:t>_________________________                    ___________________________</w:t>
      </w:r>
    </w:p>
    <w:p w14:paraId="79103568" w14:textId="77777777" w:rsidR="00B16FA1" w:rsidRPr="00143748" w:rsidRDefault="00B16FA1" w:rsidP="00B16FA1">
      <w:pPr>
        <w:ind w:left="-851" w:right="-377" w:hanging="142"/>
        <w:rPr>
          <w:rFonts w:ascii="Verdana" w:hAnsi="Verdana" w:cs="Arial"/>
          <w:b/>
        </w:rPr>
      </w:pPr>
      <w:r w:rsidRPr="00143748">
        <w:rPr>
          <w:rFonts w:ascii="Verdana" w:hAnsi="Verdana" w:cs="Arial"/>
          <w:b/>
          <w:bCs/>
        </w:rPr>
        <w:t>NELSON ALIRI</w:t>
      </w:r>
      <w:r w:rsidR="00792E66" w:rsidRPr="00143748">
        <w:rPr>
          <w:rFonts w:ascii="Verdana" w:hAnsi="Verdana" w:cs="Arial"/>
          <w:b/>
          <w:bCs/>
        </w:rPr>
        <w:t xml:space="preserve">O MUÑOZ LEGUIZAMÓN         </w:t>
      </w:r>
      <w:r w:rsidR="00D81C9E">
        <w:rPr>
          <w:rFonts w:ascii="Verdana" w:hAnsi="Verdana" w:cs="Arial"/>
          <w:b/>
          <w:bCs/>
        </w:rPr>
        <w:t>SANDRA YANETH TIBAMOSCA VILLAMARÍN</w:t>
      </w:r>
    </w:p>
    <w:p w14:paraId="7DDDC898" w14:textId="77777777" w:rsidR="00B16FA1" w:rsidRPr="00143748" w:rsidRDefault="00B16FA1" w:rsidP="00B16FA1">
      <w:pPr>
        <w:ind w:left="-851" w:right="-377" w:hanging="142"/>
        <w:rPr>
          <w:rFonts w:ascii="Verdana" w:hAnsi="Verdana" w:cs="Arial"/>
          <w:b/>
        </w:rPr>
      </w:pPr>
      <w:r w:rsidRPr="00143748">
        <w:rPr>
          <w:rFonts w:ascii="Verdana" w:hAnsi="Verdana" w:cs="Arial"/>
          <w:bCs/>
        </w:rPr>
        <w:t xml:space="preserve">Jefe Oficina Asesora Jurídica       </w:t>
      </w:r>
      <w:r w:rsidR="00792E66" w:rsidRPr="00143748">
        <w:rPr>
          <w:rFonts w:ascii="Verdana" w:hAnsi="Verdana" w:cs="Arial"/>
          <w:bCs/>
        </w:rPr>
        <w:t xml:space="preserve">                      </w:t>
      </w:r>
      <w:r w:rsidR="00154524" w:rsidRPr="00143748">
        <w:rPr>
          <w:rFonts w:ascii="Verdana" w:hAnsi="Verdana" w:cs="Arial"/>
          <w:bCs/>
        </w:rPr>
        <w:t xml:space="preserve">Directora </w:t>
      </w:r>
      <w:r w:rsidRPr="00143748">
        <w:rPr>
          <w:rFonts w:ascii="Verdana" w:hAnsi="Verdana" w:cs="Arial"/>
          <w:bCs/>
        </w:rPr>
        <w:t>del Sistema Habitacional</w:t>
      </w:r>
    </w:p>
    <w:p w14:paraId="40656C20" w14:textId="77777777" w:rsidR="00B16FA1" w:rsidRPr="00143748" w:rsidRDefault="00B16FA1" w:rsidP="00B16FA1">
      <w:pPr>
        <w:ind w:left="-1276" w:right="-377" w:firstLine="283"/>
        <w:jc w:val="both"/>
        <w:rPr>
          <w:rFonts w:ascii="Verdana" w:hAnsi="Verdana" w:cs="Arial"/>
          <w:b/>
        </w:rPr>
      </w:pPr>
      <w:r w:rsidRPr="00143748">
        <w:rPr>
          <w:rFonts w:ascii="Verdana" w:hAnsi="Verdana" w:cs="Arial"/>
          <w:bCs/>
        </w:rPr>
        <w:t>Ministerio de Vivienda, Ciudad y Territorio</w:t>
      </w:r>
      <w:r w:rsidR="00792E66" w:rsidRPr="00143748">
        <w:rPr>
          <w:rFonts w:ascii="Verdana" w:hAnsi="Verdana" w:cs="Arial"/>
          <w:bCs/>
        </w:rPr>
        <w:t xml:space="preserve">         </w:t>
      </w:r>
      <w:r w:rsidRPr="00143748">
        <w:rPr>
          <w:rFonts w:ascii="Verdana" w:hAnsi="Verdana" w:cs="Arial"/>
          <w:bCs/>
        </w:rPr>
        <w:t>Ministerio de Vivienda, Ciudad y Territorio</w:t>
      </w:r>
    </w:p>
    <w:p w14:paraId="0DF1D9AD" w14:textId="77777777" w:rsidR="006779DA" w:rsidRPr="00143748" w:rsidRDefault="006779DA" w:rsidP="00690FDA">
      <w:pPr>
        <w:pStyle w:val="Listavistosa-nfasis11"/>
        <w:ind w:left="0"/>
        <w:rPr>
          <w:rFonts w:ascii="Verdana" w:hAnsi="Verdana" w:cs="Arial"/>
          <w:b/>
          <w:sz w:val="20"/>
          <w:szCs w:val="20"/>
        </w:rPr>
      </w:pPr>
    </w:p>
    <w:p w14:paraId="1238715B" w14:textId="77777777" w:rsidR="00B16FA1" w:rsidRPr="00143748" w:rsidRDefault="00B16FA1" w:rsidP="00690FDA">
      <w:pPr>
        <w:pStyle w:val="Listavistosa-nfasis11"/>
        <w:ind w:left="0"/>
        <w:rPr>
          <w:rFonts w:ascii="Verdana" w:hAnsi="Verdana" w:cs="Arial"/>
          <w:b/>
          <w:sz w:val="20"/>
          <w:szCs w:val="20"/>
        </w:rPr>
      </w:pPr>
    </w:p>
    <w:p w14:paraId="1A6169AE" w14:textId="77777777" w:rsidR="00B16FA1" w:rsidRPr="00143748" w:rsidRDefault="00B16FA1" w:rsidP="00B16FA1">
      <w:pPr>
        <w:pStyle w:val="Listavistosa-nfasis11"/>
        <w:spacing w:after="0" w:line="240" w:lineRule="auto"/>
        <w:ind w:left="0"/>
        <w:rPr>
          <w:rFonts w:ascii="Verdana" w:hAnsi="Verdana" w:cs="Arial"/>
          <w:b/>
          <w:sz w:val="20"/>
          <w:szCs w:val="20"/>
        </w:rPr>
      </w:pPr>
      <w:r w:rsidRPr="00143748">
        <w:rPr>
          <w:rFonts w:ascii="Verdana" w:hAnsi="Verdana" w:cs="Arial"/>
          <w:b/>
          <w:bCs/>
          <w:sz w:val="20"/>
          <w:szCs w:val="20"/>
        </w:rPr>
        <w:t xml:space="preserve">  </w:t>
      </w:r>
    </w:p>
    <w:p w14:paraId="262005D7" w14:textId="77777777" w:rsidR="00B16FA1" w:rsidRPr="00143748" w:rsidRDefault="00B16FA1" w:rsidP="00B16FA1">
      <w:pPr>
        <w:pStyle w:val="Listavistosa-nfasis11"/>
        <w:ind w:left="-993" w:firstLine="993"/>
        <w:rPr>
          <w:rFonts w:ascii="Verdana" w:hAnsi="Verdana" w:cs="Arial"/>
          <w:b/>
          <w:sz w:val="20"/>
          <w:szCs w:val="20"/>
        </w:rPr>
      </w:pPr>
    </w:p>
    <w:sectPr w:rsidR="00B16FA1" w:rsidRPr="00143748" w:rsidSect="006C60FC">
      <w:headerReference w:type="default" r:id="rId15"/>
      <w:footerReference w:type="default" r:id="rId16"/>
      <w:headerReference w:type="first" r:id="rId17"/>
      <w:type w:val="continuous"/>
      <w:pgSz w:w="12240" w:h="15840" w:code="1"/>
      <w:pgMar w:top="1417" w:right="1701" w:bottom="1417" w:left="1701" w:header="57"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4C794" w14:textId="77777777" w:rsidR="00B779CC" w:rsidRDefault="00B779CC">
      <w:r>
        <w:separator/>
      </w:r>
    </w:p>
  </w:endnote>
  <w:endnote w:type="continuationSeparator" w:id="0">
    <w:p w14:paraId="5022DA3B" w14:textId="77777777" w:rsidR="00B779CC" w:rsidRDefault="00B7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variable"/>
    <w:sig w:usb0="E0002AFF" w:usb1="C0007843" w:usb2="00000009" w:usb3="00000000" w:csb0="000001FF" w:csb1="00000000"/>
  </w:font>
  <w:font w:name="Helvetica-Light">
    <w:altName w:val="Helvetica"/>
    <w:panose1 w:val="00000000000000000000"/>
    <w:charset w:val="00"/>
    <w:family w:val="swiss"/>
    <w:notTrueType/>
    <w:pitch w:val="default"/>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7429" w14:textId="7332CC54" w:rsidR="00F600DB" w:rsidRPr="00F600DB" w:rsidRDefault="00F600DB">
    <w:pPr>
      <w:pStyle w:val="Piedepgina"/>
      <w:jc w:val="right"/>
      <w:rPr>
        <w:sz w:val="16"/>
        <w:szCs w:val="16"/>
      </w:rPr>
    </w:pPr>
    <w:r w:rsidRPr="00F600DB">
      <w:rPr>
        <w:sz w:val="16"/>
        <w:szCs w:val="16"/>
      </w:rPr>
      <w:t xml:space="preserve">Página </w:t>
    </w:r>
    <w:r w:rsidRPr="00F600DB">
      <w:rPr>
        <w:b/>
        <w:bCs/>
        <w:sz w:val="16"/>
        <w:szCs w:val="16"/>
      </w:rPr>
      <w:fldChar w:fldCharType="begin"/>
    </w:r>
    <w:r w:rsidRPr="00F600DB">
      <w:rPr>
        <w:b/>
        <w:bCs/>
        <w:sz w:val="16"/>
        <w:szCs w:val="16"/>
      </w:rPr>
      <w:instrText>PAGE</w:instrText>
    </w:r>
    <w:r w:rsidRPr="00F600DB">
      <w:rPr>
        <w:b/>
        <w:bCs/>
        <w:sz w:val="16"/>
        <w:szCs w:val="16"/>
      </w:rPr>
      <w:fldChar w:fldCharType="separate"/>
    </w:r>
    <w:r w:rsidR="00B926C5">
      <w:rPr>
        <w:b/>
        <w:bCs/>
        <w:noProof/>
        <w:sz w:val="16"/>
        <w:szCs w:val="16"/>
      </w:rPr>
      <w:t>4</w:t>
    </w:r>
    <w:r w:rsidRPr="00F600DB">
      <w:rPr>
        <w:b/>
        <w:bCs/>
        <w:sz w:val="16"/>
        <w:szCs w:val="16"/>
      </w:rPr>
      <w:fldChar w:fldCharType="end"/>
    </w:r>
    <w:r w:rsidRPr="00F600DB">
      <w:rPr>
        <w:sz w:val="16"/>
        <w:szCs w:val="16"/>
      </w:rPr>
      <w:t xml:space="preserve"> de </w:t>
    </w:r>
    <w:r w:rsidRPr="00F600DB">
      <w:rPr>
        <w:b/>
        <w:bCs/>
        <w:sz w:val="16"/>
        <w:szCs w:val="16"/>
      </w:rPr>
      <w:fldChar w:fldCharType="begin"/>
    </w:r>
    <w:r w:rsidRPr="00F600DB">
      <w:rPr>
        <w:b/>
        <w:bCs/>
        <w:sz w:val="16"/>
        <w:szCs w:val="16"/>
      </w:rPr>
      <w:instrText>NUMPAGES</w:instrText>
    </w:r>
    <w:r w:rsidRPr="00F600DB">
      <w:rPr>
        <w:b/>
        <w:bCs/>
        <w:sz w:val="16"/>
        <w:szCs w:val="16"/>
      </w:rPr>
      <w:fldChar w:fldCharType="separate"/>
    </w:r>
    <w:r w:rsidR="00B926C5">
      <w:rPr>
        <w:b/>
        <w:bCs/>
        <w:noProof/>
        <w:sz w:val="16"/>
        <w:szCs w:val="16"/>
      </w:rPr>
      <w:t>5</w:t>
    </w:r>
    <w:r w:rsidRPr="00F600DB">
      <w:rPr>
        <w:b/>
        <w:bCs/>
        <w:sz w:val="16"/>
        <w:szCs w:val="16"/>
      </w:rPr>
      <w:fldChar w:fldCharType="end"/>
    </w:r>
  </w:p>
  <w:p w14:paraId="19B83B9D" w14:textId="77777777" w:rsidR="00F07A7D" w:rsidRPr="0084294E" w:rsidRDefault="00F07A7D"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F4B0B" w14:textId="77777777" w:rsidR="00B779CC" w:rsidRDefault="00B779CC">
      <w:r>
        <w:separator/>
      </w:r>
    </w:p>
  </w:footnote>
  <w:footnote w:type="continuationSeparator" w:id="0">
    <w:p w14:paraId="0179B170" w14:textId="77777777" w:rsidR="00B779CC" w:rsidRDefault="00B779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D2D1" w14:textId="77777777" w:rsidR="00F07A7D" w:rsidRDefault="00F07A7D">
    <w:pPr>
      <w:pStyle w:val="Encabezado"/>
    </w:pPr>
  </w:p>
  <w:p w14:paraId="532184F9" w14:textId="42F2ABBD" w:rsidR="00D57A9F" w:rsidRDefault="00106B8F" w:rsidP="00D57A9F">
    <w:pPr>
      <w:pStyle w:val="Encabezado"/>
      <w:rPr>
        <w:noProof/>
      </w:rPr>
    </w:pPr>
    <w:r>
      <w:rPr>
        <w:noProof/>
        <w:lang w:val="en-US" w:eastAsia="en-US"/>
      </w:rPr>
      <w:drawing>
        <wp:anchor distT="0" distB="0" distL="114300" distR="114300" simplePos="0" relativeHeight="251659264" behindDoc="0" locked="0" layoutInCell="1" allowOverlap="1" wp14:anchorId="5D9081EE" wp14:editId="146006D4">
          <wp:simplePos x="0" y="0"/>
          <wp:positionH relativeFrom="page">
            <wp:posOffset>5080</wp:posOffset>
          </wp:positionH>
          <wp:positionV relativeFrom="paragraph">
            <wp:posOffset>-311785</wp:posOffset>
          </wp:positionV>
          <wp:extent cx="7767320" cy="997585"/>
          <wp:effectExtent l="0" t="0" r="0" b="0"/>
          <wp:wrapNone/>
          <wp:docPr id="11" name="Imagen 134257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2577239"/>
                  <pic:cNvPicPr>
                    <a:picLocks noChangeAspect="1" noChangeArrowheads="1"/>
                  </pic:cNvPicPr>
                </pic:nvPicPr>
                <pic:blipFill>
                  <a:blip r:embed="rId1">
                    <a:extLst>
                      <a:ext uri="{28A0092B-C50C-407E-A947-70E740481C1C}">
                        <a14:useLocalDpi xmlns:a14="http://schemas.microsoft.com/office/drawing/2010/main" val="0"/>
                      </a:ext>
                    </a:extLst>
                  </a:blip>
                  <a:srcRect b="90070"/>
                  <a:stretch>
                    <a:fillRect/>
                  </a:stretch>
                </pic:blipFill>
                <pic:spPr bwMode="auto">
                  <a:xfrm>
                    <a:off x="0" y="0"/>
                    <a:ext cx="7767320" cy="997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7379F" w14:textId="77777777" w:rsidR="00D57A9F" w:rsidRDefault="00D57A9F" w:rsidP="00D57A9F">
    <w:pPr>
      <w:pStyle w:val="Encabezado"/>
      <w:rPr>
        <w:noProof/>
      </w:rPr>
    </w:pPr>
  </w:p>
  <w:p w14:paraId="721DAF91" w14:textId="77777777" w:rsidR="00D57A9F" w:rsidRDefault="00D57A9F" w:rsidP="00D57A9F">
    <w:pPr>
      <w:pStyle w:val="Encabezado"/>
      <w:rPr>
        <w:noProof/>
      </w:rPr>
    </w:pPr>
  </w:p>
  <w:p w14:paraId="77E54196" w14:textId="171A6A24" w:rsidR="00D57A9F" w:rsidRDefault="00106B8F" w:rsidP="00D57A9F">
    <w:pPr>
      <w:pStyle w:val="TableParagraph"/>
      <w:spacing w:before="89" w:line="237" w:lineRule="auto"/>
      <w:ind w:right="57"/>
      <w:jc w:val="center"/>
      <w:rPr>
        <w:rFonts w:ascii="Verdana" w:hAnsi="Verdana"/>
        <w:bCs/>
        <w:spacing w:val="-1"/>
      </w:rPr>
    </w:pPr>
    <w:r>
      <w:rPr>
        <w:noProof/>
        <w:lang w:val="en-US"/>
      </w:rPr>
      <mc:AlternateContent>
        <mc:Choice Requires="wps">
          <w:drawing>
            <wp:anchor distT="4294967295" distB="4294967295" distL="114300" distR="114300" simplePos="0" relativeHeight="251658240" behindDoc="0" locked="0" layoutInCell="1" allowOverlap="1" wp14:anchorId="0BD56A12" wp14:editId="7A39D12B">
              <wp:simplePos x="0" y="0"/>
              <wp:positionH relativeFrom="column">
                <wp:posOffset>-118110</wp:posOffset>
              </wp:positionH>
              <wp:positionV relativeFrom="paragraph">
                <wp:posOffset>266699</wp:posOffset>
              </wp:positionV>
              <wp:extent cx="5937885" cy="0"/>
              <wp:effectExtent l="0" t="0" r="0" b="0"/>
              <wp:wrapNone/>
              <wp:docPr id="206315489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7791B4" id="Conector recto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21pt" to="45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" strokecolor="windowText" strokeweight=".5pt">
              <v:stroke joinstyle="miter"/>
              <o:lock v:ext="edit" shapetype="f"/>
            </v:line>
          </w:pict>
        </mc:Fallback>
      </mc:AlternateContent>
    </w:r>
  </w:p>
  <w:p w14:paraId="311217B2" w14:textId="77777777" w:rsidR="00D57A9F" w:rsidRPr="00A34631" w:rsidRDefault="00D57A9F" w:rsidP="00D57A9F">
    <w:pPr>
      <w:pStyle w:val="TableParagraph"/>
      <w:spacing w:before="89" w:line="237" w:lineRule="auto"/>
      <w:ind w:right="57"/>
      <w:jc w:val="center"/>
      <w:rPr>
        <w:rFonts w:ascii="Verdana" w:eastAsia="Times New Roman" w:hAnsi="Verdana" w:cs="Times New Roman"/>
        <w:lang w:val="es-CO" w:eastAsia="es-ES"/>
      </w:rPr>
    </w:pPr>
    <w:r>
      <w:rPr>
        <w:rFonts w:ascii="Verdana" w:hAnsi="Verdana"/>
        <w:bCs/>
        <w:spacing w:val="-1"/>
      </w:rPr>
      <w:t xml:space="preserve">FORMATO: </w:t>
    </w:r>
    <w:r w:rsidRPr="006512F3">
      <w:rPr>
        <w:rFonts w:ascii="Verdana" w:hAnsi="Verdana"/>
        <w:bCs/>
        <w:spacing w:val="-1"/>
      </w:rPr>
      <w:t>MEMORIA JUSTIFICATIVA</w:t>
    </w:r>
  </w:p>
  <w:p w14:paraId="1E23D96A" w14:textId="77777777" w:rsidR="00D57A9F" w:rsidRPr="00A34631" w:rsidRDefault="00D57A9F" w:rsidP="00D57A9F">
    <w:pPr>
      <w:widowControl w:val="0"/>
      <w:autoSpaceDE w:val="0"/>
      <w:autoSpaceDN w:val="0"/>
      <w:ind w:left="118"/>
      <w:jc w:val="center"/>
      <w:rPr>
        <w:rFonts w:ascii="Verdana" w:hAnsi="Verdana"/>
        <w:sz w:val="22"/>
        <w:szCs w:val="22"/>
      </w:rPr>
    </w:pPr>
    <w:r w:rsidRPr="00A34631">
      <w:rPr>
        <w:rFonts w:ascii="Verdana" w:hAnsi="Verdana"/>
        <w:sz w:val="22"/>
        <w:szCs w:val="22"/>
      </w:rPr>
      <w:t>PROCESO: GESTIÓN A LA POLÍTICA</w:t>
    </w:r>
    <w:r w:rsidRPr="00A34631">
      <w:rPr>
        <w:rFonts w:ascii="Verdana" w:hAnsi="Verdana"/>
        <w:spacing w:val="1"/>
        <w:sz w:val="22"/>
        <w:szCs w:val="22"/>
      </w:rPr>
      <w:t xml:space="preserve"> </w:t>
    </w:r>
    <w:r w:rsidRPr="00A34631">
      <w:rPr>
        <w:rFonts w:ascii="Verdana" w:hAnsi="Verdana"/>
        <w:sz w:val="22"/>
        <w:szCs w:val="22"/>
      </w:rPr>
      <w:t>DE</w:t>
    </w:r>
    <w:r w:rsidRPr="00A34631">
      <w:rPr>
        <w:rFonts w:ascii="Verdana" w:hAnsi="Verdana"/>
        <w:spacing w:val="1"/>
        <w:sz w:val="22"/>
        <w:szCs w:val="22"/>
      </w:rPr>
      <w:t xml:space="preserve"> </w:t>
    </w:r>
    <w:r w:rsidR="000026E7">
      <w:rPr>
        <w:rFonts w:ascii="Verdana" w:hAnsi="Verdana"/>
        <w:spacing w:val="1"/>
        <w:sz w:val="22"/>
        <w:szCs w:val="22"/>
      </w:rPr>
      <w:t>VIVIENDA</w:t>
    </w:r>
  </w:p>
  <w:p w14:paraId="60587180" w14:textId="77777777" w:rsidR="00D57A9F" w:rsidRPr="006512F3" w:rsidRDefault="00D57A9F" w:rsidP="00D57A9F">
    <w:pPr>
      <w:widowControl w:val="0"/>
      <w:autoSpaceDE w:val="0"/>
      <w:autoSpaceDN w:val="0"/>
      <w:ind w:left="118"/>
      <w:jc w:val="center"/>
      <w:rPr>
        <w:rFonts w:ascii="Verdana" w:hAnsi="Verdana"/>
        <w:sz w:val="22"/>
        <w:szCs w:val="22"/>
      </w:rPr>
    </w:pPr>
    <w:r w:rsidRPr="00A10576">
      <w:rPr>
        <w:rFonts w:ascii="Verdana" w:hAnsi="Verdana"/>
        <w:sz w:val="22"/>
        <w:szCs w:val="22"/>
      </w:rPr>
      <w:t>Versión: 6.0, Fecha: 0</w:t>
    </w:r>
    <w:r w:rsidR="000026E7" w:rsidRPr="00A10576">
      <w:rPr>
        <w:rFonts w:ascii="Verdana" w:hAnsi="Verdana"/>
        <w:sz w:val="22"/>
        <w:szCs w:val="22"/>
      </w:rPr>
      <w:t>5</w:t>
    </w:r>
    <w:r w:rsidRPr="00A10576">
      <w:rPr>
        <w:rFonts w:ascii="Verdana" w:hAnsi="Verdana"/>
        <w:sz w:val="22"/>
        <w:szCs w:val="22"/>
      </w:rPr>
      <w:t>/06/2023, Código</w:t>
    </w:r>
    <w:r w:rsidRPr="00A34631">
      <w:rPr>
        <w:rFonts w:ascii="Verdana" w:hAnsi="Verdana"/>
        <w:sz w:val="22"/>
        <w:szCs w:val="22"/>
      </w:rPr>
      <w:t xml:space="preserve">: </w:t>
    </w:r>
    <w:r w:rsidRPr="006512F3">
      <w:rPr>
        <w:rFonts w:ascii="Verdana" w:hAnsi="Verdana"/>
        <w:sz w:val="22"/>
        <w:szCs w:val="22"/>
      </w:rPr>
      <w:t>GP</w:t>
    </w:r>
    <w:r w:rsidR="000026E7">
      <w:rPr>
        <w:rFonts w:ascii="Verdana" w:hAnsi="Verdana"/>
        <w:sz w:val="22"/>
        <w:szCs w:val="22"/>
      </w:rPr>
      <w:t>V</w:t>
    </w:r>
    <w:r w:rsidRPr="006512F3">
      <w:rPr>
        <w:rFonts w:ascii="Verdana" w:hAnsi="Verdana"/>
        <w:sz w:val="22"/>
        <w:szCs w:val="22"/>
      </w:rPr>
      <w:t>-F-1</w:t>
    </w:r>
    <w:r w:rsidR="000026E7">
      <w:rPr>
        <w:rFonts w:ascii="Verdana" w:hAnsi="Verdana"/>
        <w:sz w:val="22"/>
        <w:szCs w:val="22"/>
      </w:rPr>
      <w:t>9</w:t>
    </w:r>
  </w:p>
  <w:p w14:paraId="3C072BF8" w14:textId="77777777" w:rsidR="00F07A7D" w:rsidRDefault="00E570F8" w:rsidP="00E570F8">
    <w:pPr>
      <w:pStyle w:val="Encabezado"/>
      <w:tabs>
        <w:tab w:val="clear" w:pos="4252"/>
        <w:tab w:val="clear" w:pos="8504"/>
        <w:tab w:val="center" w:pos="4394"/>
      </w:tabs>
      <w:ind w:left="-1701" w:right="-1652"/>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1F230" w14:textId="406F2DAC" w:rsidR="006512F3" w:rsidRDefault="00106B8F" w:rsidP="006512F3">
    <w:pPr>
      <w:pStyle w:val="Encabezado"/>
      <w:rPr>
        <w:noProof/>
      </w:rPr>
    </w:pPr>
    <w:r>
      <w:rPr>
        <w:noProof/>
        <w:lang w:val="en-US" w:eastAsia="en-US"/>
      </w:rPr>
      <w:drawing>
        <wp:anchor distT="0" distB="0" distL="114300" distR="114300" simplePos="0" relativeHeight="251657216" behindDoc="0" locked="0" layoutInCell="1" allowOverlap="1" wp14:anchorId="1552E984" wp14:editId="667F65BF">
          <wp:simplePos x="0" y="0"/>
          <wp:positionH relativeFrom="page">
            <wp:posOffset>5080</wp:posOffset>
          </wp:positionH>
          <wp:positionV relativeFrom="paragraph">
            <wp:posOffset>-311785</wp:posOffset>
          </wp:positionV>
          <wp:extent cx="7767320" cy="997585"/>
          <wp:effectExtent l="0" t="0" r="0" b="0"/>
          <wp:wrapNone/>
          <wp:docPr id="9" name="Imagen 134257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2577239"/>
                  <pic:cNvPicPr>
                    <a:picLocks noChangeAspect="1" noChangeArrowheads="1"/>
                  </pic:cNvPicPr>
                </pic:nvPicPr>
                <pic:blipFill>
                  <a:blip r:embed="rId1">
                    <a:extLst>
                      <a:ext uri="{28A0092B-C50C-407E-A947-70E740481C1C}">
                        <a14:useLocalDpi xmlns:a14="http://schemas.microsoft.com/office/drawing/2010/main" val="0"/>
                      </a:ext>
                    </a:extLst>
                  </a:blip>
                  <a:srcRect b="90070"/>
                  <a:stretch>
                    <a:fillRect/>
                  </a:stretch>
                </pic:blipFill>
                <pic:spPr bwMode="auto">
                  <a:xfrm>
                    <a:off x="0" y="0"/>
                    <a:ext cx="7767320" cy="997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D4CC97" w14:textId="77777777" w:rsidR="006512F3" w:rsidRDefault="006512F3" w:rsidP="006512F3">
    <w:pPr>
      <w:pStyle w:val="Encabezado"/>
      <w:rPr>
        <w:noProof/>
      </w:rPr>
    </w:pPr>
  </w:p>
  <w:p w14:paraId="23B99CB1" w14:textId="77777777" w:rsidR="006512F3" w:rsidRDefault="006512F3" w:rsidP="006512F3">
    <w:pPr>
      <w:pStyle w:val="Encabezado"/>
      <w:rPr>
        <w:noProof/>
      </w:rPr>
    </w:pPr>
  </w:p>
  <w:p w14:paraId="22BCF1FE" w14:textId="49A3346D" w:rsidR="006512F3" w:rsidRDefault="00106B8F" w:rsidP="006512F3">
    <w:pPr>
      <w:pStyle w:val="TableParagraph"/>
      <w:spacing w:before="89" w:line="237" w:lineRule="auto"/>
      <w:ind w:right="57"/>
      <w:jc w:val="center"/>
      <w:rPr>
        <w:rFonts w:ascii="Verdana" w:hAnsi="Verdana"/>
        <w:bCs/>
        <w:spacing w:val="-1"/>
      </w:rPr>
    </w:pPr>
    <w:r>
      <w:rPr>
        <w:noProof/>
        <w:lang w:val="en-US"/>
      </w:rPr>
      <mc:AlternateContent>
        <mc:Choice Requires="wps">
          <w:drawing>
            <wp:anchor distT="4294967295" distB="4294967295" distL="114300" distR="114300" simplePos="0" relativeHeight="251656192" behindDoc="0" locked="0" layoutInCell="1" allowOverlap="1" wp14:anchorId="28D5308A" wp14:editId="59E1E1E0">
              <wp:simplePos x="0" y="0"/>
              <wp:positionH relativeFrom="column">
                <wp:posOffset>-118110</wp:posOffset>
              </wp:positionH>
              <wp:positionV relativeFrom="paragraph">
                <wp:posOffset>266699</wp:posOffset>
              </wp:positionV>
              <wp:extent cx="5937885" cy="0"/>
              <wp:effectExtent l="0" t="0" r="0" b="0"/>
              <wp:wrapNone/>
              <wp:docPr id="204249383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BD5D24" id="Conector recto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21pt" to="45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" strokecolor="windowText" strokeweight=".5pt">
              <v:stroke joinstyle="miter"/>
              <o:lock v:ext="edit" shapetype="f"/>
            </v:line>
          </w:pict>
        </mc:Fallback>
      </mc:AlternateContent>
    </w:r>
  </w:p>
  <w:p w14:paraId="459C5FE2" w14:textId="77777777" w:rsidR="006512F3" w:rsidRPr="00A34631" w:rsidRDefault="006512F3" w:rsidP="006512F3">
    <w:pPr>
      <w:pStyle w:val="TableParagraph"/>
      <w:spacing w:before="89" w:line="237" w:lineRule="auto"/>
      <w:ind w:right="57"/>
      <w:jc w:val="center"/>
      <w:rPr>
        <w:rFonts w:ascii="Verdana" w:eastAsia="Times New Roman" w:hAnsi="Verdana" w:cs="Times New Roman"/>
        <w:lang w:val="es-CO" w:eastAsia="es-ES"/>
      </w:rPr>
    </w:pPr>
    <w:r>
      <w:rPr>
        <w:rFonts w:ascii="Verdana" w:hAnsi="Verdana"/>
        <w:bCs/>
        <w:spacing w:val="-1"/>
      </w:rPr>
      <w:t xml:space="preserve">FORMATO: </w:t>
    </w:r>
    <w:r w:rsidRPr="006512F3">
      <w:rPr>
        <w:rFonts w:ascii="Verdana" w:hAnsi="Verdana"/>
        <w:bCs/>
        <w:spacing w:val="-1"/>
      </w:rPr>
      <w:t>MEMORIA JUSTIFICATIVA</w:t>
    </w:r>
  </w:p>
  <w:p w14:paraId="1B174D4D" w14:textId="77777777" w:rsidR="006512F3" w:rsidRPr="00A34631" w:rsidRDefault="006512F3" w:rsidP="006512F3">
    <w:pPr>
      <w:widowControl w:val="0"/>
      <w:autoSpaceDE w:val="0"/>
      <w:autoSpaceDN w:val="0"/>
      <w:ind w:left="118"/>
      <w:jc w:val="center"/>
      <w:rPr>
        <w:rFonts w:ascii="Verdana" w:hAnsi="Verdana"/>
        <w:sz w:val="22"/>
        <w:szCs w:val="22"/>
      </w:rPr>
    </w:pPr>
    <w:r w:rsidRPr="00A34631">
      <w:rPr>
        <w:rFonts w:ascii="Verdana" w:hAnsi="Verdana"/>
        <w:sz w:val="22"/>
        <w:szCs w:val="22"/>
      </w:rPr>
      <w:t>PROCESO: GESTIÓN A LA POLÍTICA</w:t>
    </w:r>
    <w:r w:rsidRPr="00A34631">
      <w:rPr>
        <w:rFonts w:ascii="Verdana" w:hAnsi="Verdana"/>
        <w:spacing w:val="1"/>
        <w:sz w:val="22"/>
        <w:szCs w:val="22"/>
      </w:rPr>
      <w:t xml:space="preserve"> </w:t>
    </w:r>
    <w:r w:rsidRPr="00A34631">
      <w:rPr>
        <w:rFonts w:ascii="Verdana" w:hAnsi="Verdana"/>
        <w:sz w:val="22"/>
        <w:szCs w:val="22"/>
      </w:rPr>
      <w:t>DE</w:t>
    </w:r>
    <w:r w:rsidRPr="00A34631">
      <w:rPr>
        <w:rFonts w:ascii="Verdana" w:hAnsi="Verdana"/>
        <w:spacing w:val="1"/>
        <w:sz w:val="22"/>
        <w:szCs w:val="22"/>
      </w:rPr>
      <w:t xml:space="preserve"> </w:t>
    </w:r>
    <w:r w:rsidR="000026E7">
      <w:rPr>
        <w:rFonts w:ascii="Verdana" w:hAnsi="Verdana"/>
        <w:spacing w:val="1"/>
        <w:sz w:val="22"/>
        <w:szCs w:val="22"/>
      </w:rPr>
      <w:t>VIVIENDA</w:t>
    </w:r>
  </w:p>
  <w:p w14:paraId="67FD4189" w14:textId="77777777" w:rsidR="00CF266A" w:rsidRPr="006512F3" w:rsidRDefault="006512F3" w:rsidP="006512F3">
    <w:pPr>
      <w:widowControl w:val="0"/>
      <w:autoSpaceDE w:val="0"/>
      <w:autoSpaceDN w:val="0"/>
      <w:ind w:left="118"/>
      <w:jc w:val="center"/>
      <w:rPr>
        <w:rFonts w:ascii="Verdana" w:hAnsi="Verdana"/>
        <w:sz w:val="22"/>
        <w:szCs w:val="22"/>
      </w:rPr>
    </w:pPr>
    <w:r w:rsidRPr="00C254DA">
      <w:rPr>
        <w:rFonts w:ascii="Verdana" w:hAnsi="Verdana"/>
        <w:sz w:val="22"/>
        <w:szCs w:val="22"/>
      </w:rPr>
      <w:t xml:space="preserve">Versión: </w:t>
    </w:r>
    <w:r w:rsidR="000026E7" w:rsidRPr="00C254DA">
      <w:rPr>
        <w:rFonts w:ascii="Verdana" w:hAnsi="Verdana"/>
        <w:sz w:val="22"/>
        <w:szCs w:val="22"/>
      </w:rPr>
      <w:t>6.</w:t>
    </w:r>
    <w:r w:rsidRPr="00C254DA">
      <w:rPr>
        <w:rFonts w:ascii="Verdana" w:hAnsi="Verdana"/>
        <w:sz w:val="22"/>
        <w:szCs w:val="22"/>
      </w:rPr>
      <w:t>0, Fecha: 0</w:t>
    </w:r>
    <w:r w:rsidR="000026E7" w:rsidRPr="00C254DA">
      <w:rPr>
        <w:rFonts w:ascii="Verdana" w:hAnsi="Verdana"/>
        <w:sz w:val="22"/>
        <w:szCs w:val="22"/>
      </w:rPr>
      <w:t>5</w:t>
    </w:r>
    <w:r w:rsidRPr="00C254DA">
      <w:rPr>
        <w:rFonts w:ascii="Verdana" w:hAnsi="Verdana"/>
        <w:sz w:val="22"/>
        <w:szCs w:val="22"/>
      </w:rPr>
      <w:t>/06/2023, Código:</w:t>
    </w:r>
    <w:r w:rsidRPr="00A34631">
      <w:rPr>
        <w:rFonts w:ascii="Verdana" w:hAnsi="Verdana"/>
        <w:sz w:val="22"/>
        <w:szCs w:val="22"/>
      </w:rPr>
      <w:t xml:space="preserve"> </w:t>
    </w:r>
    <w:r w:rsidRPr="006512F3">
      <w:rPr>
        <w:rFonts w:ascii="Verdana" w:hAnsi="Verdana"/>
        <w:sz w:val="22"/>
        <w:szCs w:val="22"/>
      </w:rPr>
      <w:t>GP</w:t>
    </w:r>
    <w:r w:rsidR="000026E7">
      <w:rPr>
        <w:rFonts w:ascii="Verdana" w:hAnsi="Verdana"/>
        <w:sz w:val="22"/>
        <w:szCs w:val="22"/>
      </w:rPr>
      <w:t>V</w:t>
    </w:r>
    <w:r w:rsidRPr="006512F3">
      <w:rPr>
        <w:rFonts w:ascii="Verdana" w:hAnsi="Verdana"/>
        <w:sz w:val="22"/>
        <w:szCs w:val="22"/>
      </w:rPr>
      <w:t>-F-1</w:t>
    </w:r>
    <w:r w:rsidR="000026E7">
      <w:rPr>
        <w:rFonts w:ascii="Verdana" w:hAnsi="Verdana"/>
        <w:sz w:val="22"/>
        <w:szCs w:val="22"/>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8D575C"/>
    <w:multiLevelType w:val="hybridMultilevel"/>
    <w:tmpl w:val="F0904962"/>
    <w:lvl w:ilvl="0" w:tplc="9976B6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CF0E08"/>
    <w:multiLevelType w:val="hybridMultilevel"/>
    <w:tmpl w:val="F246FFB6"/>
    <w:lvl w:ilvl="0" w:tplc="768C6A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A33A04"/>
    <w:multiLevelType w:val="hybridMultilevel"/>
    <w:tmpl w:val="F246FFB6"/>
    <w:lvl w:ilvl="0" w:tplc="768C6A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7"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3"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6"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7"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9"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3"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8"/>
  </w:num>
  <w:num w:numId="5">
    <w:abstractNumId w:val="16"/>
  </w:num>
  <w:num w:numId="6">
    <w:abstractNumId w:val="33"/>
  </w:num>
  <w:num w:numId="7">
    <w:abstractNumId w:val="9"/>
  </w:num>
  <w:num w:numId="8">
    <w:abstractNumId w:val="17"/>
  </w:num>
  <w:num w:numId="9">
    <w:abstractNumId w:val="6"/>
  </w:num>
  <w:num w:numId="10">
    <w:abstractNumId w:val="23"/>
  </w:num>
  <w:num w:numId="11">
    <w:abstractNumId w:val="13"/>
  </w:num>
  <w:num w:numId="12">
    <w:abstractNumId w:val="34"/>
  </w:num>
  <w:num w:numId="13">
    <w:abstractNumId w:val="40"/>
  </w:num>
  <w:num w:numId="14">
    <w:abstractNumId w:val="41"/>
  </w:num>
  <w:num w:numId="15">
    <w:abstractNumId w:val="1"/>
  </w:num>
  <w:num w:numId="16">
    <w:abstractNumId w:val="24"/>
  </w:num>
  <w:num w:numId="17">
    <w:abstractNumId w:val="4"/>
  </w:num>
  <w:num w:numId="18">
    <w:abstractNumId w:val="26"/>
  </w:num>
  <w:num w:numId="19">
    <w:abstractNumId w:val="29"/>
  </w:num>
  <w:num w:numId="20">
    <w:abstractNumId w:val="0"/>
  </w:num>
  <w:num w:numId="21">
    <w:abstractNumId w:val="10"/>
  </w:num>
  <w:num w:numId="22">
    <w:abstractNumId w:val="19"/>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1"/>
  </w:num>
  <w:num w:numId="26">
    <w:abstractNumId w:val="31"/>
  </w:num>
  <w:num w:numId="27">
    <w:abstractNumId w:val="28"/>
  </w:num>
  <w:num w:numId="28">
    <w:abstractNumId w:val="42"/>
  </w:num>
  <w:num w:numId="29">
    <w:abstractNumId w:val="1"/>
  </w:num>
  <w:num w:numId="30">
    <w:abstractNumId w:val="44"/>
  </w:num>
  <w:num w:numId="31">
    <w:abstractNumId w:val="25"/>
  </w:num>
  <w:num w:numId="32">
    <w:abstractNumId w:val="37"/>
  </w:num>
  <w:num w:numId="33">
    <w:abstractNumId w:val="27"/>
  </w:num>
  <w:num w:numId="34">
    <w:abstractNumId w:val="36"/>
  </w:num>
  <w:num w:numId="35">
    <w:abstractNumId w:val="14"/>
  </w:num>
  <w:num w:numId="36">
    <w:abstractNumId w:val="5"/>
  </w:num>
  <w:num w:numId="37">
    <w:abstractNumId w:val="2"/>
  </w:num>
  <w:num w:numId="38">
    <w:abstractNumId w:val="30"/>
  </w:num>
  <w:num w:numId="39">
    <w:abstractNumId w:val="35"/>
  </w:num>
  <w:num w:numId="40">
    <w:abstractNumId w:val="15"/>
  </w:num>
  <w:num w:numId="41">
    <w:abstractNumId w:val="43"/>
  </w:num>
  <w:num w:numId="42">
    <w:abstractNumId w:val="18"/>
  </w:num>
  <w:num w:numId="43">
    <w:abstractNumId w:val="3"/>
  </w:num>
  <w:num w:numId="44">
    <w:abstractNumId w:val="12"/>
  </w:num>
  <w:num w:numId="45">
    <w:abstractNumId w:val="21"/>
  </w:num>
  <w:num w:numId="46">
    <w:abstractNumId w:val="2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80"/>
    <w:rsid w:val="000026E7"/>
    <w:rsid w:val="00003D24"/>
    <w:rsid w:val="00006F83"/>
    <w:rsid w:val="00007F07"/>
    <w:rsid w:val="00013C42"/>
    <w:rsid w:val="00014D67"/>
    <w:rsid w:val="00016A94"/>
    <w:rsid w:val="00017EB8"/>
    <w:rsid w:val="00021FCC"/>
    <w:rsid w:val="00024F34"/>
    <w:rsid w:val="0002546A"/>
    <w:rsid w:val="00032CBF"/>
    <w:rsid w:val="00036BE1"/>
    <w:rsid w:val="0004205E"/>
    <w:rsid w:val="000459B1"/>
    <w:rsid w:val="00047A6E"/>
    <w:rsid w:val="00050524"/>
    <w:rsid w:val="000530DC"/>
    <w:rsid w:val="00065451"/>
    <w:rsid w:val="00066463"/>
    <w:rsid w:val="0007636F"/>
    <w:rsid w:val="00081CEE"/>
    <w:rsid w:val="00082FFE"/>
    <w:rsid w:val="00083D67"/>
    <w:rsid w:val="00084B49"/>
    <w:rsid w:val="000856E4"/>
    <w:rsid w:val="00086B16"/>
    <w:rsid w:val="00092C0A"/>
    <w:rsid w:val="00094D9F"/>
    <w:rsid w:val="00096156"/>
    <w:rsid w:val="000A35DA"/>
    <w:rsid w:val="000A3E34"/>
    <w:rsid w:val="000B30A6"/>
    <w:rsid w:val="000B39C5"/>
    <w:rsid w:val="000B50F1"/>
    <w:rsid w:val="000B7CF8"/>
    <w:rsid w:val="000C41BE"/>
    <w:rsid w:val="000C614C"/>
    <w:rsid w:val="000C6C52"/>
    <w:rsid w:val="000D1904"/>
    <w:rsid w:val="000D2DA8"/>
    <w:rsid w:val="000D512E"/>
    <w:rsid w:val="000E0152"/>
    <w:rsid w:val="000E370D"/>
    <w:rsid w:val="000E65A4"/>
    <w:rsid w:val="000F3C23"/>
    <w:rsid w:val="00105533"/>
    <w:rsid w:val="00106B8F"/>
    <w:rsid w:val="001072FB"/>
    <w:rsid w:val="00116659"/>
    <w:rsid w:val="001175AA"/>
    <w:rsid w:val="00125A3A"/>
    <w:rsid w:val="001262D5"/>
    <w:rsid w:val="00126916"/>
    <w:rsid w:val="00126980"/>
    <w:rsid w:val="001303DD"/>
    <w:rsid w:val="001317EB"/>
    <w:rsid w:val="00131A9D"/>
    <w:rsid w:val="001348DA"/>
    <w:rsid w:val="001365B5"/>
    <w:rsid w:val="00136CD0"/>
    <w:rsid w:val="0013737F"/>
    <w:rsid w:val="00142BF2"/>
    <w:rsid w:val="00143748"/>
    <w:rsid w:val="001447C1"/>
    <w:rsid w:val="00145BCA"/>
    <w:rsid w:val="00147C9A"/>
    <w:rsid w:val="0015216F"/>
    <w:rsid w:val="00153523"/>
    <w:rsid w:val="00154524"/>
    <w:rsid w:val="00157729"/>
    <w:rsid w:val="00164587"/>
    <w:rsid w:val="001665A3"/>
    <w:rsid w:val="00166C59"/>
    <w:rsid w:val="001743EF"/>
    <w:rsid w:val="00174A31"/>
    <w:rsid w:val="00177232"/>
    <w:rsid w:val="00187186"/>
    <w:rsid w:val="001917FE"/>
    <w:rsid w:val="001952C8"/>
    <w:rsid w:val="001978EB"/>
    <w:rsid w:val="001A2AF1"/>
    <w:rsid w:val="001B752F"/>
    <w:rsid w:val="001C013E"/>
    <w:rsid w:val="001D1743"/>
    <w:rsid w:val="001D17CF"/>
    <w:rsid w:val="001E1F23"/>
    <w:rsid w:val="001E2543"/>
    <w:rsid w:val="001E6C60"/>
    <w:rsid w:val="001F238A"/>
    <w:rsid w:val="00200D16"/>
    <w:rsid w:val="00210E5C"/>
    <w:rsid w:val="002171A2"/>
    <w:rsid w:val="002217D1"/>
    <w:rsid w:val="002264B8"/>
    <w:rsid w:val="00235361"/>
    <w:rsid w:val="00236F62"/>
    <w:rsid w:val="00237D76"/>
    <w:rsid w:val="00240181"/>
    <w:rsid w:val="002407EA"/>
    <w:rsid w:val="00251FCE"/>
    <w:rsid w:val="00252F13"/>
    <w:rsid w:val="00254313"/>
    <w:rsid w:val="0026513E"/>
    <w:rsid w:val="002729A5"/>
    <w:rsid w:val="0027782E"/>
    <w:rsid w:val="002862C1"/>
    <w:rsid w:val="00286449"/>
    <w:rsid w:val="00287EC3"/>
    <w:rsid w:val="00293F29"/>
    <w:rsid w:val="002941D1"/>
    <w:rsid w:val="002A2A12"/>
    <w:rsid w:val="002C05D0"/>
    <w:rsid w:val="002C6429"/>
    <w:rsid w:val="002D096D"/>
    <w:rsid w:val="002D11FE"/>
    <w:rsid w:val="002D2CB2"/>
    <w:rsid w:val="002D35EC"/>
    <w:rsid w:val="002D3FE3"/>
    <w:rsid w:val="002D5E8B"/>
    <w:rsid w:val="002E4A97"/>
    <w:rsid w:val="002E71C4"/>
    <w:rsid w:val="002F226A"/>
    <w:rsid w:val="00301DC2"/>
    <w:rsid w:val="003227FD"/>
    <w:rsid w:val="00325A55"/>
    <w:rsid w:val="003343DB"/>
    <w:rsid w:val="00336655"/>
    <w:rsid w:val="003402E3"/>
    <w:rsid w:val="00342B3C"/>
    <w:rsid w:val="00346554"/>
    <w:rsid w:val="003503EB"/>
    <w:rsid w:val="00350767"/>
    <w:rsid w:val="00350E4B"/>
    <w:rsid w:val="003533A1"/>
    <w:rsid w:val="003651DE"/>
    <w:rsid w:val="00367CB8"/>
    <w:rsid w:val="003711C0"/>
    <w:rsid w:val="00373197"/>
    <w:rsid w:val="0038390A"/>
    <w:rsid w:val="003921C3"/>
    <w:rsid w:val="003A0BBF"/>
    <w:rsid w:val="003A3C08"/>
    <w:rsid w:val="003A6449"/>
    <w:rsid w:val="003A73D2"/>
    <w:rsid w:val="003B3F46"/>
    <w:rsid w:val="003B4DDE"/>
    <w:rsid w:val="003B625C"/>
    <w:rsid w:val="003C0C28"/>
    <w:rsid w:val="003C0F32"/>
    <w:rsid w:val="003C6CAC"/>
    <w:rsid w:val="003D3516"/>
    <w:rsid w:val="003D5882"/>
    <w:rsid w:val="003E1394"/>
    <w:rsid w:val="003E582F"/>
    <w:rsid w:val="00401B59"/>
    <w:rsid w:val="00401B98"/>
    <w:rsid w:val="00405CE5"/>
    <w:rsid w:val="00410708"/>
    <w:rsid w:val="0041604F"/>
    <w:rsid w:val="00427DD9"/>
    <w:rsid w:val="004317DB"/>
    <w:rsid w:val="00432C5C"/>
    <w:rsid w:val="00437C19"/>
    <w:rsid w:val="004432C8"/>
    <w:rsid w:val="00461D1F"/>
    <w:rsid w:val="00470148"/>
    <w:rsid w:val="00470526"/>
    <w:rsid w:val="00476225"/>
    <w:rsid w:val="004848A4"/>
    <w:rsid w:val="004A0755"/>
    <w:rsid w:val="004A6BE3"/>
    <w:rsid w:val="004B078F"/>
    <w:rsid w:val="004C30BF"/>
    <w:rsid w:val="004C3FB9"/>
    <w:rsid w:val="004C4371"/>
    <w:rsid w:val="004C7D38"/>
    <w:rsid w:val="004D0D86"/>
    <w:rsid w:val="004D10C6"/>
    <w:rsid w:val="004D2643"/>
    <w:rsid w:val="004D294E"/>
    <w:rsid w:val="004D3D03"/>
    <w:rsid w:val="004D4586"/>
    <w:rsid w:val="004D6329"/>
    <w:rsid w:val="004E034B"/>
    <w:rsid w:val="004E17FC"/>
    <w:rsid w:val="004E274E"/>
    <w:rsid w:val="004E517F"/>
    <w:rsid w:val="004F778E"/>
    <w:rsid w:val="004F7A38"/>
    <w:rsid w:val="0050148F"/>
    <w:rsid w:val="00502F91"/>
    <w:rsid w:val="00503F05"/>
    <w:rsid w:val="00520AAA"/>
    <w:rsid w:val="00520B2A"/>
    <w:rsid w:val="0052787E"/>
    <w:rsid w:val="005338E4"/>
    <w:rsid w:val="0054286C"/>
    <w:rsid w:val="00543E5A"/>
    <w:rsid w:val="00545A32"/>
    <w:rsid w:val="0054645F"/>
    <w:rsid w:val="00557BE5"/>
    <w:rsid w:val="005616ED"/>
    <w:rsid w:val="005629D0"/>
    <w:rsid w:val="00564A4E"/>
    <w:rsid w:val="005815B6"/>
    <w:rsid w:val="00584E85"/>
    <w:rsid w:val="005871DA"/>
    <w:rsid w:val="00587695"/>
    <w:rsid w:val="0059054D"/>
    <w:rsid w:val="0059316B"/>
    <w:rsid w:val="005949A8"/>
    <w:rsid w:val="005A077D"/>
    <w:rsid w:val="005A3579"/>
    <w:rsid w:val="005A4320"/>
    <w:rsid w:val="005A498D"/>
    <w:rsid w:val="005B1C43"/>
    <w:rsid w:val="005C19CA"/>
    <w:rsid w:val="005C4522"/>
    <w:rsid w:val="005C4BB7"/>
    <w:rsid w:val="005D49BF"/>
    <w:rsid w:val="005E3560"/>
    <w:rsid w:val="005F30C3"/>
    <w:rsid w:val="005F7863"/>
    <w:rsid w:val="00601BA5"/>
    <w:rsid w:val="0060353B"/>
    <w:rsid w:val="00604F11"/>
    <w:rsid w:val="00610324"/>
    <w:rsid w:val="006158E4"/>
    <w:rsid w:val="00620876"/>
    <w:rsid w:val="00624FD0"/>
    <w:rsid w:val="00630C5E"/>
    <w:rsid w:val="006315B4"/>
    <w:rsid w:val="00635AC3"/>
    <w:rsid w:val="00636FFB"/>
    <w:rsid w:val="006512F3"/>
    <w:rsid w:val="00654CCF"/>
    <w:rsid w:val="00665F82"/>
    <w:rsid w:val="0067186C"/>
    <w:rsid w:val="00671E11"/>
    <w:rsid w:val="006779DA"/>
    <w:rsid w:val="00687EB3"/>
    <w:rsid w:val="00690FDA"/>
    <w:rsid w:val="00692980"/>
    <w:rsid w:val="00693246"/>
    <w:rsid w:val="0069347D"/>
    <w:rsid w:val="006934B3"/>
    <w:rsid w:val="0069506F"/>
    <w:rsid w:val="00696582"/>
    <w:rsid w:val="006A1DBB"/>
    <w:rsid w:val="006A6391"/>
    <w:rsid w:val="006B4E40"/>
    <w:rsid w:val="006C103A"/>
    <w:rsid w:val="006C396F"/>
    <w:rsid w:val="006C4E6A"/>
    <w:rsid w:val="006C50E8"/>
    <w:rsid w:val="006C60FC"/>
    <w:rsid w:val="006D464D"/>
    <w:rsid w:val="006D7492"/>
    <w:rsid w:val="006E6F11"/>
    <w:rsid w:val="006E7076"/>
    <w:rsid w:val="006E71A6"/>
    <w:rsid w:val="006F0B6B"/>
    <w:rsid w:val="006F144D"/>
    <w:rsid w:val="006F461B"/>
    <w:rsid w:val="006F622C"/>
    <w:rsid w:val="00700FF6"/>
    <w:rsid w:val="00702554"/>
    <w:rsid w:val="007043E5"/>
    <w:rsid w:val="00704D44"/>
    <w:rsid w:val="00711153"/>
    <w:rsid w:val="0071291B"/>
    <w:rsid w:val="00715A68"/>
    <w:rsid w:val="00715DD5"/>
    <w:rsid w:val="00715ECF"/>
    <w:rsid w:val="00717A04"/>
    <w:rsid w:val="00717BFE"/>
    <w:rsid w:val="007208C5"/>
    <w:rsid w:val="00721145"/>
    <w:rsid w:val="00724FC6"/>
    <w:rsid w:val="00725BB4"/>
    <w:rsid w:val="0073180A"/>
    <w:rsid w:val="00732997"/>
    <w:rsid w:val="007336C3"/>
    <w:rsid w:val="00735033"/>
    <w:rsid w:val="0074739D"/>
    <w:rsid w:val="00756485"/>
    <w:rsid w:val="0075705D"/>
    <w:rsid w:val="007626E1"/>
    <w:rsid w:val="00767F65"/>
    <w:rsid w:val="00770D6C"/>
    <w:rsid w:val="0077742A"/>
    <w:rsid w:val="00783515"/>
    <w:rsid w:val="00787A2A"/>
    <w:rsid w:val="00787C94"/>
    <w:rsid w:val="00791BCB"/>
    <w:rsid w:val="007921BD"/>
    <w:rsid w:val="00792E66"/>
    <w:rsid w:val="00793A02"/>
    <w:rsid w:val="00795C6B"/>
    <w:rsid w:val="00795E55"/>
    <w:rsid w:val="007A1566"/>
    <w:rsid w:val="007A3995"/>
    <w:rsid w:val="007A4E6E"/>
    <w:rsid w:val="007A57A8"/>
    <w:rsid w:val="007A5AC5"/>
    <w:rsid w:val="007A5DC2"/>
    <w:rsid w:val="007A5F0F"/>
    <w:rsid w:val="007B0748"/>
    <w:rsid w:val="007B53E5"/>
    <w:rsid w:val="007B622D"/>
    <w:rsid w:val="007C0988"/>
    <w:rsid w:val="007C101A"/>
    <w:rsid w:val="007C4288"/>
    <w:rsid w:val="007C484E"/>
    <w:rsid w:val="007D4853"/>
    <w:rsid w:val="007D57C4"/>
    <w:rsid w:val="007E0429"/>
    <w:rsid w:val="007E41DE"/>
    <w:rsid w:val="007E4CE3"/>
    <w:rsid w:val="007F2B1F"/>
    <w:rsid w:val="007F5D8C"/>
    <w:rsid w:val="00802F7A"/>
    <w:rsid w:val="00803AC8"/>
    <w:rsid w:val="00806A1C"/>
    <w:rsid w:val="0080773A"/>
    <w:rsid w:val="008157E3"/>
    <w:rsid w:val="008173F3"/>
    <w:rsid w:val="0082117C"/>
    <w:rsid w:val="00821504"/>
    <w:rsid w:val="008227E9"/>
    <w:rsid w:val="0082450D"/>
    <w:rsid w:val="00824726"/>
    <w:rsid w:val="008252C5"/>
    <w:rsid w:val="00831860"/>
    <w:rsid w:val="00832F2D"/>
    <w:rsid w:val="00835D12"/>
    <w:rsid w:val="00836C6A"/>
    <w:rsid w:val="00841C9F"/>
    <w:rsid w:val="0084294E"/>
    <w:rsid w:val="00843EFF"/>
    <w:rsid w:val="008442A5"/>
    <w:rsid w:val="008477A9"/>
    <w:rsid w:val="0085416A"/>
    <w:rsid w:val="00856B0F"/>
    <w:rsid w:val="0087186A"/>
    <w:rsid w:val="00872C56"/>
    <w:rsid w:val="00874F67"/>
    <w:rsid w:val="00876AC2"/>
    <w:rsid w:val="00883F43"/>
    <w:rsid w:val="00884C98"/>
    <w:rsid w:val="00884CE2"/>
    <w:rsid w:val="00885E7D"/>
    <w:rsid w:val="0089363F"/>
    <w:rsid w:val="00894D05"/>
    <w:rsid w:val="00896ED8"/>
    <w:rsid w:val="0089777B"/>
    <w:rsid w:val="008A209D"/>
    <w:rsid w:val="008A2436"/>
    <w:rsid w:val="008A4E8C"/>
    <w:rsid w:val="008A563D"/>
    <w:rsid w:val="008B26BF"/>
    <w:rsid w:val="008B3B0A"/>
    <w:rsid w:val="008B5649"/>
    <w:rsid w:val="008C2BA0"/>
    <w:rsid w:val="008C69F2"/>
    <w:rsid w:val="008D1D44"/>
    <w:rsid w:val="008D3E6C"/>
    <w:rsid w:val="008D546E"/>
    <w:rsid w:val="008E04EC"/>
    <w:rsid w:val="008E43F4"/>
    <w:rsid w:val="008E4936"/>
    <w:rsid w:val="008F42F6"/>
    <w:rsid w:val="008F5282"/>
    <w:rsid w:val="008F5EDA"/>
    <w:rsid w:val="00912BAC"/>
    <w:rsid w:val="00925058"/>
    <w:rsid w:val="00926CDB"/>
    <w:rsid w:val="00930113"/>
    <w:rsid w:val="00930B1F"/>
    <w:rsid w:val="009356EC"/>
    <w:rsid w:val="00937FB2"/>
    <w:rsid w:val="0094114F"/>
    <w:rsid w:val="009505BA"/>
    <w:rsid w:val="0095690D"/>
    <w:rsid w:val="009609C5"/>
    <w:rsid w:val="00965B1A"/>
    <w:rsid w:val="00971B57"/>
    <w:rsid w:val="00976933"/>
    <w:rsid w:val="00981893"/>
    <w:rsid w:val="0098468F"/>
    <w:rsid w:val="00984974"/>
    <w:rsid w:val="00986438"/>
    <w:rsid w:val="00987DBF"/>
    <w:rsid w:val="009970F9"/>
    <w:rsid w:val="009A5590"/>
    <w:rsid w:val="009B5C66"/>
    <w:rsid w:val="009C3837"/>
    <w:rsid w:val="009C44BD"/>
    <w:rsid w:val="009C537F"/>
    <w:rsid w:val="009D0585"/>
    <w:rsid w:val="009D2BB3"/>
    <w:rsid w:val="009E0846"/>
    <w:rsid w:val="009E1EF4"/>
    <w:rsid w:val="009E1F32"/>
    <w:rsid w:val="009E4BD5"/>
    <w:rsid w:val="009F0915"/>
    <w:rsid w:val="009F1BE0"/>
    <w:rsid w:val="009F67EA"/>
    <w:rsid w:val="009F7CED"/>
    <w:rsid w:val="00A04569"/>
    <w:rsid w:val="00A0736A"/>
    <w:rsid w:val="00A07DE7"/>
    <w:rsid w:val="00A10576"/>
    <w:rsid w:val="00A11D3F"/>
    <w:rsid w:val="00A120D6"/>
    <w:rsid w:val="00A1301A"/>
    <w:rsid w:val="00A14C37"/>
    <w:rsid w:val="00A161B9"/>
    <w:rsid w:val="00A219D7"/>
    <w:rsid w:val="00A2785C"/>
    <w:rsid w:val="00A31B4F"/>
    <w:rsid w:val="00A33DCF"/>
    <w:rsid w:val="00A377FE"/>
    <w:rsid w:val="00A4128C"/>
    <w:rsid w:val="00A41AEF"/>
    <w:rsid w:val="00A447B3"/>
    <w:rsid w:val="00A500DD"/>
    <w:rsid w:val="00A52C3F"/>
    <w:rsid w:val="00A55DB6"/>
    <w:rsid w:val="00A61784"/>
    <w:rsid w:val="00A64120"/>
    <w:rsid w:val="00A64587"/>
    <w:rsid w:val="00A72973"/>
    <w:rsid w:val="00A74AFD"/>
    <w:rsid w:val="00A80613"/>
    <w:rsid w:val="00A83A98"/>
    <w:rsid w:val="00A85AEA"/>
    <w:rsid w:val="00A85F98"/>
    <w:rsid w:val="00A860AC"/>
    <w:rsid w:val="00A94019"/>
    <w:rsid w:val="00AA28E8"/>
    <w:rsid w:val="00AB0708"/>
    <w:rsid w:val="00AB0C45"/>
    <w:rsid w:val="00AB1EDF"/>
    <w:rsid w:val="00AB6652"/>
    <w:rsid w:val="00AB6FC6"/>
    <w:rsid w:val="00AC1AF8"/>
    <w:rsid w:val="00AC2C34"/>
    <w:rsid w:val="00AC447D"/>
    <w:rsid w:val="00AC720F"/>
    <w:rsid w:val="00AD5446"/>
    <w:rsid w:val="00AD623F"/>
    <w:rsid w:val="00AE03F3"/>
    <w:rsid w:val="00AF0A2D"/>
    <w:rsid w:val="00AF5E71"/>
    <w:rsid w:val="00B13AE3"/>
    <w:rsid w:val="00B16FA1"/>
    <w:rsid w:val="00B25550"/>
    <w:rsid w:val="00B30164"/>
    <w:rsid w:val="00B30ACE"/>
    <w:rsid w:val="00B30DCD"/>
    <w:rsid w:val="00B377D3"/>
    <w:rsid w:val="00B4099F"/>
    <w:rsid w:val="00B4178F"/>
    <w:rsid w:val="00B4216E"/>
    <w:rsid w:val="00B43AC6"/>
    <w:rsid w:val="00B448DC"/>
    <w:rsid w:val="00B46051"/>
    <w:rsid w:val="00B463AC"/>
    <w:rsid w:val="00B51095"/>
    <w:rsid w:val="00B6123C"/>
    <w:rsid w:val="00B61CA6"/>
    <w:rsid w:val="00B65F1B"/>
    <w:rsid w:val="00B66D03"/>
    <w:rsid w:val="00B67FCB"/>
    <w:rsid w:val="00B7000F"/>
    <w:rsid w:val="00B70726"/>
    <w:rsid w:val="00B729FC"/>
    <w:rsid w:val="00B73EC6"/>
    <w:rsid w:val="00B766E4"/>
    <w:rsid w:val="00B779CC"/>
    <w:rsid w:val="00B8326D"/>
    <w:rsid w:val="00B84AF8"/>
    <w:rsid w:val="00B926C5"/>
    <w:rsid w:val="00B937B6"/>
    <w:rsid w:val="00BA450F"/>
    <w:rsid w:val="00BB545F"/>
    <w:rsid w:val="00BD4B65"/>
    <w:rsid w:val="00BE280C"/>
    <w:rsid w:val="00BF054E"/>
    <w:rsid w:val="00BF0DB9"/>
    <w:rsid w:val="00BF43F2"/>
    <w:rsid w:val="00C04248"/>
    <w:rsid w:val="00C12B93"/>
    <w:rsid w:val="00C134C3"/>
    <w:rsid w:val="00C254DA"/>
    <w:rsid w:val="00C26C14"/>
    <w:rsid w:val="00C27D76"/>
    <w:rsid w:val="00C31D59"/>
    <w:rsid w:val="00C36892"/>
    <w:rsid w:val="00C372C3"/>
    <w:rsid w:val="00C4009A"/>
    <w:rsid w:val="00C401C2"/>
    <w:rsid w:val="00C46330"/>
    <w:rsid w:val="00C47F73"/>
    <w:rsid w:val="00C52E86"/>
    <w:rsid w:val="00C6077B"/>
    <w:rsid w:val="00C61441"/>
    <w:rsid w:val="00C62C49"/>
    <w:rsid w:val="00C7294E"/>
    <w:rsid w:val="00C777D7"/>
    <w:rsid w:val="00C91F90"/>
    <w:rsid w:val="00CA57DF"/>
    <w:rsid w:val="00CB0063"/>
    <w:rsid w:val="00CB4D37"/>
    <w:rsid w:val="00CB66F7"/>
    <w:rsid w:val="00CC0C62"/>
    <w:rsid w:val="00CC259C"/>
    <w:rsid w:val="00CC42D1"/>
    <w:rsid w:val="00CC5B3E"/>
    <w:rsid w:val="00CC62C7"/>
    <w:rsid w:val="00CE1A87"/>
    <w:rsid w:val="00CE30FF"/>
    <w:rsid w:val="00CF25EF"/>
    <w:rsid w:val="00CF266A"/>
    <w:rsid w:val="00CF49B7"/>
    <w:rsid w:val="00D04A96"/>
    <w:rsid w:val="00D05B67"/>
    <w:rsid w:val="00D05D52"/>
    <w:rsid w:val="00D16D4F"/>
    <w:rsid w:val="00D24980"/>
    <w:rsid w:val="00D26D53"/>
    <w:rsid w:val="00D31F43"/>
    <w:rsid w:val="00D40E59"/>
    <w:rsid w:val="00D415E6"/>
    <w:rsid w:val="00D444C5"/>
    <w:rsid w:val="00D45B78"/>
    <w:rsid w:val="00D530DC"/>
    <w:rsid w:val="00D57A9F"/>
    <w:rsid w:val="00D62023"/>
    <w:rsid w:val="00D642E4"/>
    <w:rsid w:val="00D7070F"/>
    <w:rsid w:val="00D709DD"/>
    <w:rsid w:val="00D81C9E"/>
    <w:rsid w:val="00D82321"/>
    <w:rsid w:val="00D8294A"/>
    <w:rsid w:val="00D83F98"/>
    <w:rsid w:val="00D84A75"/>
    <w:rsid w:val="00D85F90"/>
    <w:rsid w:val="00D90649"/>
    <w:rsid w:val="00D91E89"/>
    <w:rsid w:val="00D9213D"/>
    <w:rsid w:val="00D92505"/>
    <w:rsid w:val="00D965B1"/>
    <w:rsid w:val="00D97DF9"/>
    <w:rsid w:val="00DA6526"/>
    <w:rsid w:val="00DA6C54"/>
    <w:rsid w:val="00DB0E11"/>
    <w:rsid w:val="00DB2492"/>
    <w:rsid w:val="00DC54A3"/>
    <w:rsid w:val="00DD14F4"/>
    <w:rsid w:val="00DD181C"/>
    <w:rsid w:val="00DD2F2C"/>
    <w:rsid w:val="00DD3D8C"/>
    <w:rsid w:val="00DD48D9"/>
    <w:rsid w:val="00DE1540"/>
    <w:rsid w:val="00DE520C"/>
    <w:rsid w:val="00DE7C9B"/>
    <w:rsid w:val="00DF1E66"/>
    <w:rsid w:val="00DF20FC"/>
    <w:rsid w:val="00DF60FD"/>
    <w:rsid w:val="00DF6410"/>
    <w:rsid w:val="00E007F7"/>
    <w:rsid w:val="00E05F18"/>
    <w:rsid w:val="00E06A27"/>
    <w:rsid w:val="00E12202"/>
    <w:rsid w:val="00E242C5"/>
    <w:rsid w:val="00E24673"/>
    <w:rsid w:val="00E24F26"/>
    <w:rsid w:val="00E261B4"/>
    <w:rsid w:val="00E31E85"/>
    <w:rsid w:val="00E407FF"/>
    <w:rsid w:val="00E40C34"/>
    <w:rsid w:val="00E41E2C"/>
    <w:rsid w:val="00E43338"/>
    <w:rsid w:val="00E44207"/>
    <w:rsid w:val="00E570F8"/>
    <w:rsid w:val="00E66C57"/>
    <w:rsid w:val="00E66D00"/>
    <w:rsid w:val="00E7184A"/>
    <w:rsid w:val="00E7224C"/>
    <w:rsid w:val="00E729F2"/>
    <w:rsid w:val="00E75DBD"/>
    <w:rsid w:val="00E805D3"/>
    <w:rsid w:val="00E80826"/>
    <w:rsid w:val="00E84DA1"/>
    <w:rsid w:val="00E91332"/>
    <w:rsid w:val="00EA3045"/>
    <w:rsid w:val="00EA5D58"/>
    <w:rsid w:val="00EB7B10"/>
    <w:rsid w:val="00EC1DE8"/>
    <w:rsid w:val="00EC35AE"/>
    <w:rsid w:val="00EC4783"/>
    <w:rsid w:val="00ED4708"/>
    <w:rsid w:val="00EE0D69"/>
    <w:rsid w:val="00EE0F26"/>
    <w:rsid w:val="00EE2ABB"/>
    <w:rsid w:val="00EF192B"/>
    <w:rsid w:val="00F06B8A"/>
    <w:rsid w:val="00F07A7D"/>
    <w:rsid w:val="00F11557"/>
    <w:rsid w:val="00F153C1"/>
    <w:rsid w:val="00F16839"/>
    <w:rsid w:val="00F211E7"/>
    <w:rsid w:val="00F21D37"/>
    <w:rsid w:val="00F221F0"/>
    <w:rsid w:val="00F26136"/>
    <w:rsid w:val="00F2713B"/>
    <w:rsid w:val="00F305D8"/>
    <w:rsid w:val="00F30774"/>
    <w:rsid w:val="00F37106"/>
    <w:rsid w:val="00F44A2E"/>
    <w:rsid w:val="00F47D57"/>
    <w:rsid w:val="00F5184D"/>
    <w:rsid w:val="00F55DC4"/>
    <w:rsid w:val="00F576B3"/>
    <w:rsid w:val="00F600DB"/>
    <w:rsid w:val="00F628D7"/>
    <w:rsid w:val="00F70016"/>
    <w:rsid w:val="00F71F18"/>
    <w:rsid w:val="00F745E1"/>
    <w:rsid w:val="00F75A79"/>
    <w:rsid w:val="00F7620E"/>
    <w:rsid w:val="00F775AD"/>
    <w:rsid w:val="00F80E07"/>
    <w:rsid w:val="00F90326"/>
    <w:rsid w:val="00F90906"/>
    <w:rsid w:val="00F90F86"/>
    <w:rsid w:val="00F92DF0"/>
    <w:rsid w:val="00FA0454"/>
    <w:rsid w:val="00FA4A9E"/>
    <w:rsid w:val="00FB1248"/>
    <w:rsid w:val="00FB217D"/>
    <w:rsid w:val="00FB29CC"/>
    <w:rsid w:val="00FC0522"/>
    <w:rsid w:val="00FC2DE3"/>
    <w:rsid w:val="00FC422E"/>
    <w:rsid w:val="00FD3D04"/>
    <w:rsid w:val="00FD49A0"/>
    <w:rsid w:val="00FE27DE"/>
    <w:rsid w:val="00FE6E02"/>
    <w:rsid w:val="00FF6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127BC"/>
  <w15:chartTrackingRefBased/>
  <w15:docId w15:val="{912A10E5-B3DB-41A2-B4D9-9474C8CF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aliases w:val="Encabezado1,encabezado,Encabezado Car,Encabezado Car Car Car Car Car,Encabezado Car Car Car"/>
    <w:basedOn w:val="Normal"/>
    <w:link w:val="EncabezadoCar1"/>
    <w:uiPriority w:val="99"/>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uiPriority w:val="99"/>
    <w:semiHidden/>
    <w:rsid w:val="00885E7D"/>
    <w:rPr>
      <w:sz w:val="16"/>
      <w:szCs w:val="16"/>
    </w:rPr>
  </w:style>
  <w:style w:type="paragraph" w:styleId="Textocomentario">
    <w:name w:val="annotation text"/>
    <w:basedOn w:val="Normal"/>
    <w:link w:val="TextocomentarioCar"/>
    <w:uiPriority w:val="99"/>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Encabezado1 Car,encabezado Car,Encabezado Car Car,Encabezado Car Car Car Car Car Car,Encabezado Car Car Car Car"/>
    <w:link w:val="Encabezado"/>
    <w:uiPriority w:val="99"/>
    <w:locked/>
    <w:rsid w:val="00503F05"/>
    <w:rPr>
      <w:rFonts w:ascii="Arial" w:hAnsi="Arial"/>
      <w:lang w:val="es-ES" w:eastAsia="es-ES"/>
    </w:rPr>
  </w:style>
  <w:style w:type="paragraph" w:customStyle="1" w:styleId="TableParagraph">
    <w:name w:val="Table Paragraph"/>
    <w:basedOn w:val="Normal"/>
    <w:uiPriority w:val="1"/>
    <w:qFormat/>
    <w:rsid w:val="006512F3"/>
    <w:pPr>
      <w:widowControl w:val="0"/>
      <w:autoSpaceDE w:val="0"/>
      <w:autoSpaceDN w:val="0"/>
    </w:pPr>
    <w:rPr>
      <w:rFonts w:ascii="Arial MT" w:eastAsia="Arial MT" w:hAnsi="Arial MT" w:cs="Arial MT"/>
      <w:sz w:val="22"/>
      <w:szCs w:val="22"/>
      <w:lang w:eastAsia="en-US"/>
    </w:rPr>
  </w:style>
  <w:style w:type="paragraph" w:styleId="Prrafodelista">
    <w:name w:val="List Paragraph"/>
    <w:aliases w:val="titulo 3,Párrafo de lista1,Lista vistosa - Énfasis 11"/>
    <w:basedOn w:val="Normal"/>
    <w:link w:val="PrrafodelistaCar"/>
    <w:uiPriority w:val="34"/>
    <w:qFormat/>
    <w:rsid w:val="00A10576"/>
    <w:pPr>
      <w:spacing w:after="160" w:line="259" w:lineRule="auto"/>
      <w:ind w:left="720"/>
      <w:contextualSpacing/>
    </w:pPr>
    <w:rPr>
      <w:rFonts w:ascii="Calibri" w:eastAsia="Calibri" w:hAnsi="Calibri" w:cs="Arial"/>
      <w:kern w:val="2"/>
      <w:sz w:val="22"/>
      <w:szCs w:val="22"/>
      <w:lang w:val="es-MX" w:eastAsia="en-US"/>
    </w:rPr>
  </w:style>
  <w:style w:type="character" w:customStyle="1" w:styleId="normaltextrun">
    <w:name w:val="normaltextrun"/>
    <w:basedOn w:val="Fuentedeprrafopredeter"/>
    <w:rsid w:val="00690FDA"/>
  </w:style>
  <w:style w:type="character" w:customStyle="1" w:styleId="PrrafodelistaCar">
    <w:name w:val="Párrafo de lista Car"/>
    <w:aliases w:val="titulo 3 Car,Párrafo de lista1 Car,Lista vistosa - Énfasis 11 Car"/>
    <w:link w:val="Prrafodelista"/>
    <w:uiPriority w:val="34"/>
    <w:locked/>
    <w:rsid w:val="00A11D3F"/>
    <w:rPr>
      <w:rFonts w:ascii="Calibri" w:eastAsia="Calibri" w:hAnsi="Calibri" w:cs="Arial"/>
      <w:kern w:val="2"/>
      <w:sz w:val="22"/>
      <w:szCs w:val="22"/>
      <w:lang w:val="es-MX"/>
    </w:rPr>
  </w:style>
  <w:style w:type="paragraph" w:styleId="Descripcin">
    <w:name w:val="caption"/>
    <w:basedOn w:val="Normal"/>
    <w:next w:val="Normal"/>
    <w:link w:val="DescripcinCar"/>
    <w:uiPriority w:val="35"/>
    <w:unhideWhenUsed/>
    <w:qFormat/>
    <w:rsid w:val="00154524"/>
    <w:pPr>
      <w:spacing w:after="200"/>
      <w:jc w:val="both"/>
    </w:pPr>
    <w:rPr>
      <w:rFonts w:eastAsia="Calibri" w:cs="Arial"/>
      <w:i/>
      <w:iCs/>
      <w:color w:val="44546A"/>
      <w:sz w:val="18"/>
      <w:szCs w:val="18"/>
      <w:lang w:val="es-CO" w:eastAsia="en-US"/>
    </w:rPr>
  </w:style>
  <w:style w:type="character" w:customStyle="1" w:styleId="DescripcinCar">
    <w:name w:val="Descripción Car"/>
    <w:link w:val="Descripcin"/>
    <w:uiPriority w:val="35"/>
    <w:rsid w:val="00154524"/>
    <w:rPr>
      <w:rFonts w:ascii="Arial" w:eastAsia="Calibri" w:hAnsi="Arial" w:cs="Arial"/>
      <w:i/>
      <w:iCs/>
      <w:color w:val="44546A"/>
      <w:sz w:val="18"/>
      <w:szCs w:val="18"/>
      <w:lang w:val="es-CO"/>
    </w:rPr>
  </w:style>
  <w:style w:type="paragraph" w:styleId="Sinespaciado">
    <w:name w:val="No Spacing"/>
    <w:uiPriority w:val="1"/>
    <w:qFormat/>
    <w:rsid w:val="00DE7C9B"/>
    <w:rPr>
      <w:rFonts w:ascii="Calibri" w:eastAsia="Calibri" w:hAnsi="Calibri"/>
      <w:kern w:val="2"/>
      <w:sz w:val="22"/>
      <w:szCs w:val="22"/>
      <w:lang w:eastAsia="en-US"/>
    </w:rPr>
  </w:style>
  <w:style w:type="character" w:customStyle="1" w:styleId="TextocomentarioCar">
    <w:name w:val="Texto comentario Car"/>
    <w:link w:val="Textocomentario"/>
    <w:uiPriority w:val="99"/>
    <w:rsid w:val="00D81C9E"/>
    <w:rPr>
      <w:rFonts w:ascii="Arial" w:hAnsi="Arial"/>
      <w:lang w:val="es-ES" w:eastAsia="es-ES"/>
    </w:rPr>
  </w:style>
  <w:style w:type="paragraph" w:customStyle="1" w:styleId="paragraph">
    <w:name w:val="paragraph"/>
    <w:basedOn w:val="Normal"/>
    <w:rsid w:val="00D81C9E"/>
    <w:pPr>
      <w:spacing w:before="100" w:beforeAutospacing="1" w:after="100" w:afterAutospacing="1"/>
    </w:pPr>
    <w:rPr>
      <w:rFonts w:ascii="Times New Roman" w:hAnsi="Times New Roman"/>
      <w:sz w:val="24"/>
      <w:szCs w:val="24"/>
      <w:lang w:val="es-CO" w:eastAsia="es-CO"/>
    </w:rPr>
  </w:style>
  <w:style w:type="paragraph" w:styleId="Revisin">
    <w:name w:val="Revision"/>
    <w:hidden/>
    <w:uiPriority w:val="71"/>
    <w:rsid w:val="00724FC6"/>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inviviendagovco-my.sharepoint.com/personal/pguevara_minvivienda_gov_co/Documents/TABLERO%20DE%20CONTROL%20MCY/03.05.2024%20Tablero%20de%20Control%20MCY%20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minviviendagovco-my.sharepoint.com/personal/pguevara_minvivienda_gov_co/Documents/Escritorio/03.05.2024%20Tablero%20de%20Control%20MCY%20202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fabia\Downloads\2023-12-01%20Participaci&#243;n%20criterios%20de%20priorizaci&#243;n%20MC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baseline="0">
                <a:solidFill>
                  <a:schemeClr val="tx2"/>
                </a:solidFill>
                <a:latin typeface="Verdana" panose="020B0604030504040204" pitchFamily="34" charset="0"/>
                <a:ea typeface="Verdana" panose="020B0604030504040204" pitchFamily="34" charset="0"/>
                <a:cs typeface="+mn-cs"/>
              </a:defRPr>
            </a:pPr>
            <a:r>
              <a:rPr lang="es-CO" i="1"/>
              <a:t>Gráfico 3. Subsidios del programa "Mi Casa Ya" asignados con el presupuesto de cada vigencia</a:t>
            </a:r>
          </a:p>
        </c:rich>
      </c:tx>
      <c:overlay val="0"/>
      <c:spPr>
        <a:noFill/>
        <a:ln>
          <a:noFill/>
        </a:ln>
        <a:effectLst/>
      </c:spPr>
      <c:txPr>
        <a:bodyPr rot="0" spcFirstLastPara="1" vertOverflow="ellipsis" vert="horz" wrap="square" anchor="ctr" anchorCtr="1"/>
        <a:lstStyle/>
        <a:p>
          <a:pPr>
            <a:defRPr sz="960" b="1" i="0" u="none" strike="noStrike" kern="1200" baseline="0">
              <a:solidFill>
                <a:schemeClr val="tx2"/>
              </a:solidFill>
              <a:latin typeface="Verdana" panose="020B0604030504040204" pitchFamily="34" charset="0"/>
              <a:ea typeface="Verdana" panose="020B0604030504040204" pitchFamily="34" charset="0"/>
              <a:cs typeface="+mn-cs"/>
            </a:defRPr>
          </a:pPr>
          <a:endParaRPr lang="en-US"/>
        </a:p>
      </c:txPr>
    </c:title>
    <c:autoTitleDeleted val="0"/>
    <c:plotArea>
      <c:layout/>
      <c:bar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5.3511738317422098E-18"/>
                  <c:y val="-4.5985661188324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2D-4C83-A0EB-03531562AFB3}"/>
                </c:ext>
              </c:extLst>
            </c:dLbl>
            <c:dLbl>
              <c:idx val="1"/>
              <c:layout>
                <c:manualLayout>
                  <c:x val="-2.7778314050498501E-3"/>
                  <c:y val="-6.8978491782486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2D-4C83-A0EB-03531562AFB3}"/>
                </c:ext>
              </c:extLst>
            </c:dLbl>
            <c:dLbl>
              <c:idx val="2"/>
              <c:layout>
                <c:manualLayout>
                  <c:x val="-4.2809390653937703E-17"/>
                  <c:y val="-0.1100237805844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2D-4C83-A0EB-03531562AFB3}"/>
                </c:ext>
              </c:extLst>
            </c:dLbl>
            <c:dLbl>
              <c:idx val="3"/>
              <c:layout>
                <c:manualLayout>
                  <c:x val="-4.2809390653937703E-17"/>
                  <c:y val="-0.170364107171167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2D-4C83-A0EB-03531562AFB3}"/>
                </c:ext>
              </c:extLst>
            </c:dLbl>
            <c:dLbl>
              <c:idx val="4"/>
              <c:layout>
                <c:manualLayout>
                  <c:x val="4.5274901057682599E-3"/>
                  <c:y val="-0.174007292712572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2D-4C83-A0EB-03531562AFB3}"/>
                </c:ext>
              </c:extLst>
            </c:dLbl>
            <c:dLbl>
              <c:idx val="5"/>
              <c:layout>
                <c:manualLayout>
                  <c:x val="0"/>
                  <c:y val="-0.210577956278955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2D-4C83-A0EB-03531562AFB3}"/>
                </c:ext>
              </c:extLst>
            </c:dLbl>
            <c:dLbl>
              <c:idx val="6"/>
              <c:layout>
                <c:manualLayout>
                  <c:x val="-5.1408635216569902E-4"/>
                  <c:y val="-0.338491430181965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2D-4C83-A0EB-03531562AFB3}"/>
                </c:ext>
              </c:extLst>
            </c:dLbl>
            <c:dLbl>
              <c:idx val="7"/>
              <c:layout>
                <c:manualLayout>
                  <c:x val="-8.5618781307875603E-17"/>
                  <c:y val="-0.236984974193661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2D-4C83-A0EB-03531562AFB3}"/>
                </c:ext>
              </c:extLst>
            </c:dLbl>
            <c:dLbl>
              <c:idx val="8"/>
              <c:layout>
                <c:manualLayout>
                  <c:x val="-1.0185067526416E-16"/>
                  <c:y val="1.38888888888889E-2"/>
                </c:manualLayout>
              </c:layout>
              <c:spPr>
                <a:noFill/>
                <a:ln>
                  <a:noFill/>
                </a:ln>
                <a:effectLst/>
              </c:spPr>
              <c:txPr>
                <a:bodyPr rot="-5400000" spcFirstLastPara="1" vertOverflow="ellipsis" wrap="square" anchor="ctr" anchorCtr="1"/>
                <a:lstStyle/>
                <a:p>
                  <a:pPr>
                    <a:defRPr sz="8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2D-4C83-A0EB-03531562AFB3}"/>
                </c:ext>
              </c:extLst>
            </c:dLbl>
            <c:dLbl>
              <c:idx val="9"/>
              <c:layout>
                <c:manualLayout>
                  <c:x val="0"/>
                  <c:y val="-4.6296296296296302E-3"/>
                </c:manualLayout>
              </c:layout>
              <c:spPr>
                <a:noFill/>
                <a:ln>
                  <a:noFill/>
                </a:ln>
                <a:effectLst/>
              </c:spPr>
              <c:txPr>
                <a:bodyPr rot="-5400000" spcFirstLastPara="1" vertOverflow="ellipsis" wrap="square" anchor="ctr" anchorCtr="1"/>
                <a:lstStyle/>
                <a:p>
                  <a:pPr>
                    <a:defRPr sz="8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A2D-4C83-A0EB-03531562AFB3}"/>
                </c:ext>
              </c:extLst>
            </c:dLbl>
            <c:dLbl>
              <c:idx val="10"/>
              <c:delete val="1"/>
              <c:extLst>
                <c:ext xmlns:c15="http://schemas.microsoft.com/office/drawing/2012/chart" uri="{CE6537A1-D6FC-4f65-9D91-7224C49458BB}"/>
                <c:ext xmlns:c16="http://schemas.microsoft.com/office/drawing/2014/chart" uri="{C3380CC4-5D6E-409C-BE32-E72D297353CC}">
                  <c16:uniqueId val="{0000000A-9A2D-4C83-A0EB-03531562AFB3}"/>
                </c:ext>
              </c:extLst>
            </c:dLbl>
            <c:dLbl>
              <c:idx val="11"/>
              <c:delete val="1"/>
              <c:extLst>
                <c:ext xmlns:c15="http://schemas.microsoft.com/office/drawing/2012/chart" uri="{CE6537A1-D6FC-4f65-9D91-7224C49458BB}"/>
                <c:ext xmlns:c16="http://schemas.microsoft.com/office/drawing/2014/chart" uri="{C3380CC4-5D6E-409C-BE32-E72D297353CC}">
                  <c16:uniqueId val="{0000000B-9A2D-4C83-A0EB-03531562AFB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'[03.05.2024 Tablero de Control MCY 2024.xlsx]Cupos'!$Q$55:$Q$66</c:f>
              <c:numCache>
                <c:formatCode>General</c:formatCode>
                <c:ptCount val="12"/>
                <c:pt idx="0">
                  <c:v>2015</c:v>
                </c:pt>
                <c:pt idx="1">
                  <c:v>2016</c:v>
                </c:pt>
                <c:pt idx="2">
                  <c:v>2017</c:v>
                </c:pt>
                <c:pt idx="3">
                  <c:v>2018</c:v>
                </c:pt>
                <c:pt idx="4">
                  <c:v>2019</c:v>
                </c:pt>
                <c:pt idx="5">
                  <c:v>2020</c:v>
                </c:pt>
                <c:pt idx="6">
                  <c:v>2021</c:v>
                </c:pt>
                <c:pt idx="7">
                  <c:v>2022</c:v>
                </c:pt>
                <c:pt idx="8">
                  <c:v>2023</c:v>
                </c:pt>
                <c:pt idx="9">
                  <c:v>2024</c:v>
                </c:pt>
                <c:pt idx="10">
                  <c:v>2025</c:v>
                </c:pt>
                <c:pt idx="11">
                  <c:v>2026</c:v>
                </c:pt>
              </c:numCache>
            </c:numRef>
          </c:cat>
          <c:val>
            <c:numRef>
              <c:f>'[03.05.2024 Tablero de Control MCY 2024.xlsx]Cupos'!$R$55:$R$66</c:f>
              <c:numCache>
                <c:formatCode>#,##0</c:formatCode>
                <c:ptCount val="12"/>
                <c:pt idx="0">
                  <c:v>1918</c:v>
                </c:pt>
                <c:pt idx="1">
                  <c:v>7274</c:v>
                </c:pt>
                <c:pt idx="2">
                  <c:v>15047</c:v>
                </c:pt>
                <c:pt idx="3">
                  <c:v>31416</c:v>
                </c:pt>
                <c:pt idx="4">
                  <c:v>33010</c:v>
                </c:pt>
                <c:pt idx="5">
                  <c:v>38713</c:v>
                </c:pt>
                <c:pt idx="6">
                  <c:v>67542</c:v>
                </c:pt>
                <c:pt idx="7">
                  <c:v>44238</c:v>
                </c:pt>
                <c:pt idx="8">
                  <c:v>52238</c:v>
                </c:pt>
                <c:pt idx="9">
                  <c:v>16127</c:v>
                </c:pt>
                <c:pt idx="10" formatCode="General">
                  <c:v>0</c:v>
                </c:pt>
                <c:pt idx="11" formatCode="General">
                  <c:v>0</c:v>
                </c:pt>
              </c:numCache>
            </c:numRef>
          </c:val>
          <c:extLst>
            <c:ext xmlns:c16="http://schemas.microsoft.com/office/drawing/2014/chart" uri="{C3380CC4-5D6E-409C-BE32-E72D297353CC}">
              <c16:uniqueId val="{0000000C-9A2D-4C83-A0EB-03531562AFB3}"/>
            </c:ext>
          </c:extLst>
        </c:ser>
        <c:ser>
          <c:idx val="1"/>
          <c:order val="1"/>
          <c:spPr>
            <a:solidFill>
              <a:schemeClr val="tx2">
                <a:lumMod val="60000"/>
                <a:lumOff val="40000"/>
              </a:schemeClr>
            </a:solidFill>
            <a:ln>
              <a:noFill/>
            </a:ln>
            <a:effectLst/>
          </c:spPr>
          <c:invertIfNegative val="0"/>
          <c:dPt>
            <c:idx val="9"/>
            <c:invertIfNegative val="0"/>
            <c:bubble3D val="0"/>
            <c:spPr>
              <a:solidFill>
                <a:schemeClr val="accent2"/>
              </a:solidFill>
              <a:ln>
                <a:noFill/>
              </a:ln>
              <a:effectLst/>
            </c:spPr>
            <c:extLst>
              <c:ext xmlns:c16="http://schemas.microsoft.com/office/drawing/2014/chart" uri="{C3380CC4-5D6E-409C-BE32-E72D297353CC}">
                <c16:uniqueId val="{0000000E-9A2D-4C83-A0EB-03531562AFB3}"/>
              </c:ext>
            </c:extLst>
          </c:dPt>
          <c:dPt>
            <c:idx val="10"/>
            <c:invertIfNegative val="0"/>
            <c:bubble3D val="0"/>
            <c:spPr>
              <a:solidFill>
                <a:schemeClr val="accent2"/>
              </a:solidFill>
              <a:ln>
                <a:noFill/>
              </a:ln>
              <a:effectLst/>
            </c:spPr>
            <c:extLst>
              <c:ext xmlns:c16="http://schemas.microsoft.com/office/drawing/2014/chart" uri="{C3380CC4-5D6E-409C-BE32-E72D297353CC}">
                <c16:uniqueId val="{00000010-9A2D-4C83-A0EB-03531562AFB3}"/>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12-9A2D-4C83-A0EB-03531562AFB3}"/>
              </c:ext>
            </c:extLst>
          </c:dPt>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A2D-4C83-A0EB-03531562AFB3}"/>
                </c:ext>
              </c:extLst>
            </c:dLbl>
            <c:spPr>
              <a:noFill/>
              <a:ln>
                <a:noFill/>
              </a:ln>
              <a:effectLst/>
            </c:spPr>
            <c:txPr>
              <a:bodyPr rot="-5400000" spcFirstLastPara="1" vertOverflow="ellipsis" wrap="square" anchor="ctr" anchorCtr="1"/>
              <a:lstStyle/>
              <a:p>
                <a:pPr>
                  <a:defRPr sz="7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'[03.05.2024 Tablero de Control MCY 2024.xlsx]Cupos'!$Q$55:$Q$66</c:f>
              <c:numCache>
                <c:formatCode>General</c:formatCode>
                <c:ptCount val="12"/>
                <c:pt idx="0">
                  <c:v>2015</c:v>
                </c:pt>
                <c:pt idx="1">
                  <c:v>2016</c:v>
                </c:pt>
                <c:pt idx="2">
                  <c:v>2017</c:v>
                </c:pt>
                <c:pt idx="3">
                  <c:v>2018</c:v>
                </c:pt>
                <c:pt idx="4">
                  <c:v>2019</c:v>
                </c:pt>
                <c:pt idx="5">
                  <c:v>2020</c:v>
                </c:pt>
                <c:pt idx="6">
                  <c:v>2021</c:v>
                </c:pt>
                <c:pt idx="7">
                  <c:v>2022</c:v>
                </c:pt>
                <c:pt idx="8">
                  <c:v>2023</c:v>
                </c:pt>
                <c:pt idx="9">
                  <c:v>2024</c:v>
                </c:pt>
                <c:pt idx="10">
                  <c:v>2025</c:v>
                </c:pt>
                <c:pt idx="11">
                  <c:v>2026</c:v>
                </c:pt>
              </c:numCache>
            </c:numRef>
          </c:cat>
          <c:val>
            <c:numRef>
              <c:f>'[03.05.2024 Tablero de Control MCY 2024.xlsx]Cupos'!$S$55:$S$66</c:f>
              <c:numCache>
                <c:formatCode>#,##0</c:formatCode>
                <c:ptCount val="12"/>
                <c:pt idx="0">
                  <c:v>0</c:v>
                </c:pt>
                <c:pt idx="1">
                  <c:v>0</c:v>
                </c:pt>
                <c:pt idx="2">
                  <c:v>0</c:v>
                </c:pt>
                <c:pt idx="3">
                  <c:v>0</c:v>
                </c:pt>
                <c:pt idx="4">
                  <c:v>0</c:v>
                </c:pt>
                <c:pt idx="5">
                  <c:v>0</c:v>
                </c:pt>
                <c:pt idx="6">
                  <c:v>0</c:v>
                </c:pt>
                <c:pt idx="7">
                  <c:v>0</c:v>
                </c:pt>
                <c:pt idx="8">
                  <c:v>23100</c:v>
                </c:pt>
                <c:pt idx="9">
                  <c:v>33873</c:v>
                </c:pt>
                <c:pt idx="10">
                  <c:v>50000</c:v>
                </c:pt>
                <c:pt idx="11">
                  <c:v>50000</c:v>
                </c:pt>
              </c:numCache>
            </c:numRef>
          </c:val>
          <c:extLst>
            <c:ext xmlns:c16="http://schemas.microsoft.com/office/drawing/2014/chart" uri="{C3380CC4-5D6E-409C-BE32-E72D297353CC}">
              <c16:uniqueId val="{00000014-9A2D-4C83-A0EB-03531562AFB3}"/>
            </c:ext>
          </c:extLst>
        </c:ser>
        <c:dLbls>
          <c:showLegendKey val="0"/>
          <c:showVal val="0"/>
          <c:showCatName val="0"/>
          <c:showSerName val="0"/>
          <c:showPercent val="0"/>
          <c:showBubbleSize val="0"/>
        </c:dLbls>
        <c:gapWidth val="50"/>
        <c:overlap val="100"/>
        <c:axId val="-1167240768"/>
        <c:axId val="-1987087856"/>
      </c:barChart>
      <c:catAx>
        <c:axId val="-11672407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Verdana" panose="020B0604030504040204" pitchFamily="34" charset="0"/>
                <a:ea typeface="Verdana" panose="020B0604030504040204" pitchFamily="34" charset="0"/>
                <a:cs typeface="+mn-cs"/>
              </a:defRPr>
            </a:pPr>
            <a:endParaRPr lang="en-US"/>
          </a:p>
        </c:txPr>
        <c:crossAx val="-1987087856"/>
        <c:crosses val="autoZero"/>
        <c:auto val="1"/>
        <c:lblAlgn val="ctr"/>
        <c:lblOffset val="100"/>
        <c:noMultiLvlLbl val="0"/>
      </c:catAx>
      <c:valAx>
        <c:axId val="-1987087856"/>
        <c:scaling>
          <c:orientation val="minMax"/>
        </c:scaling>
        <c:delete val="1"/>
        <c:axPos val="l"/>
        <c:numFmt formatCode="#,##0" sourceLinked="1"/>
        <c:majorTickMark val="none"/>
        <c:minorTickMark val="none"/>
        <c:tickLblPos val="nextTo"/>
        <c:crossAx val="-11672407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Verdana" panose="020B0604030504040204" pitchFamily="34" charset="0"/>
          <a:ea typeface="Verdana" panose="020B060403050404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1" u="none" strike="noStrike" kern="1200" baseline="0">
                <a:solidFill>
                  <a:schemeClr val="tx2"/>
                </a:solidFill>
                <a:latin typeface="Montserrat" panose="00000500000000000000" pitchFamily="2" charset="0"/>
                <a:ea typeface="+mn-ea"/>
                <a:cs typeface="+mn-cs"/>
              </a:defRPr>
            </a:pPr>
            <a:r>
              <a:rPr lang="en-US" sz="960" i="1"/>
              <a:t>Gráfico 4. Subsidios asignados por clasificación del Sisbén IV</a:t>
            </a:r>
          </a:p>
        </c:rich>
      </c:tx>
      <c:overlay val="0"/>
      <c:spPr>
        <a:noFill/>
        <a:ln>
          <a:noFill/>
        </a:ln>
        <a:effectLst/>
      </c:spPr>
      <c:txPr>
        <a:bodyPr rot="0" spcFirstLastPara="1" vertOverflow="ellipsis" vert="horz" wrap="square" anchor="ctr" anchorCtr="1"/>
        <a:lstStyle/>
        <a:p>
          <a:pPr>
            <a:defRPr sz="960" b="1" i="1" u="none" strike="noStrike" kern="1200" baseline="0">
              <a:solidFill>
                <a:schemeClr val="tx2"/>
              </a:solidFill>
              <a:latin typeface="Montserrat" panose="00000500000000000000" pitchFamily="2" charset="0"/>
              <a:ea typeface="+mn-ea"/>
              <a:cs typeface="+mn-cs"/>
            </a:defRPr>
          </a:pPr>
          <a:endParaRPr lang="en-US"/>
        </a:p>
      </c:txPr>
    </c:title>
    <c:autoTitleDeleted val="0"/>
    <c:plotArea>
      <c:layout>
        <c:manualLayout>
          <c:layoutTarget val="inner"/>
          <c:xMode val="edge"/>
          <c:yMode val="edge"/>
          <c:x val="3.05555555555556E-2"/>
          <c:y val="0.20196777486147599"/>
          <c:w val="0.93888888888888899"/>
          <c:h val="0.68162839020122501"/>
        </c:manualLayout>
      </c:layout>
      <c:barChart>
        <c:barDir val="col"/>
        <c:grouping val="clustered"/>
        <c:varyColors val="0"/>
        <c:ser>
          <c:idx val="0"/>
          <c:order val="0"/>
          <c:tx>
            <c:v>No. de subsidios</c:v>
          </c:tx>
          <c:spPr>
            <a:solidFill>
              <a:schemeClr val="accent6"/>
            </a:solidFill>
            <a:ln>
              <a:noFill/>
            </a:ln>
            <a:effectLst/>
          </c:spPr>
          <c:invertIfNegative val="0"/>
          <c:dLbls>
            <c:numFmt formatCode="#,##0" sourceLinked="0"/>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2"/>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'[2023-2024 3 de mayo.xlsx]Asignaciones'!$A$66:$A$115</c:f>
              <c:strCache>
                <c:ptCount val="50"/>
                <c:pt idx="0">
                  <c:v>A1</c:v>
                </c:pt>
                <c:pt idx="1">
                  <c:v>A2</c:v>
                </c:pt>
                <c:pt idx="2">
                  <c:v>A3</c:v>
                </c:pt>
                <c:pt idx="3">
                  <c:v>A4</c:v>
                </c:pt>
                <c:pt idx="4">
                  <c:v>A5</c:v>
                </c:pt>
                <c:pt idx="5">
                  <c:v>B1</c:v>
                </c:pt>
                <c:pt idx="6">
                  <c:v>B2</c:v>
                </c:pt>
                <c:pt idx="7">
                  <c:v>B3</c:v>
                </c:pt>
                <c:pt idx="8">
                  <c:v>B4</c:v>
                </c:pt>
                <c:pt idx="9">
                  <c:v>B5</c:v>
                </c:pt>
                <c:pt idx="10">
                  <c:v>B6</c:v>
                </c:pt>
                <c:pt idx="11">
                  <c:v>B7</c:v>
                </c:pt>
                <c:pt idx="12">
                  <c:v>C1</c:v>
                </c:pt>
                <c:pt idx="13">
                  <c:v>C2</c:v>
                </c:pt>
                <c:pt idx="14">
                  <c:v>C3</c:v>
                </c:pt>
                <c:pt idx="15">
                  <c:v>C4</c:v>
                </c:pt>
                <c:pt idx="16">
                  <c:v>C5</c:v>
                </c:pt>
                <c:pt idx="17">
                  <c:v>C6</c:v>
                </c:pt>
                <c:pt idx="18">
                  <c:v>C7</c:v>
                </c:pt>
                <c:pt idx="19">
                  <c:v>C8</c:v>
                </c:pt>
                <c:pt idx="20">
                  <c:v>C9</c:v>
                </c:pt>
                <c:pt idx="21">
                  <c:v>C10</c:v>
                </c:pt>
                <c:pt idx="22">
                  <c:v>C11</c:v>
                </c:pt>
                <c:pt idx="23">
                  <c:v>C12</c:v>
                </c:pt>
                <c:pt idx="24">
                  <c:v>C13</c:v>
                </c:pt>
                <c:pt idx="25">
                  <c:v>C14</c:v>
                </c:pt>
                <c:pt idx="26">
                  <c:v>C15</c:v>
                </c:pt>
                <c:pt idx="27">
                  <c:v>C16</c:v>
                </c:pt>
                <c:pt idx="28">
                  <c:v>C17</c:v>
                </c:pt>
                <c:pt idx="29">
                  <c:v>C18</c:v>
                </c:pt>
                <c:pt idx="30">
                  <c:v>D1</c:v>
                </c:pt>
                <c:pt idx="31">
                  <c:v>D2</c:v>
                </c:pt>
                <c:pt idx="32">
                  <c:v>D3</c:v>
                </c:pt>
                <c:pt idx="33">
                  <c:v>D4</c:v>
                </c:pt>
                <c:pt idx="34">
                  <c:v>D5</c:v>
                </c:pt>
                <c:pt idx="35">
                  <c:v>D6</c:v>
                </c:pt>
                <c:pt idx="36">
                  <c:v>D7</c:v>
                </c:pt>
                <c:pt idx="37">
                  <c:v>D8</c:v>
                </c:pt>
                <c:pt idx="38">
                  <c:v>D9</c:v>
                </c:pt>
                <c:pt idx="39">
                  <c:v>D10</c:v>
                </c:pt>
                <c:pt idx="40">
                  <c:v>D11</c:v>
                </c:pt>
                <c:pt idx="41">
                  <c:v>D12</c:v>
                </c:pt>
                <c:pt idx="42">
                  <c:v>D13</c:v>
                </c:pt>
                <c:pt idx="43">
                  <c:v>D14</c:v>
                </c:pt>
                <c:pt idx="44">
                  <c:v>D15</c:v>
                </c:pt>
                <c:pt idx="45">
                  <c:v>D16</c:v>
                </c:pt>
                <c:pt idx="46">
                  <c:v>D17</c:v>
                </c:pt>
                <c:pt idx="47">
                  <c:v>D18</c:v>
                </c:pt>
                <c:pt idx="48">
                  <c:v>D19</c:v>
                </c:pt>
                <c:pt idx="49">
                  <c:v>D20</c:v>
                </c:pt>
              </c:strCache>
            </c:strRef>
          </c:cat>
          <c:val>
            <c:numRef>
              <c:f>'[2023-2024 3 de mayo.xlsx]Asignaciones'!$B$66:$B$115</c:f>
              <c:numCache>
                <c:formatCode>#,##0</c:formatCode>
                <c:ptCount val="50"/>
                <c:pt idx="0">
                  <c:v>976</c:v>
                </c:pt>
                <c:pt idx="1">
                  <c:v>2452</c:v>
                </c:pt>
                <c:pt idx="2">
                  <c:v>3314</c:v>
                </c:pt>
                <c:pt idx="3">
                  <c:v>3981</c:v>
                </c:pt>
                <c:pt idx="4">
                  <c:v>3547</c:v>
                </c:pt>
                <c:pt idx="5">
                  <c:v>3774</c:v>
                </c:pt>
                <c:pt idx="6">
                  <c:v>3878</c:v>
                </c:pt>
                <c:pt idx="7">
                  <c:v>3880</c:v>
                </c:pt>
                <c:pt idx="8">
                  <c:v>3409</c:v>
                </c:pt>
                <c:pt idx="9">
                  <c:v>3590</c:v>
                </c:pt>
                <c:pt idx="10">
                  <c:v>3209</c:v>
                </c:pt>
                <c:pt idx="11">
                  <c:v>3135</c:v>
                </c:pt>
                <c:pt idx="12">
                  <c:v>2570</c:v>
                </c:pt>
                <c:pt idx="13">
                  <c:v>2245</c:v>
                </c:pt>
                <c:pt idx="14">
                  <c:v>1940</c:v>
                </c:pt>
                <c:pt idx="15">
                  <c:v>1803</c:v>
                </c:pt>
                <c:pt idx="16">
                  <c:v>1618</c:v>
                </c:pt>
                <c:pt idx="17">
                  <c:v>1614</c:v>
                </c:pt>
                <c:pt idx="18">
                  <c:v>1451</c:v>
                </c:pt>
                <c:pt idx="19">
                  <c:v>1316</c:v>
                </c:pt>
                <c:pt idx="20">
                  <c:v>997</c:v>
                </c:pt>
                <c:pt idx="21">
                  <c:v>955</c:v>
                </c:pt>
                <c:pt idx="22">
                  <c:v>938</c:v>
                </c:pt>
                <c:pt idx="23">
                  <c:v>871</c:v>
                </c:pt>
                <c:pt idx="24">
                  <c:v>712</c:v>
                </c:pt>
                <c:pt idx="25">
                  <c:v>660</c:v>
                </c:pt>
                <c:pt idx="26">
                  <c:v>641</c:v>
                </c:pt>
                <c:pt idx="27">
                  <c:v>566</c:v>
                </c:pt>
                <c:pt idx="28">
                  <c:v>544</c:v>
                </c:pt>
                <c:pt idx="29">
                  <c:v>516</c:v>
                </c:pt>
                <c:pt idx="30">
                  <c:v>454</c:v>
                </c:pt>
                <c:pt idx="31">
                  <c:v>422</c:v>
                </c:pt>
                <c:pt idx="32">
                  <c:v>368</c:v>
                </c:pt>
                <c:pt idx="33">
                  <c:v>350</c:v>
                </c:pt>
                <c:pt idx="34">
                  <c:v>461</c:v>
                </c:pt>
                <c:pt idx="35">
                  <c:v>384</c:v>
                </c:pt>
                <c:pt idx="36">
                  <c:v>386</c:v>
                </c:pt>
                <c:pt idx="37">
                  <c:v>353</c:v>
                </c:pt>
                <c:pt idx="38">
                  <c:v>366</c:v>
                </c:pt>
                <c:pt idx="39">
                  <c:v>393</c:v>
                </c:pt>
                <c:pt idx="40">
                  <c:v>394</c:v>
                </c:pt>
                <c:pt idx="41">
                  <c:v>353</c:v>
                </c:pt>
                <c:pt idx="42">
                  <c:v>344</c:v>
                </c:pt>
                <c:pt idx="43">
                  <c:v>384</c:v>
                </c:pt>
                <c:pt idx="44">
                  <c:v>281</c:v>
                </c:pt>
                <c:pt idx="45">
                  <c:v>289</c:v>
                </c:pt>
                <c:pt idx="46">
                  <c:v>328</c:v>
                </c:pt>
                <c:pt idx="47">
                  <c:v>322</c:v>
                </c:pt>
                <c:pt idx="48">
                  <c:v>272</c:v>
                </c:pt>
                <c:pt idx="49">
                  <c:v>265</c:v>
                </c:pt>
              </c:numCache>
            </c:numRef>
          </c:val>
          <c:extLst>
            <c:ext xmlns:c16="http://schemas.microsoft.com/office/drawing/2014/chart" uri="{C3380CC4-5D6E-409C-BE32-E72D297353CC}">
              <c16:uniqueId val="{00000000-A037-44B6-AF57-30A80F167719}"/>
            </c:ext>
          </c:extLst>
        </c:ser>
        <c:dLbls>
          <c:showLegendKey val="0"/>
          <c:showVal val="0"/>
          <c:showCatName val="0"/>
          <c:showSerName val="0"/>
          <c:showPercent val="0"/>
          <c:showBubbleSize val="0"/>
        </c:dLbls>
        <c:gapWidth val="100"/>
        <c:overlap val="-24"/>
        <c:axId val="-2101951648"/>
        <c:axId val="-2102319968"/>
      </c:barChart>
      <c:catAx>
        <c:axId val="-21019516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600" b="0" i="0" u="none" strike="noStrike" kern="1200" baseline="0">
                <a:solidFill>
                  <a:schemeClr val="tx2"/>
                </a:solidFill>
                <a:latin typeface="Verdana" panose="020B0604030504040204" pitchFamily="34" charset="0"/>
                <a:ea typeface="Verdana" panose="020B0604030504040204" pitchFamily="34" charset="0"/>
                <a:cs typeface="+mn-cs"/>
              </a:defRPr>
            </a:pPr>
            <a:endParaRPr lang="en-US"/>
          </a:p>
        </c:txPr>
        <c:crossAx val="-2102319968"/>
        <c:crosses val="autoZero"/>
        <c:auto val="1"/>
        <c:lblAlgn val="ctr"/>
        <c:lblOffset val="100"/>
        <c:noMultiLvlLbl val="0"/>
      </c:catAx>
      <c:valAx>
        <c:axId val="-2102319968"/>
        <c:scaling>
          <c:orientation val="minMax"/>
        </c:scaling>
        <c:delete val="1"/>
        <c:axPos val="l"/>
        <c:numFmt formatCode="#,##0" sourceLinked="1"/>
        <c:majorTickMark val="none"/>
        <c:minorTickMark val="none"/>
        <c:tickLblPos val="nextTo"/>
        <c:crossAx val="-2101951648"/>
        <c:crosses val="autoZero"/>
        <c:crossBetween val="between"/>
      </c:valAx>
      <c:spPr>
        <a:noFill/>
        <a:ln w="25400">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Montserrat" panose="00000500000000000000" pitchFamily="2"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1"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es-CO" sz="800" b="1" i="1">
                <a:solidFill>
                  <a:schemeClr val="tx2"/>
                </a:solidFill>
              </a:rPr>
              <a:t>Gráfico</a:t>
            </a:r>
            <a:r>
              <a:rPr lang="es-CO" sz="800" b="1" i="1" baseline="0">
                <a:solidFill>
                  <a:schemeClr val="tx2"/>
                </a:solidFill>
              </a:rPr>
              <a:t> 5. </a:t>
            </a:r>
            <a:r>
              <a:rPr lang="es-CO" sz="800" b="1" i="1">
                <a:solidFill>
                  <a:schemeClr val="tx2"/>
                </a:solidFill>
              </a:rPr>
              <a:t>Evolución de la participación de asignaciones por criterios para cada año</a:t>
            </a:r>
          </a:p>
        </c:rich>
      </c:tx>
      <c:overlay val="0"/>
      <c:spPr>
        <a:noFill/>
        <a:ln>
          <a:noFill/>
        </a:ln>
        <a:effectLst/>
      </c:spPr>
      <c:txPr>
        <a:bodyPr rot="0" spcFirstLastPara="1" vertOverflow="ellipsis" vert="horz" wrap="square" anchor="ctr" anchorCtr="1"/>
        <a:lstStyle/>
        <a:p>
          <a:pPr>
            <a:defRPr sz="800" b="0" i="1"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title>
    <c:autoTitleDeleted val="0"/>
    <c:plotArea>
      <c:layout/>
      <c:barChart>
        <c:barDir val="col"/>
        <c:grouping val="clustered"/>
        <c:varyColors val="0"/>
        <c:ser>
          <c:idx val="0"/>
          <c:order val="0"/>
          <c:tx>
            <c:strRef>
              <c:f>Hoja1!$A$3</c:f>
              <c:strCache>
                <c:ptCount val="1"/>
                <c:pt idx="0">
                  <c:v>2021</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Hoja1!$H$2:$K$2</c:f>
              <c:strCache>
                <c:ptCount val="4"/>
                <c:pt idx="0">
                  <c:v>Municipios 3, 4 , 5 y 6</c:v>
                </c:pt>
                <c:pt idx="1">
                  <c:v>Mujer Cabeza de hogar</c:v>
                </c:pt>
                <c:pt idx="2">
                  <c:v>Víctimas</c:v>
                </c:pt>
                <c:pt idx="3">
                  <c:v>VIP</c:v>
                </c:pt>
              </c:strCache>
              <c:extLst/>
            </c:strRef>
          </c:cat>
          <c:val>
            <c:numRef>
              <c:f>Hoja1!$H$3:$K$3</c:f>
              <c:numCache>
                <c:formatCode>0%</c:formatCode>
                <c:ptCount val="4"/>
                <c:pt idx="0">
                  <c:v>0.21924615017309301</c:v>
                </c:pt>
                <c:pt idx="1">
                  <c:v>6.7118300107436996E-2</c:v>
                </c:pt>
                <c:pt idx="2">
                  <c:v>9.4813178942342105E-2</c:v>
                </c:pt>
                <c:pt idx="3">
                  <c:v>0.28873701802554602</c:v>
                </c:pt>
              </c:numCache>
              <c:extLst/>
            </c:numRef>
          </c:val>
          <c:extLst>
            <c:ext xmlns:c16="http://schemas.microsoft.com/office/drawing/2014/chart" uri="{C3380CC4-5D6E-409C-BE32-E72D297353CC}">
              <c16:uniqueId val="{00000000-37F4-4ADA-B36C-F61E6BF773CF}"/>
            </c:ext>
          </c:extLst>
        </c:ser>
        <c:ser>
          <c:idx val="1"/>
          <c:order val="1"/>
          <c:tx>
            <c:strRef>
              <c:f>Hoja1!$A$4</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Hoja1!$H$2:$K$2</c:f>
              <c:strCache>
                <c:ptCount val="4"/>
                <c:pt idx="0">
                  <c:v>Municipios 3, 4 , 5 y 6</c:v>
                </c:pt>
                <c:pt idx="1">
                  <c:v>Mujer Cabeza de hogar</c:v>
                </c:pt>
                <c:pt idx="2">
                  <c:v>Víctimas</c:v>
                </c:pt>
                <c:pt idx="3">
                  <c:v>VIP</c:v>
                </c:pt>
              </c:strCache>
              <c:extLst/>
            </c:strRef>
          </c:cat>
          <c:val>
            <c:numRef>
              <c:f>Hoja1!$H$4:$K$4</c:f>
              <c:numCache>
                <c:formatCode>0%</c:formatCode>
                <c:ptCount val="4"/>
                <c:pt idx="0">
                  <c:v>0.26172341696535201</c:v>
                </c:pt>
                <c:pt idx="1">
                  <c:v>5.5630227001194701E-2</c:v>
                </c:pt>
                <c:pt idx="2">
                  <c:v>9.7207287933094397E-2</c:v>
                </c:pt>
                <c:pt idx="3">
                  <c:v>0.30999103942652301</c:v>
                </c:pt>
              </c:numCache>
              <c:extLst/>
            </c:numRef>
          </c:val>
          <c:extLst>
            <c:ext xmlns:c16="http://schemas.microsoft.com/office/drawing/2014/chart" uri="{C3380CC4-5D6E-409C-BE32-E72D297353CC}">
              <c16:uniqueId val="{00000001-37F4-4ADA-B36C-F61E6BF773CF}"/>
            </c:ext>
          </c:extLst>
        </c:ser>
        <c:ser>
          <c:idx val="2"/>
          <c:order val="2"/>
          <c:tx>
            <c:strRef>
              <c:f>Hoja1!$A$5</c:f>
              <c:strCache>
                <c:ptCount val="1"/>
                <c:pt idx="0">
                  <c:v>2023</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Hoja1!$H$2:$K$2</c:f>
              <c:strCache>
                <c:ptCount val="4"/>
                <c:pt idx="0">
                  <c:v>Municipios 3, 4 , 5 y 6</c:v>
                </c:pt>
                <c:pt idx="1">
                  <c:v>Mujer Cabeza de hogar</c:v>
                </c:pt>
                <c:pt idx="2">
                  <c:v>Víctimas</c:v>
                </c:pt>
                <c:pt idx="3">
                  <c:v>VIP</c:v>
                </c:pt>
              </c:strCache>
              <c:extLst/>
            </c:strRef>
          </c:cat>
          <c:val>
            <c:numRef>
              <c:f>Hoja1!$H$5:$K$5</c:f>
              <c:numCache>
                <c:formatCode>0%</c:formatCode>
                <c:ptCount val="4"/>
                <c:pt idx="0">
                  <c:v>0.27339674746854897</c:v>
                </c:pt>
                <c:pt idx="1">
                  <c:v>0.132325866830316</c:v>
                </c:pt>
                <c:pt idx="2">
                  <c:v>0.108603099110156</c:v>
                </c:pt>
                <c:pt idx="3">
                  <c:v>0.34652117213869299</c:v>
                </c:pt>
              </c:numCache>
              <c:extLst/>
            </c:numRef>
          </c:val>
          <c:extLst>
            <c:ext xmlns:c16="http://schemas.microsoft.com/office/drawing/2014/chart" uri="{C3380CC4-5D6E-409C-BE32-E72D297353CC}">
              <c16:uniqueId val="{00000002-37F4-4ADA-B36C-F61E6BF773CF}"/>
            </c:ext>
          </c:extLst>
        </c:ser>
        <c:dLbls>
          <c:showLegendKey val="0"/>
          <c:showVal val="0"/>
          <c:showCatName val="0"/>
          <c:showSerName val="0"/>
          <c:showPercent val="0"/>
          <c:showBubbleSize val="0"/>
        </c:dLbls>
        <c:gapWidth val="219"/>
        <c:overlap val="-27"/>
        <c:axId val="-2105308864"/>
        <c:axId val="-2075251136"/>
      </c:barChart>
      <c:catAx>
        <c:axId val="-210530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crossAx val="-2075251136"/>
        <c:crosses val="autoZero"/>
        <c:auto val="1"/>
        <c:lblAlgn val="ctr"/>
        <c:lblOffset val="100"/>
        <c:noMultiLvlLbl val="0"/>
      </c:catAx>
      <c:valAx>
        <c:axId val="-2075251136"/>
        <c:scaling>
          <c:orientation val="minMax"/>
        </c:scaling>
        <c:delete val="1"/>
        <c:axPos val="l"/>
        <c:numFmt formatCode="0%" sourceLinked="1"/>
        <c:majorTickMark val="none"/>
        <c:minorTickMark val="none"/>
        <c:tickLblPos val="nextTo"/>
        <c:crossAx val="-210530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Verdana" panose="020B0604030504040204" pitchFamily="34" charset="0"/>
          <a:ea typeface="Verdana" panose="020B060403050404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9936D-62B3-4B69-8CEF-1A78E7BC8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DB93B-AF9A-4B79-B045-5960F5F85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5EDEED-CD16-4D95-8EC2-80774B1EAABD}">
  <ds:schemaRefs>
    <ds:schemaRef ds:uri="http://schemas.microsoft.com/office/2006/metadata/longProperties"/>
  </ds:schemaRefs>
</ds:datastoreItem>
</file>

<file path=customXml/itemProps4.xml><?xml version="1.0" encoding="utf-8"?>
<ds:datastoreItem xmlns:ds="http://schemas.openxmlformats.org/officeDocument/2006/customXml" ds:itemID="{10857C35-8A49-49C0-AD9E-040D374CD594}">
  <ds:schemaRefs>
    <ds:schemaRef ds:uri="http://schemas.microsoft.com/sharepoint/v3/contenttype/forms"/>
  </ds:schemaRefs>
</ds:datastoreItem>
</file>

<file path=customXml/itemProps5.xml><?xml version="1.0" encoding="utf-8"?>
<ds:datastoreItem xmlns:ds="http://schemas.openxmlformats.org/officeDocument/2006/customXml" ds:itemID="{49536DB3-AE0B-42AF-B87B-A73379E9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1331</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cp:lastModifiedBy>Paola Ávila </cp:lastModifiedBy>
  <cp:revision>5</cp:revision>
  <cp:lastPrinted>2023-11-03T17:29:00Z</cp:lastPrinted>
  <dcterms:created xsi:type="dcterms:W3CDTF">2024-05-09T19:48:00Z</dcterms:created>
  <dcterms:modified xsi:type="dcterms:W3CDTF">2024-05-10T11:56:00Z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Isidro Melquicedec Bastidas Yela</vt:lpwstr>
  </property>
  <property fmtid="{D5CDD505-2E9C-101B-9397-08002B2CF9AE}" pid="3" name="Order">
    <vt:lpwstr>1457500.00000000</vt:lpwstr>
  </property>
  <property fmtid="{D5CDD505-2E9C-101B-9397-08002B2CF9AE}" pid="4" name="ComplianceAssetId">
    <vt:lpwstr/>
  </property>
  <property fmtid="{D5CDD505-2E9C-101B-9397-08002B2CF9AE}" pid="5" name="display_urn:schemas-microsoft-com:office:office#Author">
    <vt:lpwstr>Isidro Melquicedec Bastidas Yela</vt:lpwstr>
  </property>
  <property fmtid="{D5CDD505-2E9C-101B-9397-08002B2CF9AE}" pid="6" name="_ExtendedDescription">
    <vt:lpwstr/>
  </property>
  <property fmtid="{D5CDD505-2E9C-101B-9397-08002B2CF9AE}" pid="7" name="SharedWithUsers">
    <vt:lpwstr/>
  </property>
  <property fmtid="{D5CDD505-2E9C-101B-9397-08002B2CF9AE}" pid="8" name="ContentTypeId">
    <vt:lpwstr>0x010100D835003687882147BC791134D3DD2016</vt:lpwstr>
  </property>
  <property fmtid="{D5CDD505-2E9C-101B-9397-08002B2CF9AE}" pid="9" name="TriggerFlowInfo">
    <vt:lpwstr/>
  </property>
  <property fmtid="{D5CDD505-2E9C-101B-9397-08002B2CF9AE}" pid="10" name="MediaLengthInSeconds">
    <vt:lpwstr/>
  </property>
</Properties>
</file>