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1F9A8" w14:textId="77777777" w:rsidR="004D0829" w:rsidRPr="000226FE" w:rsidRDefault="004D0829" w:rsidP="00E657D3">
      <w:pPr>
        <w:rPr>
          <w:rFonts w:ascii="Verdana" w:hAnsi="Verdana"/>
        </w:rPr>
      </w:pPr>
    </w:p>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CellMar>
          <w:left w:w="70" w:type="dxa"/>
          <w:right w:w="70" w:type="dxa"/>
        </w:tblCellMar>
        <w:tblLook w:val="0000" w:firstRow="0" w:lastRow="0" w:firstColumn="0" w:lastColumn="0" w:noHBand="0" w:noVBand="0"/>
      </w:tblPr>
      <w:tblGrid>
        <w:gridCol w:w="3434"/>
        <w:gridCol w:w="4221"/>
        <w:gridCol w:w="3119"/>
      </w:tblGrid>
      <w:tr w:rsidR="00856F73" w:rsidRPr="000226FE" w14:paraId="6873AF8D" w14:textId="77777777" w:rsidTr="007A22DE">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5E03605F" w14:textId="77777777" w:rsidR="004D0829" w:rsidRPr="000226FE" w:rsidRDefault="004D0829" w:rsidP="00E657D3">
            <w:pPr>
              <w:pStyle w:val="Ttulo2"/>
              <w:ind w:right="72"/>
              <w:jc w:val="left"/>
              <w:rPr>
                <w:rFonts w:ascii="Verdana" w:hAnsi="Verdana" w:cs="Arial"/>
                <w:bCs/>
              </w:rPr>
            </w:pPr>
            <w:r w:rsidRPr="000226FE">
              <w:rPr>
                <w:rFonts w:ascii="Verdana" w:hAnsi="Verdana" w:cs="Arial"/>
                <w:lang w:val="es-CO"/>
              </w:rPr>
              <w:t>Entidad originadora:</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4294FB26" w14:textId="77777777" w:rsidR="004D0829" w:rsidRPr="000226FE" w:rsidRDefault="004D0829" w:rsidP="00E657D3">
            <w:pPr>
              <w:pStyle w:val="Ttulo2"/>
              <w:ind w:left="72" w:right="72"/>
              <w:jc w:val="both"/>
              <w:rPr>
                <w:rFonts w:ascii="Verdana" w:hAnsi="Verdana" w:cs="Arial"/>
                <w:b w:val="0"/>
                <w:iCs/>
              </w:rPr>
            </w:pPr>
            <w:r w:rsidRPr="000226FE">
              <w:rPr>
                <w:rFonts w:ascii="Verdana" w:hAnsi="Verdana" w:cs="Arial"/>
                <w:b w:val="0"/>
                <w:iCs/>
              </w:rPr>
              <w:t>Ministerio de Vivienda, Ciudad y Territorio</w:t>
            </w:r>
          </w:p>
        </w:tc>
      </w:tr>
      <w:tr w:rsidR="00856F73" w:rsidRPr="000226FE" w14:paraId="74216ACF" w14:textId="77777777" w:rsidTr="007A22DE">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3922B0C1" w14:textId="77777777" w:rsidR="004D0829" w:rsidRPr="000226FE" w:rsidRDefault="004D0829" w:rsidP="00E657D3">
            <w:pPr>
              <w:pStyle w:val="Ttulo2"/>
              <w:ind w:right="72"/>
              <w:jc w:val="left"/>
              <w:rPr>
                <w:rFonts w:ascii="Verdana" w:hAnsi="Verdana" w:cs="Arial"/>
                <w:bCs/>
              </w:rPr>
            </w:pPr>
            <w:r w:rsidRPr="000226FE">
              <w:rPr>
                <w:rFonts w:ascii="Verdana" w:hAnsi="Verdana" w:cs="Arial"/>
                <w:bCs/>
              </w:rPr>
              <w:t>Fecha (</w:t>
            </w:r>
            <w:proofErr w:type="spellStart"/>
            <w:r w:rsidRPr="000226FE">
              <w:rPr>
                <w:rFonts w:ascii="Verdana" w:hAnsi="Verdana" w:cs="Arial"/>
                <w:bCs/>
              </w:rPr>
              <w:t>dd</w:t>
            </w:r>
            <w:proofErr w:type="spellEnd"/>
            <w:r w:rsidRPr="000226FE">
              <w:rPr>
                <w:rFonts w:ascii="Verdana" w:hAnsi="Verdana" w:cs="Arial"/>
                <w:bCs/>
              </w:rPr>
              <w:t>/mm/</w:t>
            </w:r>
            <w:proofErr w:type="spellStart"/>
            <w:r w:rsidRPr="000226FE">
              <w:rPr>
                <w:rFonts w:ascii="Verdana" w:hAnsi="Verdana" w:cs="Arial"/>
                <w:bCs/>
              </w:rPr>
              <w:t>aa</w:t>
            </w:r>
            <w:proofErr w:type="spellEnd"/>
            <w:r w:rsidRPr="000226FE">
              <w:rPr>
                <w:rFonts w:ascii="Verdana" w:hAnsi="Verdana" w:cs="Arial"/>
                <w:bCs/>
              </w:rPr>
              <w:t>):</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02E3B19C" w14:textId="31F5E8B2" w:rsidR="004D0829" w:rsidRPr="000226FE" w:rsidRDefault="004D0829" w:rsidP="00E657D3">
            <w:pPr>
              <w:pStyle w:val="Ttulo2"/>
              <w:ind w:left="72" w:right="72"/>
              <w:jc w:val="both"/>
              <w:rPr>
                <w:rFonts w:ascii="Verdana" w:hAnsi="Verdana" w:cs="Arial"/>
                <w:b w:val="0"/>
                <w:iCs/>
              </w:rPr>
            </w:pPr>
          </w:p>
        </w:tc>
      </w:tr>
      <w:tr w:rsidR="00856F73" w:rsidRPr="000226FE" w14:paraId="35F2B3CC" w14:textId="77777777" w:rsidTr="007A22DE">
        <w:trPr>
          <w:trHeight w:val="97"/>
        </w:trPr>
        <w:tc>
          <w:tcPr>
            <w:tcW w:w="3434" w:type="dxa"/>
            <w:tcBorders>
              <w:top w:val="single" w:sz="4" w:space="0" w:color="auto"/>
              <w:bottom w:val="single" w:sz="4" w:space="0" w:color="auto"/>
              <w:right w:val="single" w:sz="4" w:space="0" w:color="auto"/>
            </w:tcBorders>
            <w:shd w:val="clear" w:color="auto" w:fill="auto"/>
            <w:vAlign w:val="center"/>
          </w:tcPr>
          <w:p w14:paraId="410B8FCC" w14:textId="77777777" w:rsidR="004D0829" w:rsidRPr="000226FE" w:rsidRDefault="004D0829" w:rsidP="00E657D3">
            <w:pPr>
              <w:pStyle w:val="Ttulo2"/>
              <w:ind w:right="72"/>
              <w:jc w:val="left"/>
              <w:rPr>
                <w:rFonts w:ascii="Verdana" w:hAnsi="Verdana" w:cs="Arial"/>
                <w:bCs/>
              </w:rPr>
            </w:pPr>
            <w:r w:rsidRPr="000226FE">
              <w:rPr>
                <w:rFonts w:ascii="Verdana" w:hAnsi="Verdana" w:cs="Arial"/>
                <w:bCs/>
              </w:rPr>
              <w:t>Proyecto de Decreto/Resolución:</w:t>
            </w:r>
          </w:p>
        </w:tc>
        <w:tc>
          <w:tcPr>
            <w:tcW w:w="7340" w:type="dxa"/>
            <w:gridSpan w:val="2"/>
            <w:tcBorders>
              <w:top w:val="single" w:sz="4" w:space="0" w:color="auto"/>
              <w:left w:val="single" w:sz="4" w:space="0" w:color="auto"/>
              <w:bottom w:val="single" w:sz="4" w:space="0" w:color="auto"/>
            </w:tcBorders>
            <w:shd w:val="clear" w:color="auto" w:fill="FFFFFF"/>
            <w:vAlign w:val="center"/>
          </w:tcPr>
          <w:p w14:paraId="7398549B" w14:textId="5796A4AE" w:rsidR="004D0829" w:rsidRPr="000226FE" w:rsidRDefault="00DA0105" w:rsidP="00DA0105">
            <w:pPr>
              <w:pStyle w:val="Ttulo2"/>
              <w:ind w:left="72" w:right="72"/>
              <w:jc w:val="both"/>
              <w:rPr>
                <w:rFonts w:ascii="Verdana" w:hAnsi="Verdana" w:cs="Arial"/>
                <w:b w:val="0"/>
                <w:i/>
                <w:iCs/>
              </w:rPr>
            </w:pPr>
            <w:r w:rsidRPr="000226FE">
              <w:rPr>
                <w:rFonts w:ascii="Verdana" w:hAnsi="Verdana" w:cs="Arial"/>
                <w:b w:val="0"/>
                <w:i/>
                <w:iCs/>
              </w:rPr>
              <w:t>“Por el cual se modifica el Decreto 1077 de 2015 en relación con el precio máximo de la vivienda de interés social y se dictan otras disposiciones”</w:t>
            </w:r>
          </w:p>
        </w:tc>
      </w:tr>
      <w:tr w:rsidR="005A2F1E" w:rsidRPr="000226FE" w14:paraId="0746904F" w14:textId="77777777" w:rsidTr="004C5C43">
        <w:trPr>
          <w:trHeight w:val="12432"/>
        </w:trPr>
        <w:tc>
          <w:tcPr>
            <w:tcW w:w="10774" w:type="dxa"/>
            <w:gridSpan w:val="3"/>
            <w:tcBorders>
              <w:top w:val="single" w:sz="4" w:space="0" w:color="auto"/>
            </w:tcBorders>
            <w:shd w:val="clear" w:color="auto" w:fill="FFFFFF"/>
            <w:vAlign w:val="center"/>
          </w:tcPr>
          <w:p w14:paraId="3AE86BC2" w14:textId="77777777" w:rsidR="004D0829" w:rsidRPr="000226FE" w:rsidRDefault="004D0829" w:rsidP="00E657D3">
            <w:pPr>
              <w:autoSpaceDE w:val="0"/>
              <w:autoSpaceDN w:val="0"/>
              <w:adjustRightInd w:val="0"/>
              <w:jc w:val="both"/>
              <w:rPr>
                <w:rFonts w:ascii="Verdana" w:hAnsi="Verdana" w:cs="Arial"/>
              </w:rPr>
            </w:pPr>
          </w:p>
          <w:p w14:paraId="017AB25E" w14:textId="77777777" w:rsidR="004D0829" w:rsidRPr="000226FE" w:rsidRDefault="004D0829" w:rsidP="00E657D3">
            <w:pPr>
              <w:numPr>
                <w:ilvl w:val="0"/>
                <w:numId w:val="1"/>
              </w:numPr>
              <w:ind w:left="494"/>
              <w:jc w:val="both"/>
              <w:rPr>
                <w:rFonts w:ascii="Verdana" w:hAnsi="Verdana" w:cs="Arial"/>
              </w:rPr>
            </w:pPr>
            <w:bookmarkStart w:id="0" w:name="_Hlk167699424"/>
            <w:r w:rsidRPr="000226FE">
              <w:rPr>
                <w:rFonts w:ascii="Verdana" w:hAnsi="Verdana" w:cs="Arial"/>
              </w:rPr>
              <w:t>ANTECEDENTES Y RAZONES DE OPORTUNIDAD Y CONVENIENCIA QUE JUSTIFICAN SU EXPEDICIÓN</w:t>
            </w:r>
            <w:bookmarkEnd w:id="0"/>
            <w:r w:rsidRPr="000226FE">
              <w:rPr>
                <w:rFonts w:ascii="Verdana" w:hAnsi="Verdana" w:cs="Arial"/>
              </w:rPr>
              <w:t>.</w:t>
            </w:r>
          </w:p>
          <w:p w14:paraId="7C303EE1" w14:textId="77777777" w:rsidR="004D0829" w:rsidRPr="000226FE" w:rsidRDefault="004D0829" w:rsidP="00E657D3">
            <w:pPr>
              <w:ind w:left="134"/>
              <w:jc w:val="both"/>
              <w:rPr>
                <w:rFonts w:ascii="Verdana" w:hAnsi="Verdana" w:cs="Arial"/>
              </w:rPr>
            </w:pPr>
          </w:p>
          <w:p w14:paraId="574E2C94" w14:textId="03CD4EFD" w:rsidR="004D0829" w:rsidRPr="000226FE" w:rsidRDefault="004D0829" w:rsidP="00E657D3">
            <w:pPr>
              <w:ind w:left="142" w:right="162"/>
              <w:jc w:val="both"/>
              <w:rPr>
                <w:rFonts w:ascii="Verdana" w:hAnsi="Verdana" w:cs="Arial"/>
              </w:rPr>
            </w:pPr>
            <w:r w:rsidRPr="000226FE">
              <w:rPr>
                <w:rFonts w:ascii="Verdana" w:hAnsi="Verdana" w:cs="Arial"/>
              </w:rPr>
              <w:t>El artículo 44 de la Ley 9 de 1989, modificado por el artículo 91 de la Ley 388 de 1997, definió a la vivienda de interés social como aquella que se desarrolla para garantizar el derecho a la vivienda de los hogares de menores ingresos.</w:t>
            </w:r>
          </w:p>
          <w:p w14:paraId="6D111596" w14:textId="77777777" w:rsidR="004D0829" w:rsidRPr="000226FE" w:rsidRDefault="004D0829" w:rsidP="00E657D3">
            <w:pPr>
              <w:ind w:left="142" w:right="162"/>
              <w:jc w:val="both"/>
              <w:rPr>
                <w:rFonts w:ascii="Verdana" w:hAnsi="Verdana" w:cs="Arial"/>
              </w:rPr>
            </w:pPr>
          </w:p>
          <w:p w14:paraId="437603F1" w14:textId="4E29E7CC" w:rsidR="004D0829" w:rsidRPr="000226FE" w:rsidRDefault="004D0829" w:rsidP="00E657D3">
            <w:pPr>
              <w:ind w:left="142" w:right="162"/>
              <w:jc w:val="both"/>
              <w:rPr>
                <w:rFonts w:ascii="Verdana" w:hAnsi="Verdana" w:cs="Arial"/>
              </w:rPr>
            </w:pPr>
            <w:r w:rsidRPr="000226FE">
              <w:rPr>
                <w:rFonts w:ascii="Verdana" w:hAnsi="Verdana" w:cs="Arial"/>
              </w:rPr>
              <w:t xml:space="preserve">El citado artículo estableció que en cada Plan Nacional de Desarrollo el Gobierno Nacional establecerá el tipo y </w:t>
            </w:r>
            <w:r w:rsidR="00C37B27" w:rsidRPr="000226FE">
              <w:rPr>
                <w:rFonts w:ascii="Verdana" w:hAnsi="Verdana" w:cs="Arial"/>
              </w:rPr>
              <w:t>valor</w:t>
            </w:r>
            <w:r w:rsidRPr="000226FE">
              <w:rPr>
                <w:rFonts w:ascii="Verdana" w:hAnsi="Verdana" w:cs="Arial"/>
              </w:rPr>
              <w:t xml:space="preserve"> máximo de las soluciones destinadas a estos hogares teniendo en cuenta, entre otros aspectos, las características del déficit habitacional, las posibilidades de acceso al crédito de los hogares, las condiciones de la oferta de vivienda, el monto de recursos de crédito disponibles por parte del sector financiero y la suma de fondos del Estado destinados a los programas de vivienda.</w:t>
            </w:r>
          </w:p>
          <w:p w14:paraId="2182167C" w14:textId="77777777" w:rsidR="004D0829" w:rsidRPr="000226FE" w:rsidRDefault="004D0829" w:rsidP="00E657D3">
            <w:pPr>
              <w:ind w:left="142" w:right="162"/>
              <w:jc w:val="both"/>
              <w:rPr>
                <w:rFonts w:ascii="Verdana" w:hAnsi="Verdana" w:cs="Arial"/>
              </w:rPr>
            </w:pPr>
          </w:p>
          <w:p w14:paraId="63C2A17F" w14:textId="77777777" w:rsidR="00D937F8" w:rsidRPr="000226FE" w:rsidRDefault="004D0829" w:rsidP="00D937F8">
            <w:pPr>
              <w:ind w:left="142" w:right="162"/>
              <w:jc w:val="both"/>
              <w:rPr>
                <w:rFonts w:ascii="Verdana" w:hAnsi="Verdana" w:cs="Arial"/>
              </w:rPr>
            </w:pPr>
            <w:r w:rsidRPr="000226FE">
              <w:rPr>
                <w:rFonts w:ascii="Verdana" w:hAnsi="Verdana" w:cs="Arial"/>
              </w:rPr>
              <w:t>En ese sentido, el artículo 293 de la Ley 2294 de 2023, por la cual se expide el Plan Nacional de Desarrollo 2022-2026, dispuso que la vivienda de interés social es aquella que se desarrolla para garantizar el derecho a la vivienda de los hogares de menores ingresos, que cumple con los estándares de calidad en diseño urbanístico, arquitectónico y de construcción sostenible, y cuyo valor no exceda los ciento treinta y cinco salarios mínimos mensuales legales vigentes (135 SMMLV).</w:t>
            </w:r>
          </w:p>
          <w:p w14:paraId="558126FE" w14:textId="77777777" w:rsidR="00D937F8" w:rsidRPr="000226FE" w:rsidRDefault="00D937F8" w:rsidP="00D937F8">
            <w:pPr>
              <w:ind w:left="142" w:right="162"/>
              <w:jc w:val="both"/>
              <w:rPr>
                <w:rFonts w:ascii="Verdana" w:hAnsi="Verdana" w:cs="Arial"/>
              </w:rPr>
            </w:pPr>
          </w:p>
          <w:p w14:paraId="27C03B02" w14:textId="05DA8B84" w:rsidR="00D937F8" w:rsidRPr="000226FE" w:rsidRDefault="00D937F8" w:rsidP="00D937F8">
            <w:pPr>
              <w:ind w:left="142" w:right="162"/>
              <w:jc w:val="both"/>
              <w:rPr>
                <w:rFonts w:ascii="Verdana" w:hAnsi="Verdana" w:cs="Arial"/>
              </w:rPr>
            </w:pPr>
            <w:r w:rsidRPr="000226FE">
              <w:rPr>
                <w:rFonts w:ascii="Verdana" w:hAnsi="Verdana" w:cs="Arial"/>
              </w:rPr>
              <w:t>Esta misma norma dispuso que el Gobierno nacional podrá establecer a partir de estudios técnicos, un valor superior a los ciento treinta y cinco salarios mínimos legales mensuales vigentes (135 SMLMV) en los departamentos de Amazonas, Guaviare, Guainía, San Andrés, Providencia y Santa Catalina, Putumayo, Chocó, Vaupés y Vichada, reconociendo el costo de materiales de construcción y su transporte, mano de obra y su enfoque diferencial.</w:t>
            </w:r>
          </w:p>
          <w:p w14:paraId="14A4951F" w14:textId="77777777" w:rsidR="00D937F8" w:rsidRPr="000226FE" w:rsidRDefault="00D937F8" w:rsidP="00D937F8">
            <w:pPr>
              <w:ind w:left="142" w:right="162"/>
              <w:jc w:val="both"/>
              <w:rPr>
                <w:rFonts w:ascii="Verdana" w:hAnsi="Verdana" w:cs="Arial"/>
              </w:rPr>
            </w:pPr>
          </w:p>
          <w:p w14:paraId="1B0336C0" w14:textId="26941AD9" w:rsidR="00FE108B" w:rsidRPr="000226FE" w:rsidRDefault="00D937F8" w:rsidP="00FE108B">
            <w:pPr>
              <w:ind w:left="142" w:right="162"/>
              <w:jc w:val="both"/>
              <w:rPr>
                <w:rFonts w:ascii="Verdana" w:hAnsi="Verdana" w:cs="Arial"/>
              </w:rPr>
            </w:pPr>
            <w:r w:rsidRPr="000226FE">
              <w:rPr>
                <w:rFonts w:ascii="Verdana" w:hAnsi="Verdana" w:cs="Arial"/>
              </w:rPr>
              <w:t xml:space="preserve">Específicamente para el departamento de San Andrés, Providencia y Santa Catalina, </w:t>
            </w:r>
            <w:r w:rsidR="00E30182" w:rsidRPr="000226FE">
              <w:rPr>
                <w:rFonts w:ascii="Verdana" w:hAnsi="Verdana" w:cs="Arial"/>
              </w:rPr>
              <w:t xml:space="preserve">en cumplimiento de las órdenes emitidas en la Sentencia T-333/22, proferida por la Corte Constitucional, </w:t>
            </w:r>
            <w:r w:rsidRPr="000226FE">
              <w:rPr>
                <w:rFonts w:ascii="Verdana" w:hAnsi="Verdana" w:cs="Arial"/>
              </w:rPr>
              <w:t>se desarrolló un estudio técnico que incluyó el costo de materiales de construcción y su transporte, la mano de obra,</w:t>
            </w:r>
            <w:r w:rsidR="00483A1C" w:rsidRPr="000226FE">
              <w:rPr>
                <w:rFonts w:ascii="Verdana" w:hAnsi="Verdana" w:cs="Arial"/>
              </w:rPr>
              <w:t xml:space="preserve"> condiciones de acceso de agua y saneamiento básico,</w:t>
            </w:r>
            <w:r w:rsidRPr="000226FE">
              <w:rPr>
                <w:rFonts w:ascii="Verdana" w:hAnsi="Verdana" w:cs="Arial"/>
              </w:rPr>
              <w:t xml:space="preserve"> </w:t>
            </w:r>
            <w:r w:rsidR="00483A1C" w:rsidRPr="000226FE">
              <w:rPr>
                <w:rFonts w:ascii="Verdana" w:hAnsi="Verdana" w:cs="Arial"/>
              </w:rPr>
              <w:t xml:space="preserve">aumento de vientos y posibilidad de huracanes, </w:t>
            </w:r>
            <w:r w:rsidRPr="000226FE">
              <w:rPr>
                <w:rFonts w:ascii="Verdana" w:hAnsi="Verdana" w:cs="Arial"/>
              </w:rPr>
              <w:t>la tipología de vivienda étnico cultural con enfoque diferencial y las especificaciones técnicas especiales, el cual</w:t>
            </w:r>
            <w:r w:rsidR="00E30182" w:rsidRPr="000226FE">
              <w:rPr>
                <w:rFonts w:ascii="Verdana" w:hAnsi="Verdana" w:cs="Arial"/>
              </w:rPr>
              <w:t xml:space="preserve"> </w:t>
            </w:r>
            <w:r w:rsidRPr="000226FE">
              <w:rPr>
                <w:rFonts w:ascii="Verdana" w:hAnsi="Verdana" w:cs="Arial"/>
              </w:rPr>
              <w:t xml:space="preserve">arrojó como resultado un valor de doscientos ochenta (280) salarios mínimos legales mensuales vigentes para la Vivienda de Interés Social Rural en </w:t>
            </w:r>
            <w:r w:rsidR="00E30182" w:rsidRPr="000226FE">
              <w:rPr>
                <w:rFonts w:ascii="Verdana" w:hAnsi="Verdana" w:cs="Arial"/>
              </w:rPr>
              <w:t xml:space="preserve">el </w:t>
            </w:r>
            <w:r w:rsidRPr="000226FE">
              <w:rPr>
                <w:rFonts w:ascii="Verdana" w:hAnsi="Verdana" w:cs="Arial"/>
              </w:rPr>
              <w:t xml:space="preserve">departamento. </w:t>
            </w:r>
          </w:p>
          <w:p w14:paraId="0259FCE6" w14:textId="77777777" w:rsidR="00FE108B" w:rsidRPr="000226FE" w:rsidRDefault="00FE108B" w:rsidP="00FE108B">
            <w:pPr>
              <w:ind w:left="142" w:right="162"/>
              <w:jc w:val="both"/>
              <w:rPr>
                <w:rFonts w:ascii="Verdana" w:hAnsi="Verdana" w:cs="Arial"/>
              </w:rPr>
            </w:pPr>
          </w:p>
          <w:p w14:paraId="4E4A6872" w14:textId="3811C973" w:rsidR="002E1520" w:rsidRPr="000226FE" w:rsidRDefault="002E1520" w:rsidP="00FE108B">
            <w:pPr>
              <w:ind w:left="142" w:right="162"/>
              <w:jc w:val="both"/>
              <w:rPr>
                <w:rFonts w:ascii="Verdana" w:hAnsi="Verdana" w:cs="Arial"/>
              </w:rPr>
            </w:pPr>
            <w:r w:rsidRPr="000226FE">
              <w:rPr>
                <w:rFonts w:ascii="Verdana" w:hAnsi="Verdana" w:cs="Arial"/>
              </w:rPr>
              <w:t xml:space="preserve">Precisamente, el estudio técnico realizado permitió llegar a la etapa de protocolización de acuerdos de la consulta previa para </w:t>
            </w:r>
            <w:r w:rsidR="00483A1C" w:rsidRPr="000226FE">
              <w:rPr>
                <w:rFonts w:ascii="Verdana" w:hAnsi="Verdana" w:cs="Arial"/>
              </w:rPr>
              <w:t>el desarrollo</w:t>
            </w:r>
            <w:r w:rsidRPr="000226FE">
              <w:rPr>
                <w:rFonts w:ascii="Verdana" w:hAnsi="Verdana" w:cs="Arial"/>
              </w:rPr>
              <w:t xml:space="preserve"> de </w:t>
            </w:r>
            <w:r w:rsidR="00FE108B" w:rsidRPr="000226FE">
              <w:rPr>
                <w:rFonts w:ascii="Verdana" w:hAnsi="Verdana" w:cs="Arial"/>
              </w:rPr>
              <w:t>cien (</w:t>
            </w:r>
            <w:r w:rsidRPr="000226FE">
              <w:rPr>
                <w:rFonts w:ascii="Verdana" w:hAnsi="Verdana" w:cs="Arial"/>
              </w:rPr>
              <w:t>100</w:t>
            </w:r>
            <w:r w:rsidR="00FE108B" w:rsidRPr="000226FE">
              <w:rPr>
                <w:rFonts w:ascii="Verdana" w:hAnsi="Verdana" w:cs="Arial"/>
              </w:rPr>
              <w:t>)</w:t>
            </w:r>
            <w:r w:rsidRPr="000226FE">
              <w:rPr>
                <w:rFonts w:ascii="Verdana" w:hAnsi="Verdana" w:cs="Arial"/>
              </w:rPr>
              <w:t xml:space="preserve"> subsidios de vivienda familiar de interés social rural en la Isla, como medida del Plan de </w:t>
            </w:r>
            <w:r w:rsidR="0040395E" w:rsidRPr="000226FE">
              <w:rPr>
                <w:rFonts w:ascii="Verdana" w:hAnsi="Verdana" w:cs="Arial"/>
              </w:rPr>
              <w:t xml:space="preserve">Acción Especifico – </w:t>
            </w:r>
            <w:r w:rsidRPr="000226FE">
              <w:rPr>
                <w:rFonts w:ascii="Verdana" w:hAnsi="Verdana" w:cs="Arial"/>
              </w:rPr>
              <w:t>PAE.</w:t>
            </w:r>
          </w:p>
          <w:p w14:paraId="666D413B" w14:textId="77777777" w:rsidR="002E1520" w:rsidRPr="000226FE" w:rsidRDefault="002E1520" w:rsidP="002E1520">
            <w:pPr>
              <w:ind w:left="142" w:right="162"/>
              <w:jc w:val="both"/>
              <w:rPr>
                <w:rFonts w:ascii="Verdana" w:hAnsi="Verdana" w:cs="Arial"/>
              </w:rPr>
            </w:pPr>
          </w:p>
          <w:p w14:paraId="4049D194" w14:textId="2D848EE0" w:rsidR="002E1520" w:rsidRPr="000226FE" w:rsidRDefault="002E1520" w:rsidP="002E1520">
            <w:pPr>
              <w:ind w:left="142" w:right="162"/>
              <w:jc w:val="both"/>
              <w:rPr>
                <w:rFonts w:ascii="Verdana" w:hAnsi="Verdana" w:cs="Arial"/>
              </w:rPr>
            </w:pPr>
            <w:r w:rsidRPr="000226FE">
              <w:rPr>
                <w:rFonts w:ascii="Verdana" w:hAnsi="Verdana" w:cs="Arial"/>
              </w:rPr>
              <w:t xml:space="preserve">Así las cosas, el estudio técnico incluyó </w:t>
            </w:r>
            <w:r w:rsidR="00114060" w:rsidRPr="000226FE">
              <w:rPr>
                <w:rFonts w:ascii="Verdana" w:hAnsi="Verdana" w:cs="Arial"/>
              </w:rPr>
              <w:t xml:space="preserve">las siguientes </w:t>
            </w:r>
            <w:r w:rsidRPr="000226FE">
              <w:rPr>
                <w:rFonts w:ascii="Verdana" w:hAnsi="Verdana" w:cs="Arial"/>
              </w:rPr>
              <w:t>variables:</w:t>
            </w:r>
          </w:p>
          <w:p w14:paraId="7E2A8DE5" w14:textId="77777777" w:rsidR="002E1520" w:rsidRPr="000226FE" w:rsidRDefault="002E1520" w:rsidP="002E1520">
            <w:pPr>
              <w:ind w:left="142" w:right="162"/>
              <w:jc w:val="both"/>
              <w:rPr>
                <w:rFonts w:ascii="Verdana" w:hAnsi="Verdana" w:cs="Arial"/>
              </w:rPr>
            </w:pPr>
          </w:p>
          <w:p w14:paraId="4F73C9B9" w14:textId="39A4D628" w:rsidR="002E1520" w:rsidRPr="000226FE" w:rsidRDefault="002E1520" w:rsidP="00577FCE">
            <w:pPr>
              <w:pStyle w:val="Prrafodelista"/>
              <w:numPr>
                <w:ilvl w:val="0"/>
                <w:numId w:val="4"/>
              </w:numPr>
              <w:jc w:val="both"/>
              <w:rPr>
                <w:rFonts w:ascii="Verdana" w:eastAsia="Times New Roman" w:hAnsi="Verdana" w:cs="Arial"/>
                <w:sz w:val="20"/>
                <w:szCs w:val="20"/>
                <w:lang w:val="es-ES" w:eastAsia="es-ES"/>
              </w:rPr>
            </w:pPr>
            <w:r w:rsidRPr="000226FE">
              <w:rPr>
                <w:rFonts w:ascii="Verdana" w:eastAsia="Times New Roman" w:hAnsi="Verdana" w:cs="Arial"/>
                <w:sz w:val="20"/>
                <w:szCs w:val="20"/>
                <w:lang w:val="es-ES" w:eastAsia="es-ES"/>
              </w:rPr>
              <w:t xml:space="preserve">El </w:t>
            </w:r>
            <w:r w:rsidR="00577FCE" w:rsidRPr="000226FE">
              <w:rPr>
                <w:rFonts w:ascii="Verdana" w:eastAsia="Times New Roman" w:hAnsi="Verdana" w:cs="Arial"/>
                <w:sz w:val="20"/>
                <w:szCs w:val="20"/>
                <w:lang w:val="es-ES" w:eastAsia="es-ES"/>
              </w:rPr>
              <w:t xml:space="preserve">aumento considerable de los </w:t>
            </w:r>
            <w:r w:rsidRPr="000226FE">
              <w:rPr>
                <w:rFonts w:ascii="Verdana" w:eastAsia="Times New Roman" w:hAnsi="Verdana" w:cs="Arial"/>
                <w:sz w:val="20"/>
                <w:szCs w:val="20"/>
                <w:lang w:val="es-ES" w:eastAsia="es-ES"/>
              </w:rPr>
              <w:t>costo</w:t>
            </w:r>
            <w:r w:rsidR="00577FCE" w:rsidRPr="000226FE">
              <w:rPr>
                <w:rFonts w:ascii="Verdana" w:eastAsia="Times New Roman" w:hAnsi="Verdana" w:cs="Arial"/>
                <w:sz w:val="20"/>
                <w:szCs w:val="20"/>
                <w:lang w:val="es-ES" w:eastAsia="es-ES"/>
              </w:rPr>
              <w:t>s</w:t>
            </w:r>
            <w:r w:rsidRPr="000226FE">
              <w:rPr>
                <w:rFonts w:ascii="Verdana" w:eastAsia="Times New Roman" w:hAnsi="Verdana" w:cs="Arial"/>
                <w:sz w:val="20"/>
                <w:szCs w:val="20"/>
                <w:lang w:val="es-ES" w:eastAsia="es-ES"/>
              </w:rPr>
              <w:t xml:space="preserve"> de </w:t>
            </w:r>
            <w:r w:rsidR="00577FCE" w:rsidRPr="000226FE">
              <w:rPr>
                <w:rFonts w:ascii="Verdana" w:eastAsia="Times New Roman" w:hAnsi="Verdana" w:cs="Arial"/>
                <w:sz w:val="20"/>
                <w:szCs w:val="20"/>
                <w:lang w:val="es-ES" w:eastAsia="es-ES"/>
              </w:rPr>
              <w:t xml:space="preserve">los </w:t>
            </w:r>
            <w:r w:rsidRPr="000226FE">
              <w:rPr>
                <w:rFonts w:ascii="Verdana" w:eastAsia="Times New Roman" w:hAnsi="Verdana" w:cs="Arial"/>
                <w:sz w:val="20"/>
                <w:szCs w:val="20"/>
                <w:lang w:val="es-ES" w:eastAsia="es-ES"/>
              </w:rPr>
              <w:t>materiales de construcción</w:t>
            </w:r>
            <w:r w:rsidR="00577FCE" w:rsidRPr="000226FE">
              <w:rPr>
                <w:rFonts w:ascii="Verdana" w:eastAsia="Times New Roman" w:hAnsi="Verdana" w:cs="Arial"/>
                <w:sz w:val="20"/>
                <w:szCs w:val="20"/>
                <w:lang w:val="es-ES" w:eastAsia="es-ES"/>
              </w:rPr>
              <w:t>, debido al transporte marítimo que se debe realizar para llegar al archipiélago, donde se tienen insumos que cuestan hasta 3 y 4 veces más que en continente</w:t>
            </w:r>
            <w:r w:rsidRPr="000226FE">
              <w:rPr>
                <w:rFonts w:ascii="Verdana" w:eastAsia="Times New Roman" w:hAnsi="Verdana" w:cs="Arial"/>
                <w:sz w:val="20"/>
                <w:szCs w:val="20"/>
                <w:lang w:val="es-ES" w:eastAsia="es-ES"/>
              </w:rPr>
              <w:t>.</w:t>
            </w:r>
          </w:p>
          <w:p w14:paraId="3A25627C" w14:textId="472BB8C4" w:rsidR="00577FCE" w:rsidRPr="000226FE" w:rsidRDefault="00577FCE" w:rsidP="00577FCE">
            <w:pPr>
              <w:pStyle w:val="Prrafodelista"/>
              <w:numPr>
                <w:ilvl w:val="0"/>
                <w:numId w:val="4"/>
              </w:numPr>
              <w:jc w:val="both"/>
              <w:rPr>
                <w:rFonts w:ascii="Verdana" w:eastAsia="Times New Roman" w:hAnsi="Verdana" w:cs="Arial"/>
                <w:sz w:val="20"/>
                <w:szCs w:val="20"/>
                <w:lang w:val="es-ES" w:eastAsia="es-ES"/>
              </w:rPr>
            </w:pPr>
            <w:r w:rsidRPr="000226FE">
              <w:rPr>
                <w:rFonts w:ascii="Verdana" w:eastAsia="Times New Roman" w:hAnsi="Verdana" w:cs="Arial"/>
                <w:sz w:val="20"/>
                <w:szCs w:val="20"/>
                <w:lang w:val="es-ES" w:eastAsia="es-ES"/>
              </w:rPr>
              <w:t>El alto costo de vida que se tiene en el archipiélago, donde los salarios para los trabajadores de obra son el doble de lo que se paga normalmente en continente.</w:t>
            </w:r>
          </w:p>
          <w:p w14:paraId="280E9F18" w14:textId="2EFB863C" w:rsidR="002E1520" w:rsidRPr="000226FE" w:rsidRDefault="002E1520" w:rsidP="002E1520">
            <w:pPr>
              <w:pStyle w:val="Prrafodelista"/>
              <w:numPr>
                <w:ilvl w:val="0"/>
                <w:numId w:val="4"/>
              </w:numPr>
              <w:jc w:val="both"/>
              <w:rPr>
                <w:rFonts w:ascii="Verdana" w:eastAsia="Times New Roman" w:hAnsi="Verdana" w:cs="Arial"/>
                <w:sz w:val="20"/>
                <w:szCs w:val="20"/>
                <w:lang w:val="es-ES" w:eastAsia="es-ES"/>
              </w:rPr>
            </w:pPr>
            <w:r w:rsidRPr="000226FE">
              <w:rPr>
                <w:rFonts w:ascii="Verdana" w:eastAsia="Times New Roman" w:hAnsi="Verdana" w:cs="Arial"/>
                <w:sz w:val="20"/>
                <w:szCs w:val="20"/>
                <w:lang w:val="es-ES" w:eastAsia="es-ES"/>
              </w:rPr>
              <w:t>La mano de obra existente en el departamento de San Andrés, Providencia y Santa Catalina, que es escasa y difícil de transportar de otras zonas del país, ya que al tratarse de un departamento con limitaciones en la circulación y residencia de colombianos que residen fuera de ese territorio, existe poco personal profesional y obrero que cubra las necesidades del mercado, lo que incrementa los costos de transporte aéreo y los reconocimientos económicos laborales.</w:t>
            </w:r>
          </w:p>
          <w:p w14:paraId="0D7EEA9F" w14:textId="3BCDD967" w:rsidR="001740EE" w:rsidRPr="000226FE" w:rsidRDefault="002E1520" w:rsidP="001740EE">
            <w:pPr>
              <w:pStyle w:val="Prrafodelista"/>
              <w:numPr>
                <w:ilvl w:val="0"/>
                <w:numId w:val="4"/>
              </w:numPr>
              <w:jc w:val="both"/>
              <w:rPr>
                <w:rFonts w:ascii="Verdana" w:eastAsia="Times New Roman" w:hAnsi="Verdana" w:cs="Arial"/>
                <w:sz w:val="20"/>
                <w:szCs w:val="20"/>
                <w:lang w:val="es-ES" w:eastAsia="es-ES"/>
              </w:rPr>
            </w:pPr>
            <w:r w:rsidRPr="000226FE">
              <w:rPr>
                <w:rFonts w:ascii="Verdana" w:eastAsia="Times New Roman" w:hAnsi="Verdana" w:cs="Arial"/>
                <w:sz w:val="20"/>
                <w:szCs w:val="20"/>
                <w:lang w:val="es-ES" w:eastAsia="es-ES"/>
              </w:rPr>
              <w:t>La tipología de vivienda étnico cultural con enfoque diferencial, en la medida que existe una presencia mayoritaria de población étnica raizal, con idioma propio “Creole”, usos y costumbres, y una relación especial con el territorio ancestral de las Islas.</w:t>
            </w:r>
          </w:p>
          <w:p w14:paraId="1FE859A4" w14:textId="7E3B2C35" w:rsidR="008B7920" w:rsidRPr="000226FE" w:rsidRDefault="002E1520" w:rsidP="00DD56B0">
            <w:pPr>
              <w:pStyle w:val="Prrafodelista"/>
              <w:numPr>
                <w:ilvl w:val="0"/>
                <w:numId w:val="4"/>
              </w:numPr>
              <w:jc w:val="both"/>
              <w:rPr>
                <w:rFonts w:ascii="Verdana" w:eastAsia="Times New Roman" w:hAnsi="Verdana" w:cs="Arial"/>
                <w:sz w:val="20"/>
                <w:szCs w:val="20"/>
                <w:lang w:val="es-ES" w:eastAsia="es-ES"/>
              </w:rPr>
            </w:pPr>
            <w:r w:rsidRPr="000226FE">
              <w:rPr>
                <w:rFonts w:ascii="Verdana" w:hAnsi="Verdana" w:cs="Arial"/>
                <w:sz w:val="20"/>
                <w:szCs w:val="20"/>
              </w:rPr>
              <w:t xml:space="preserve">Especificaciones técnicas </w:t>
            </w:r>
            <w:r w:rsidR="003B5652" w:rsidRPr="000226FE">
              <w:rPr>
                <w:rFonts w:ascii="Verdana" w:hAnsi="Verdana" w:cs="Arial"/>
                <w:sz w:val="20"/>
                <w:szCs w:val="20"/>
              </w:rPr>
              <w:t xml:space="preserve">especiales en el diseño </w:t>
            </w:r>
            <w:r w:rsidR="00483A1C" w:rsidRPr="000226FE">
              <w:rPr>
                <w:rFonts w:ascii="Verdana" w:hAnsi="Verdana" w:cs="Arial"/>
                <w:sz w:val="20"/>
                <w:szCs w:val="20"/>
              </w:rPr>
              <w:t xml:space="preserve">y de acceso a agua y saneamiento básico </w:t>
            </w:r>
            <w:r w:rsidR="001740EE" w:rsidRPr="000226FE">
              <w:rPr>
                <w:rFonts w:ascii="Verdana" w:hAnsi="Verdana" w:cs="Arial"/>
                <w:sz w:val="20"/>
                <w:szCs w:val="20"/>
              </w:rPr>
              <w:t>como</w:t>
            </w:r>
            <w:r w:rsidR="003B5652" w:rsidRPr="000226FE">
              <w:rPr>
                <w:rFonts w:ascii="Verdana" w:hAnsi="Verdana" w:cs="Arial"/>
                <w:sz w:val="20"/>
                <w:szCs w:val="20"/>
              </w:rPr>
              <w:t>,</w:t>
            </w:r>
            <w:r w:rsidR="001740EE" w:rsidRPr="000226FE">
              <w:rPr>
                <w:rFonts w:ascii="Verdana" w:hAnsi="Verdana" w:cs="Arial"/>
                <w:sz w:val="20"/>
                <w:szCs w:val="20"/>
              </w:rPr>
              <w:t xml:space="preserve"> la cisterna de 4.000 l</w:t>
            </w:r>
            <w:r w:rsidR="00483A1C" w:rsidRPr="000226FE">
              <w:rPr>
                <w:rFonts w:ascii="Verdana" w:hAnsi="Verdana" w:cs="Arial"/>
                <w:sz w:val="20"/>
                <w:szCs w:val="20"/>
              </w:rPr>
              <w:t xml:space="preserve">itros de agua </w:t>
            </w:r>
            <w:r w:rsidR="001740EE" w:rsidRPr="000226FE">
              <w:rPr>
                <w:rFonts w:ascii="Verdana" w:hAnsi="Verdana" w:cs="Arial"/>
                <w:sz w:val="20"/>
                <w:szCs w:val="20"/>
              </w:rPr>
              <w:t>de capacidad de almacenamiento, la cual permite que las viviendas puedan tener un abastecimiento de agua durante la</w:t>
            </w:r>
            <w:r w:rsidR="0040395E" w:rsidRPr="000226FE">
              <w:rPr>
                <w:rFonts w:ascii="Verdana" w:hAnsi="Verdana" w:cs="Arial"/>
                <w:sz w:val="20"/>
                <w:szCs w:val="20"/>
              </w:rPr>
              <w:t xml:space="preserve"> época de</w:t>
            </w:r>
            <w:r w:rsidR="001740EE" w:rsidRPr="000226FE">
              <w:rPr>
                <w:rFonts w:ascii="Verdana" w:hAnsi="Verdana" w:cs="Arial"/>
                <w:sz w:val="20"/>
                <w:szCs w:val="20"/>
              </w:rPr>
              <w:t xml:space="preserve"> sequias que se tienen en </w:t>
            </w:r>
            <w:r w:rsidR="001740EE" w:rsidRPr="000226FE">
              <w:rPr>
                <w:rFonts w:ascii="Verdana" w:hAnsi="Verdana" w:cs="Arial"/>
                <w:sz w:val="20"/>
                <w:szCs w:val="20"/>
              </w:rPr>
              <w:lastRenderedPageBreak/>
              <w:t xml:space="preserve">el archipiélago, </w:t>
            </w:r>
            <w:r w:rsidR="003B5652" w:rsidRPr="000226FE">
              <w:rPr>
                <w:rFonts w:ascii="Verdana" w:hAnsi="Verdana" w:cs="Arial"/>
                <w:sz w:val="20"/>
                <w:szCs w:val="20"/>
              </w:rPr>
              <w:t>y condiciones de estructura sismorresistente</w:t>
            </w:r>
            <w:r w:rsidR="00DD56B0" w:rsidRPr="000226FE">
              <w:rPr>
                <w:rFonts w:ascii="Verdana" w:hAnsi="Verdana" w:cs="Arial"/>
                <w:sz w:val="20"/>
                <w:szCs w:val="20"/>
              </w:rPr>
              <w:t xml:space="preserve"> </w:t>
            </w:r>
            <w:r w:rsidR="0040395E" w:rsidRPr="000226FE">
              <w:rPr>
                <w:rFonts w:ascii="Verdana" w:hAnsi="Verdana" w:cs="Arial"/>
                <w:sz w:val="20"/>
                <w:szCs w:val="20"/>
              </w:rPr>
              <w:t>para las viviendas en eventos donde ocurran vientos huracanados y una</w:t>
            </w:r>
            <w:r w:rsidR="00DD56B0" w:rsidRPr="000226FE">
              <w:rPr>
                <w:rFonts w:ascii="Verdana" w:hAnsi="Verdana" w:cs="Arial"/>
                <w:sz w:val="20"/>
                <w:szCs w:val="20"/>
              </w:rPr>
              <w:t xml:space="preserve"> zona segura en mampostería</w:t>
            </w:r>
            <w:r w:rsidR="003B5652" w:rsidRPr="000226FE">
              <w:rPr>
                <w:rFonts w:ascii="Verdana" w:hAnsi="Verdana" w:cs="Arial"/>
                <w:sz w:val="20"/>
                <w:szCs w:val="20"/>
              </w:rPr>
              <w:t xml:space="preserve"> en el área del baño </w:t>
            </w:r>
            <w:r w:rsidR="0040395E" w:rsidRPr="000226FE">
              <w:rPr>
                <w:rFonts w:ascii="Verdana" w:hAnsi="Verdana" w:cs="Arial"/>
                <w:sz w:val="20"/>
                <w:szCs w:val="20"/>
              </w:rPr>
              <w:t xml:space="preserve">y una habitación, </w:t>
            </w:r>
            <w:r w:rsidRPr="000226FE">
              <w:rPr>
                <w:rFonts w:ascii="Verdana" w:hAnsi="Verdana" w:cs="Arial"/>
                <w:sz w:val="20"/>
                <w:szCs w:val="20"/>
              </w:rPr>
              <w:t>que permit</w:t>
            </w:r>
            <w:r w:rsidR="003B5652" w:rsidRPr="000226FE">
              <w:rPr>
                <w:rFonts w:ascii="Verdana" w:hAnsi="Verdana" w:cs="Arial"/>
                <w:sz w:val="20"/>
                <w:szCs w:val="20"/>
              </w:rPr>
              <w:t xml:space="preserve">irá una protección </w:t>
            </w:r>
            <w:r w:rsidR="0040395E" w:rsidRPr="000226FE">
              <w:rPr>
                <w:rFonts w:ascii="Verdana" w:hAnsi="Verdana" w:cs="Arial"/>
                <w:sz w:val="20"/>
                <w:szCs w:val="20"/>
              </w:rPr>
              <w:t>adic</w:t>
            </w:r>
            <w:r w:rsidR="003B5652" w:rsidRPr="000226FE">
              <w:rPr>
                <w:rFonts w:ascii="Verdana" w:hAnsi="Verdana" w:cs="Arial"/>
                <w:sz w:val="20"/>
                <w:szCs w:val="20"/>
              </w:rPr>
              <w:t>i</w:t>
            </w:r>
            <w:r w:rsidR="0040395E" w:rsidRPr="000226FE">
              <w:rPr>
                <w:rFonts w:ascii="Verdana" w:hAnsi="Verdana" w:cs="Arial"/>
                <w:sz w:val="20"/>
                <w:szCs w:val="20"/>
              </w:rPr>
              <w:t>on</w:t>
            </w:r>
            <w:r w:rsidR="003B5652" w:rsidRPr="000226FE">
              <w:rPr>
                <w:rFonts w:ascii="Verdana" w:hAnsi="Verdana" w:cs="Arial"/>
                <w:sz w:val="20"/>
                <w:szCs w:val="20"/>
              </w:rPr>
              <w:t xml:space="preserve">al. Estas condiciones son directamente </w:t>
            </w:r>
            <w:r w:rsidR="00142E80" w:rsidRPr="000226FE">
              <w:rPr>
                <w:rFonts w:ascii="Verdana" w:hAnsi="Verdana" w:cs="Arial"/>
                <w:sz w:val="20"/>
                <w:szCs w:val="20"/>
              </w:rPr>
              <w:t>proporcionales al</w:t>
            </w:r>
            <w:r w:rsidR="003B5652" w:rsidRPr="000226FE">
              <w:rPr>
                <w:rFonts w:ascii="Verdana" w:hAnsi="Verdana" w:cs="Arial"/>
                <w:sz w:val="20"/>
                <w:szCs w:val="20"/>
              </w:rPr>
              <w:t xml:space="preserve"> aumento en el costo de los insumos de construcción que se requieren para atender estas necesidades técnicas.</w:t>
            </w:r>
          </w:p>
          <w:p w14:paraId="45BC7A96" w14:textId="2B8753A9" w:rsidR="008B7920" w:rsidRPr="000226FE" w:rsidRDefault="008B7920" w:rsidP="00FA1BCE">
            <w:pPr>
              <w:jc w:val="both"/>
              <w:rPr>
                <w:rFonts w:ascii="Verdana" w:hAnsi="Verdana" w:cs="Arial"/>
                <w:i/>
                <w:iCs/>
              </w:rPr>
            </w:pPr>
            <w:r w:rsidRPr="000226FE">
              <w:rPr>
                <w:rFonts w:ascii="Verdana" w:hAnsi="Verdana" w:cs="Arial"/>
              </w:rPr>
              <w:t>L</w:t>
            </w:r>
            <w:r w:rsidR="00234112" w:rsidRPr="000226FE">
              <w:rPr>
                <w:rFonts w:ascii="Verdana" w:hAnsi="Verdana" w:cs="Arial"/>
              </w:rPr>
              <w:t>a construcción de estas viviendas debe realizarse en cumplimiento de la norma técnica NSR-10, a partir de la emergencia ocasionada por el paso del Huracán IOTA en noviembre del 2020</w:t>
            </w:r>
            <w:r w:rsidRPr="000226FE">
              <w:rPr>
                <w:rFonts w:ascii="Verdana" w:hAnsi="Verdana" w:cs="Arial"/>
              </w:rPr>
              <w:t xml:space="preserve">. </w:t>
            </w:r>
            <w:r w:rsidR="00234112" w:rsidRPr="000226FE">
              <w:rPr>
                <w:rFonts w:ascii="Verdana" w:hAnsi="Verdana" w:cs="Arial"/>
              </w:rPr>
              <w:t>Así mismo</w:t>
            </w:r>
            <w:r w:rsidRPr="000226FE">
              <w:rPr>
                <w:rFonts w:ascii="Verdana" w:hAnsi="Verdana" w:cs="Arial"/>
              </w:rPr>
              <w:t>,</w:t>
            </w:r>
            <w:r w:rsidR="00234112" w:rsidRPr="000226FE">
              <w:rPr>
                <w:rFonts w:ascii="Verdana" w:hAnsi="Verdana" w:cs="Arial"/>
              </w:rPr>
              <w:t xml:space="preserve"> deberá</w:t>
            </w:r>
            <w:r w:rsidRPr="000226FE">
              <w:rPr>
                <w:rFonts w:ascii="Verdana" w:hAnsi="Verdana" w:cs="Arial"/>
              </w:rPr>
              <w:t>n</w:t>
            </w:r>
            <w:r w:rsidR="00234112" w:rsidRPr="000226FE">
              <w:rPr>
                <w:rFonts w:ascii="Verdana" w:hAnsi="Verdana" w:cs="Arial"/>
              </w:rPr>
              <w:t xml:space="preserve"> cumplir con las condiciones y particularidades climáticas, geográficas, topográficas y culturales de cada zona o región, cubrir las necesidades de espacios internos y externos que permitan satisfacer necesidades de subsistencia, ocio, protección, identidad, afecto y libertad, y también que propenda desarrollar actividades productivas, de seguridad alimentaria, de socialización, convivencia, participación y educación que encajen dentro de la identidad cultural de la isla</w:t>
            </w:r>
            <w:r w:rsidR="00234112" w:rsidRPr="000226FE">
              <w:rPr>
                <w:rFonts w:ascii="Verdana" w:hAnsi="Verdana" w:cs="Arial"/>
                <w:i/>
                <w:iCs/>
              </w:rPr>
              <w:t>.</w:t>
            </w:r>
          </w:p>
          <w:p w14:paraId="2D64AA48" w14:textId="77777777" w:rsidR="00AD23C4" w:rsidRPr="000226FE" w:rsidRDefault="00AD23C4" w:rsidP="008B7920">
            <w:pPr>
              <w:ind w:left="143"/>
              <w:jc w:val="both"/>
              <w:rPr>
                <w:rFonts w:ascii="Verdana" w:hAnsi="Verdana" w:cs="Arial"/>
                <w:highlight w:val="yellow"/>
              </w:rPr>
            </w:pPr>
          </w:p>
          <w:p w14:paraId="0E5AFA64" w14:textId="17846E4A" w:rsidR="00317C7F" w:rsidRPr="000226FE" w:rsidRDefault="00AD23C4" w:rsidP="00FA1BCE">
            <w:pPr>
              <w:jc w:val="both"/>
              <w:rPr>
                <w:rFonts w:ascii="Verdana" w:hAnsi="Verdana" w:cs="Arial"/>
              </w:rPr>
            </w:pPr>
            <w:r w:rsidRPr="000226FE">
              <w:rPr>
                <w:rFonts w:ascii="Verdana" w:hAnsi="Verdana" w:cs="Arial"/>
              </w:rPr>
              <w:t xml:space="preserve">Sumado a lo anterior, se realizó un estudio de mercado finalizando el año 2022, </w:t>
            </w:r>
            <w:r w:rsidR="00A536CB" w:rsidRPr="000226FE">
              <w:rPr>
                <w:rFonts w:ascii="Verdana" w:hAnsi="Verdana" w:cs="Arial"/>
              </w:rPr>
              <w:t xml:space="preserve">el cual </w:t>
            </w:r>
            <w:r w:rsidRPr="000226FE">
              <w:rPr>
                <w:rFonts w:ascii="Verdana" w:hAnsi="Verdana" w:cs="Arial"/>
              </w:rPr>
              <w:t xml:space="preserve">contó con la participación de algunas empresas </w:t>
            </w:r>
            <w:r w:rsidR="00A536CB" w:rsidRPr="000226FE">
              <w:rPr>
                <w:rFonts w:ascii="Verdana" w:hAnsi="Verdana" w:cs="Arial"/>
              </w:rPr>
              <w:t>con</w:t>
            </w:r>
            <w:r w:rsidRPr="000226FE">
              <w:rPr>
                <w:rFonts w:ascii="Verdana" w:hAnsi="Verdana" w:cs="Arial"/>
              </w:rPr>
              <w:t xml:space="preserve"> amplia experiencia en </w:t>
            </w:r>
            <w:r w:rsidR="00A536CB" w:rsidRPr="000226FE">
              <w:rPr>
                <w:rFonts w:ascii="Verdana" w:hAnsi="Verdana" w:cs="Arial"/>
              </w:rPr>
              <w:t xml:space="preserve">el sector de la </w:t>
            </w:r>
            <w:r w:rsidRPr="000226FE">
              <w:rPr>
                <w:rFonts w:ascii="Verdana" w:hAnsi="Verdana" w:cs="Arial"/>
              </w:rPr>
              <w:t>construcción en la isla</w:t>
            </w:r>
            <w:r w:rsidR="00A536CB" w:rsidRPr="000226FE">
              <w:rPr>
                <w:rFonts w:ascii="Verdana" w:hAnsi="Verdana" w:cs="Arial"/>
              </w:rPr>
              <w:t xml:space="preserve">. Con </w:t>
            </w:r>
            <w:r w:rsidR="00156A2E" w:rsidRPr="000226FE">
              <w:rPr>
                <w:rFonts w:ascii="Verdana" w:hAnsi="Verdana" w:cs="Arial"/>
              </w:rPr>
              <w:t>la información de los</w:t>
            </w:r>
            <w:r w:rsidR="00A536CB" w:rsidRPr="000226FE">
              <w:rPr>
                <w:rFonts w:ascii="Verdana" w:hAnsi="Verdana" w:cs="Arial"/>
              </w:rPr>
              <w:t xml:space="preserve"> estudio</w:t>
            </w:r>
            <w:r w:rsidR="00156A2E" w:rsidRPr="000226FE">
              <w:rPr>
                <w:rFonts w:ascii="Verdana" w:hAnsi="Verdana" w:cs="Arial"/>
              </w:rPr>
              <w:t>s de mercado</w:t>
            </w:r>
            <w:r w:rsidR="00A536CB" w:rsidRPr="000226FE">
              <w:rPr>
                <w:rFonts w:ascii="Verdana" w:hAnsi="Verdana" w:cs="Arial"/>
              </w:rPr>
              <w:t xml:space="preserve">, se planteó el proyecto en fase perfil donde se analizaron los valores del estudio de mercado y los valores por metro cuadrado contenidos en el estudio realizado por la Universidad Nacional de Colombia (sede Caribe) para la construcción de vivienda segura en Providencia. </w:t>
            </w:r>
            <w:r w:rsidR="00194357" w:rsidRPr="000226FE">
              <w:rPr>
                <w:rFonts w:ascii="Verdana" w:hAnsi="Verdana" w:cs="Arial"/>
              </w:rPr>
              <w:t>Dicho perfil, sirvió como punto de partida para lo que fue el inicio del proceso de concertación con la comunidad raizal para la tipología de vivienda, materialidad y aditamentos de la vivienda</w:t>
            </w:r>
            <w:r w:rsidR="005E3517" w:rsidRPr="000226FE">
              <w:rPr>
                <w:rFonts w:ascii="Verdana" w:hAnsi="Verdana" w:cs="Arial"/>
              </w:rPr>
              <w:t>, en el marco de lo dispuesto por la Corte Constitucional en la Sentencia T-333/22.</w:t>
            </w:r>
          </w:p>
          <w:p w14:paraId="4F834F5F" w14:textId="77777777" w:rsidR="00317C7F" w:rsidRPr="000226FE" w:rsidRDefault="00317C7F" w:rsidP="00317C7F">
            <w:pPr>
              <w:ind w:left="143"/>
              <w:jc w:val="both"/>
              <w:rPr>
                <w:rFonts w:ascii="Verdana" w:hAnsi="Verdana" w:cs="Arial"/>
              </w:rPr>
            </w:pPr>
          </w:p>
          <w:p w14:paraId="6899FAAB" w14:textId="3AAECEBD" w:rsidR="00AD4E56" w:rsidRPr="000226FE" w:rsidRDefault="00317C7F" w:rsidP="00FA1BCE">
            <w:pPr>
              <w:jc w:val="both"/>
              <w:rPr>
                <w:rFonts w:ascii="Verdana" w:hAnsi="Verdana" w:cs="Arial"/>
              </w:rPr>
            </w:pPr>
            <w:r w:rsidRPr="000226FE">
              <w:rPr>
                <w:rFonts w:ascii="Verdana" w:hAnsi="Verdana" w:cs="Arial"/>
              </w:rPr>
              <w:t xml:space="preserve">El proceso de concertación </w:t>
            </w:r>
            <w:r w:rsidR="005E3517" w:rsidRPr="000226FE">
              <w:rPr>
                <w:rFonts w:ascii="Verdana" w:hAnsi="Verdana" w:cs="Arial"/>
              </w:rPr>
              <w:t xml:space="preserve">con la comunidad raizal </w:t>
            </w:r>
            <w:r w:rsidRPr="000226FE">
              <w:rPr>
                <w:rFonts w:ascii="Verdana" w:hAnsi="Verdana" w:cs="Arial"/>
              </w:rPr>
              <w:t>conllevó a que se desarrollaran varias sesiones</w:t>
            </w:r>
            <w:r w:rsidR="005E3517" w:rsidRPr="000226FE">
              <w:rPr>
                <w:rFonts w:ascii="Verdana" w:hAnsi="Verdana" w:cs="Arial"/>
              </w:rPr>
              <w:t xml:space="preserve"> a saber: i) el </w:t>
            </w:r>
            <w:r w:rsidR="00A536CB" w:rsidRPr="000226FE">
              <w:rPr>
                <w:rFonts w:ascii="Verdana" w:hAnsi="Verdana" w:cs="Arial"/>
              </w:rPr>
              <w:t>día 26 de abril de 2023, se realizó el primer taller de concertación de tipología de vivienda</w:t>
            </w:r>
            <w:r w:rsidR="005E3517" w:rsidRPr="000226FE">
              <w:rPr>
                <w:rFonts w:ascii="Verdana" w:hAnsi="Verdana" w:cs="Arial"/>
              </w:rPr>
              <w:t xml:space="preserve">: </w:t>
            </w:r>
            <w:proofErr w:type="spellStart"/>
            <w:r w:rsidR="005E3517" w:rsidRPr="000226FE">
              <w:rPr>
                <w:rFonts w:ascii="Verdana" w:hAnsi="Verdana" w:cs="Arial"/>
              </w:rPr>
              <w:t>ii</w:t>
            </w:r>
            <w:proofErr w:type="spellEnd"/>
            <w:r w:rsidR="005E3517" w:rsidRPr="000226FE">
              <w:rPr>
                <w:rFonts w:ascii="Verdana" w:hAnsi="Verdana" w:cs="Arial"/>
              </w:rPr>
              <w:t xml:space="preserve">) del 23 de noviembre al 12 de diciembre de 2023, </w:t>
            </w:r>
            <w:r w:rsidR="00AD4E56" w:rsidRPr="000226FE">
              <w:rPr>
                <w:rFonts w:ascii="Verdana" w:hAnsi="Verdana" w:cs="Arial"/>
              </w:rPr>
              <w:t>se concertó</w:t>
            </w:r>
            <w:r w:rsidR="005E3517" w:rsidRPr="000226FE">
              <w:rPr>
                <w:rFonts w:ascii="Verdana" w:hAnsi="Verdana" w:cs="Arial"/>
              </w:rPr>
              <w:t xml:space="preserve"> la tipología de vivienda, materialidad de la misma y </w:t>
            </w:r>
            <w:r w:rsidR="00AD4E56" w:rsidRPr="000226FE">
              <w:rPr>
                <w:rFonts w:ascii="Verdana" w:hAnsi="Verdana" w:cs="Arial"/>
              </w:rPr>
              <w:t xml:space="preserve">se revisaron </w:t>
            </w:r>
            <w:r w:rsidR="005E3517" w:rsidRPr="000226FE">
              <w:rPr>
                <w:rFonts w:ascii="Verdana" w:hAnsi="Verdana" w:cs="Arial"/>
              </w:rPr>
              <w:t>aspectos técnicos relacionados con la construcción de viviendas para soportar huracanes categoría 5, cisterna para almacenamiento de agua y paneles solares para conexión de energía</w:t>
            </w:r>
            <w:r w:rsidR="00483A1C" w:rsidRPr="000226FE">
              <w:rPr>
                <w:rFonts w:ascii="Verdana" w:hAnsi="Verdana" w:cs="Arial"/>
              </w:rPr>
              <w:t xml:space="preserve"> transición energética</w:t>
            </w:r>
            <w:r w:rsidR="005E3517" w:rsidRPr="000226FE">
              <w:rPr>
                <w:rFonts w:ascii="Verdana" w:hAnsi="Verdana" w:cs="Arial"/>
              </w:rPr>
              <w:t xml:space="preserve">; </w:t>
            </w:r>
            <w:proofErr w:type="spellStart"/>
            <w:r w:rsidR="00C86F05" w:rsidRPr="000226FE">
              <w:rPr>
                <w:rFonts w:ascii="Verdana" w:hAnsi="Verdana" w:cs="Arial"/>
              </w:rPr>
              <w:t>iii</w:t>
            </w:r>
            <w:proofErr w:type="spellEnd"/>
            <w:r w:rsidR="00C86F05" w:rsidRPr="000226FE">
              <w:rPr>
                <w:rFonts w:ascii="Verdana" w:hAnsi="Verdana" w:cs="Arial"/>
              </w:rPr>
              <w:t xml:space="preserve">) el 29 de enero de 2024, </w:t>
            </w:r>
            <w:r w:rsidR="00AD4E56" w:rsidRPr="000226FE">
              <w:rPr>
                <w:rFonts w:ascii="Verdana" w:hAnsi="Verdana" w:cs="Arial"/>
              </w:rPr>
              <w:t xml:space="preserve">con el fin de obtener un presupuesto </w:t>
            </w:r>
            <w:r w:rsidR="00AB04C8" w:rsidRPr="000226FE">
              <w:rPr>
                <w:rFonts w:ascii="Verdana" w:hAnsi="Verdana" w:cs="Arial"/>
              </w:rPr>
              <w:t xml:space="preserve">que permitiera determinar el valor de la vivienda en el departamento de San Andrés, Providencia y Santa Catalina, </w:t>
            </w:r>
            <w:r w:rsidR="00AD4E56" w:rsidRPr="000226FE">
              <w:rPr>
                <w:rFonts w:ascii="Verdana" w:hAnsi="Verdana" w:cs="Arial"/>
              </w:rPr>
              <w:t xml:space="preserve">se revisó con los constructores locales y </w:t>
            </w:r>
            <w:r w:rsidR="00AB04C8" w:rsidRPr="000226FE">
              <w:rPr>
                <w:rFonts w:ascii="Verdana" w:hAnsi="Verdana" w:cs="Arial"/>
              </w:rPr>
              <w:t>proveedores de materiales de construcción</w:t>
            </w:r>
            <w:r w:rsidR="00AD4E56" w:rsidRPr="000226FE">
              <w:rPr>
                <w:rFonts w:ascii="Verdana" w:hAnsi="Verdana" w:cs="Arial"/>
              </w:rPr>
              <w:t xml:space="preserve">, los precios unitarios, cantidades de obra, costos de materiales, transporte, mano de obra y AIU </w:t>
            </w:r>
            <w:r w:rsidR="00AB04C8" w:rsidRPr="000226FE">
              <w:rPr>
                <w:rFonts w:ascii="Verdana" w:hAnsi="Verdana" w:cs="Arial"/>
              </w:rPr>
              <w:t>–</w:t>
            </w:r>
            <w:r w:rsidR="00AD4E56" w:rsidRPr="000226FE">
              <w:rPr>
                <w:rFonts w:ascii="Verdana" w:hAnsi="Verdana" w:cs="Arial"/>
              </w:rPr>
              <w:t xml:space="preserve"> Administración, Imprevistos y Utilidades. Estas mesas de trabajo se extendieron hasta el 10 de marzo de 2024, y arrojaron como resultado un valor de doscientos ochenta (280) salarios mínimos legales mensuales vigentes para la Vivienda de Interés Social Rural en el departamento de San Andrés, Providencia y Santa Catalina</w:t>
            </w:r>
            <w:r w:rsidR="00AB04C8" w:rsidRPr="000226FE">
              <w:rPr>
                <w:rFonts w:ascii="Verdana" w:hAnsi="Verdana" w:cs="Arial"/>
              </w:rPr>
              <w:t>.</w:t>
            </w:r>
          </w:p>
          <w:p w14:paraId="25AF28B6" w14:textId="77777777" w:rsidR="007F6307" w:rsidRPr="000226FE" w:rsidRDefault="007F6307" w:rsidP="00922327">
            <w:pPr>
              <w:jc w:val="both"/>
              <w:rPr>
                <w:rFonts w:ascii="Verdana" w:hAnsi="Verdana" w:cs="Arial"/>
                <w:i/>
                <w:iCs/>
              </w:rPr>
            </w:pPr>
          </w:p>
          <w:p w14:paraId="2AACE2B5" w14:textId="1108CC09" w:rsidR="007F6307" w:rsidRPr="000226FE" w:rsidRDefault="007F6307" w:rsidP="00FA1BCE">
            <w:pPr>
              <w:ind w:right="162"/>
              <w:jc w:val="both"/>
              <w:rPr>
                <w:rFonts w:ascii="Verdana" w:hAnsi="Verdana" w:cs="Arial"/>
              </w:rPr>
            </w:pPr>
            <w:r w:rsidRPr="000226FE">
              <w:rPr>
                <w:rFonts w:ascii="Verdana" w:hAnsi="Verdana" w:cs="Arial"/>
              </w:rPr>
              <w:t xml:space="preserve">De acuerdo con lo expuesto, es oportuno y conveniente adoptar mediante decreto un valor de doscientos ochenta (280) salarios mínimos legales mensuales vigentes para la Vivienda de Interés Social Rural en el departamento de San Andrés, Providencia y Santa Catalina, </w:t>
            </w:r>
            <w:r w:rsidR="008B7920" w:rsidRPr="000226FE">
              <w:rPr>
                <w:rFonts w:ascii="Verdana" w:hAnsi="Verdana" w:cs="Arial"/>
              </w:rPr>
              <w:t xml:space="preserve">como consecuencia </w:t>
            </w:r>
            <w:r w:rsidRPr="000226FE">
              <w:rPr>
                <w:rFonts w:ascii="Verdana" w:hAnsi="Verdana" w:cs="Arial"/>
              </w:rPr>
              <w:t>del ejercicio directo y participativo</w:t>
            </w:r>
            <w:r w:rsidR="00AD4E56" w:rsidRPr="000226FE">
              <w:rPr>
                <w:rFonts w:ascii="Verdana" w:hAnsi="Verdana" w:cs="Arial"/>
              </w:rPr>
              <w:t xml:space="preserve"> en el departamento</w:t>
            </w:r>
            <w:r w:rsidRPr="000226FE">
              <w:rPr>
                <w:rFonts w:ascii="Verdana" w:hAnsi="Verdana" w:cs="Arial"/>
              </w:rPr>
              <w:t xml:space="preserve">, que consideró variables técnicas, sociales, con enfoque diferencial étnico, comerciales y medioambientales de la zona, lo cual garantiza que el valor referido responde a las necesidades reales y especiales de este tipo de vivienda en ese departamento.  </w:t>
            </w:r>
          </w:p>
          <w:p w14:paraId="5B1661BF" w14:textId="77777777" w:rsidR="007F6307" w:rsidRPr="000226FE" w:rsidRDefault="007F6307" w:rsidP="007F6307">
            <w:pPr>
              <w:ind w:left="142" w:right="162"/>
              <w:jc w:val="both"/>
              <w:rPr>
                <w:rFonts w:ascii="Verdana" w:hAnsi="Verdana" w:cs="Arial"/>
              </w:rPr>
            </w:pPr>
          </w:p>
          <w:p w14:paraId="48AC027E" w14:textId="77777777" w:rsidR="002E1520" w:rsidRPr="000226FE" w:rsidRDefault="007F6307" w:rsidP="00FA1BCE">
            <w:pPr>
              <w:ind w:right="162"/>
              <w:jc w:val="both"/>
              <w:rPr>
                <w:rFonts w:ascii="Verdana" w:hAnsi="Verdana"/>
              </w:rPr>
            </w:pPr>
            <w:r w:rsidRPr="000226FE">
              <w:rPr>
                <w:rFonts w:ascii="Verdana" w:hAnsi="Verdana" w:cs="Arial"/>
              </w:rPr>
              <w:t>Finalmente,</w:t>
            </w:r>
            <w:r w:rsidR="005150D6" w:rsidRPr="000226FE">
              <w:rPr>
                <w:rFonts w:ascii="Verdana" w:hAnsi="Verdana" w:cs="Arial"/>
              </w:rPr>
              <w:t xml:space="preserve"> y tomando como fundamento lo dispuesto en el artículo </w:t>
            </w:r>
            <w:r w:rsidR="005150D6" w:rsidRPr="000226FE">
              <w:rPr>
                <w:rStyle w:val="Textoennegrita"/>
                <w:rFonts w:ascii="Verdana" w:hAnsi="Verdana" w:cs="Arial"/>
                <w:b w:val="0"/>
                <w:bCs w:val="0"/>
              </w:rPr>
              <w:t>2.1.10.1.1.4.1. del Decreto 1077 de 2015, el cual establece que e</w:t>
            </w:r>
            <w:r w:rsidR="005150D6" w:rsidRPr="000226FE">
              <w:rPr>
                <w:rFonts w:ascii="Verdana" w:hAnsi="Verdana" w:cs="Arial"/>
              </w:rPr>
              <w:t xml:space="preserve">l monto del subsidio familiar de vivienda rural que se asigne para vivienda nueva será hasta por el monto establecido en el programa de subsidio familiar de vivienda 100% en especie, es necesario adicionar un parágrafo al artículo </w:t>
            </w:r>
            <w:r w:rsidR="005150D6" w:rsidRPr="000226FE">
              <w:rPr>
                <w:rFonts w:ascii="Verdana" w:hAnsi="Verdana" w:cs="Arial"/>
                <w:shd w:val="clear" w:color="auto" w:fill="FFFFFF"/>
              </w:rPr>
              <w:t>2.1.1.2.1.4.6. del referido Decreto que</w:t>
            </w:r>
            <w:r w:rsidR="00CE781F" w:rsidRPr="000226FE">
              <w:rPr>
                <w:rFonts w:ascii="Verdana" w:hAnsi="Verdana" w:cs="Arial"/>
                <w:shd w:val="clear" w:color="auto" w:fill="FFFFFF"/>
              </w:rPr>
              <w:t xml:space="preserve"> disponga que en el departamento</w:t>
            </w:r>
            <w:r w:rsidR="005150D6" w:rsidRPr="000226FE">
              <w:rPr>
                <w:rFonts w:ascii="Verdana" w:hAnsi="Verdana"/>
              </w:rPr>
              <w:t xml:space="preserve"> de San Andrés Providencia y Santa Catalina, </w:t>
            </w:r>
            <w:r w:rsidR="00CE781F" w:rsidRPr="000226FE">
              <w:rPr>
                <w:rFonts w:ascii="Verdana" w:hAnsi="Verdana"/>
              </w:rPr>
              <w:t>se</w:t>
            </w:r>
            <w:r w:rsidR="005150D6" w:rsidRPr="000226FE">
              <w:rPr>
                <w:rFonts w:ascii="Verdana" w:hAnsi="Verdana"/>
              </w:rPr>
              <w:t xml:space="preserve"> podrá asignar el Subsidio Familiar de Vivienda en Especie hasta por el tope del valor de la Vivienda de Interés Social</w:t>
            </w:r>
            <w:r w:rsidR="00CE781F" w:rsidRPr="000226FE">
              <w:rPr>
                <w:rFonts w:ascii="Verdana" w:hAnsi="Verdana"/>
              </w:rPr>
              <w:t xml:space="preserve">, en cumplimiento de esta disposición. </w:t>
            </w:r>
          </w:p>
          <w:p w14:paraId="3700C818" w14:textId="77777777" w:rsidR="00F730BC" w:rsidRPr="000226FE" w:rsidRDefault="00F730BC" w:rsidP="00F730BC">
            <w:pPr>
              <w:ind w:right="162"/>
              <w:jc w:val="both"/>
              <w:rPr>
                <w:rFonts w:ascii="Verdana" w:eastAsia="Calibri" w:hAnsi="Verdana" w:cs="Arial"/>
                <w:lang w:eastAsia="en-US"/>
              </w:rPr>
            </w:pPr>
          </w:p>
          <w:p w14:paraId="338F276C" w14:textId="67C5B143" w:rsidR="002C6CE0" w:rsidRPr="000226FE" w:rsidRDefault="008926F9" w:rsidP="00FA1BCE">
            <w:pPr>
              <w:ind w:right="162"/>
              <w:jc w:val="both"/>
              <w:rPr>
                <w:rFonts w:ascii="Verdana" w:eastAsia="Calibri" w:hAnsi="Verdana" w:cs="Arial"/>
                <w:lang w:eastAsia="en-US"/>
              </w:rPr>
            </w:pPr>
            <w:r>
              <w:rPr>
                <w:rFonts w:ascii="Verdana" w:eastAsia="Calibri" w:hAnsi="Verdana" w:cs="Arial"/>
                <w:lang w:eastAsia="en-US"/>
              </w:rPr>
              <w:t>A su vez</w:t>
            </w:r>
            <w:r w:rsidR="00F730BC" w:rsidRPr="000226FE">
              <w:rPr>
                <w:rFonts w:ascii="Verdana" w:eastAsia="Calibri" w:hAnsi="Verdana" w:cs="Arial"/>
                <w:lang w:eastAsia="en-US"/>
              </w:rPr>
              <w:t>, y en cumplimiento de lo dispuesto en el artículo 25 de la Ley 2079 de 2021, se establece la facultad para que el Ministerio de Vivienda, Ciudad y Territorio reglamente el uso de los mecanismos de pago de obras por impuestos y pago de obras por regalías para financiar la vivienda de interés social</w:t>
            </w:r>
            <w:r w:rsidR="002C6CE0" w:rsidRPr="000226FE">
              <w:rPr>
                <w:rFonts w:ascii="Verdana" w:eastAsia="Calibri" w:hAnsi="Verdana" w:cs="Arial"/>
                <w:lang w:eastAsia="en-US"/>
              </w:rPr>
              <w:t xml:space="preserve">. Lo anterior, permitirá incluir la línea de inversión “vivienda rural” en el mecanismo de obras por impuestos y gestionar diferentes fuentes de financiación que contribuyan a reducir el déficit habitacional rural. </w:t>
            </w:r>
          </w:p>
          <w:p w14:paraId="46784A7F" w14:textId="15E824B7" w:rsidR="002C6CE0" w:rsidRPr="000226FE" w:rsidRDefault="002C6CE0" w:rsidP="00764689">
            <w:pPr>
              <w:ind w:left="142" w:right="162"/>
              <w:jc w:val="both"/>
              <w:rPr>
                <w:rFonts w:ascii="Verdana" w:eastAsia="Calibri" w:hAnsi="Verdana" w:cs="Arial"/>
                <w:lang w:eastAsia="en-US"/>
              </w:rPr>
            </w:pPr>
            <w:r w:rsidRPr="000226FE">
              <w:rPr>
                <w:rFonts w:ascii="Verdana" w:eastAsia="Calibri" w:hAnsi="Verdana" w:cs="Arial"/>
                <w:lang w:eastAsia="en-US"/>
              </w:rPr>
              <w:t xml:space="preserve"> </w:t>
            </w:r>
          </w:p>
          <w:p w14:paraId="4B9E0C5A" w14:textId="77777777" w:rsidR="008926F9" w:rsidRDefault="008926F9" w:rsidP="00A83592">
            <w:pPr>
              <w:jc w:val="both"/>
              <w:rPr>
                <w:rFonts w:ascii="Verdana" w:hAnsi="Verdana"/>
              </w:rPr>
            </w:pPr>
          </w:p>
          <w:p w14:paraId="5331DFB8" w14:textId="77777777" w:rsidR="008926F9" w:rsidRDefault="008926F9" w:rsidP="00A83592">
            <w:pPr>
              <w:jc w:val="both"/>
              <w:rPr>
                <w:rFonts w:ascii="Verdana" w:hAnsi="Verdana"/>
              </w:rPr>
            </w:pPr>
          </w:p>
          <w:p w14:paraId="3439C78A" w14:textId="5643A468" w:rsidR="00395367" w:rsidRPr="00D864D7" w:rsidRDefault="008926F9" w:rsidP="00A83592">
            <w:pPr>
              <w:jc w:val="both"/>
              <w:rPr>
                <w:rFonts w:ascii="Verdana" w:hAnsi="Verdana"/>
              </w:rPr>
            </w:pPr>
            <w:r w:rsidRPr="00D864D7">
              <w:rPr>
                <w:rFonts w:ascii="Verdana" w:hAnsi="Verdana"/>
              </w:rPr>
              <w:lastRenderedPageBreak/>
              <w:t xml:space="preserve">De otra parte, </w:t>
            </w:r>
            <w:r w:rsidR="00395367" w:rsidRPr="00D864D7">
              <w:rPr>
                <w:rFonts w:ascii="Verdana" w:hAnsi="Verdana"/>
              </w:rPr>
              <w:t>el artículo 2.2.2.1.5.2.2. del Decreto 1077 de 2015, establece las características de la Vivienda de Interés Social (VIS) y de Interés Social Prioritario (VIP) que se desarrollen en programas y/o proyectos de renovación urbana. Particularmente el numeral 3</w:t>
            </w:r>
            <w:r w:rsidR="009E525B" w:rsidRPr="00D864D7">
              <w:rPr>
                <w:rFonts w:ascii="Verdana" w:hAnsi="Verdana"/>
              </w:rPr>
              <w:t xml:space="preserve"> del artículo en mención</w:t>
            </w:r>
            <w:r w:rsidR="00395367" w:rsidRPr="00D864D7">
              <w:rPr>
                <w:rFonts w:ascii="Verdana" w:hAnsi="Verdana"/>
              </w:rPr>
              <w:t>, dispuso que  las viviendas de interés social cuyo valor exceda los ciento treinta y cinco (135) salarios mínimos legales mensuales vigentes, o los ciento cincuenta (150) salarios mínimos legales mensuales vigentes cuando se ubiquen en los municipios y distritos establecidos en el título 9 de la parte 1 del libro 2 del decreto 1077 de 2015, no serán objeto de la aplicación del subsidio familiar de vivienda ni de los beneficios o incentivos que se establezcan para la adquisición de Vivienda de Interés Social o Vivienda de Interés Prioritario</w:t>
            </w:r>
            <w:r w:rsidR="009E525B" w:rsidRPr="00D864D7">
              <w:rPr>
                <w:rFonts w:ascii="Verdana" w:hAnsi="Verdana"/>
              </w:rPr>
              <w:t xml:space="preserve">. </w:t>
            </w:r>
          </w:p>
          <w:p w14:paraId="0CF0B777" w14:textId="77777777" w:rsidR="00457CDB" w:rsidRDefault="00457CDB" w:rsidP="00A83592">
            <w:pPr>
              <w:jc w:val="both"/>
              <w:rPr>
                <w:rFonts w:ascii="Verdana" w:hAnsi="Verdana"/>
              </w:rPr>
            </w:pPr>
          </w:p>
          <w:p w14:paraId="13FFDAE6" w14:textId="5EB946DE" w:rsidR="00A83592" w:rsidRDefault="00457CDB" w:rsidP="00A83592">
            <w:pPr>
              <w:jc w:val="both"/>
              <w:rPr>
                <w:rFonts w:ascii="Verdana" w:hAnsi="Verdana"/>
              </w:rPr>
            </w:pPr>
            <w:r>
              <w:rPr>
                <w:rFonts w:ascii="Verdana" w:hAnsi="Verdana"/>
              </w:rPr>
              <w:t>A</w:t>
            </w:r>
            <w:r w:rsidR="00A83592" w:rsidRPr="000226FE">
              <w:rPr>
                <w:rFonts w:ascii="Verdana" w:hAnsi="Verdana"/>
              </w:rPr>
              <w:t>ctualmente, se estima que el valor de la primera cuota mensual para un crédito hipotecario de adquisición de una vivienda de interés social (VIS) de renovación urbana con un valor de 175 SMMLV es de $1.860.930. En esas condiciones, el ingreso mínimo para que un hogar logre el cierre financiero para adquirir una vivienda de esas características, sin ningún subsidio o cobertura a la tasa de interés, es de 3,6 SMMLV, ya que ese es el nivel de ingreso mínimo requerido para que la primera cuota mensual no supere el 40% del ingreso del hogar. Para un hogar con un ingreso de 2 SMMLV, esa misma cuota representa el 71,6% de su ingreso mensual, lo que implica que en las condiciones actuales no alcanza el cierre financiero para adquirir vivienda de renovación urbana.</w:t>
            </w:r>
          </w:p>
          <w:p w14:paraId="2832744E" w14:textId="77777777" w:rsidR="001812E8" w:rsidRPr="000226FE" w:rsidRDefault="001812E8" w:rsidP="00A83592">
            <w:pPr>
              <w:jc w:val="both"/>
              <w:rPr>
                <w:rFonts w:ascii="Verdana" w:hAnsi="Verdana"/>
              </w:rPr>
            </w:pPr>
          </w:p>
          <w:p w14:paraId="597D7442" w14:textId="36DDC0B7" w:rsidR="00A83592" w:rsidRPr="000226FE" w:rsidRDefault="00A83592" w:rsidP="00A83592">
            <w:pPr>
              <w:pStyle w:val="Textonotapie"/>
              <w:jc w:val="both"/>
              <w:rPr>
                <w:rFonts w:ascii="Verdana" w:hAnsi="Verdana"/>
              </w:rPr>
            </w:pPr>
            <w:r w:rsidRPr="000226FE">
              <w:rPr>
                <w:rFonts w:ascii="Verdana" w:hAnsi="Verdana"/>
              </w:rPr>
              <w:t>Se presenta la estimación con un crédito c</w:t>
            </w:r>
            <w:r w:rsidR="008926F9">
              <w:rPr>
                <w:rFonts w:ascii="Verdana" w:hAnsi="Verdana"/>
              </w:rPr>
              <w:t>uyo</w:t>
            </w:r>
            <w:r w:rsidRPr="000226FE">
              <w:rPr>
                <w:rFonts w:ascii="Verdana" w:hAnsi="Verdana"/>
              </w:rPr>
              <w:t xml:space="preserve"> plazo </w:t>
            </w:r>
            <w:r w:rsidR="008926F9">
              <w:rPr>
                <w:rFonts w:ascii="Verdana" w:hAnsi="Verdana"/>
              </w:rPr>
              <w:t xml:space="preserve">sea </w:t>
            </w:r>
            <w:r w:rsidRPr="000226FE">
              <w:rPr>
                <w:rFonts w:ascii="Verdana" w:hAnsi="Verdana"/>
              </w:rPr>
              <w:t>de</w:t>
            </w:r>
            <w:r w:rsidR="008926F9">
              <w:rPr>
                <w:rFonts w:ascii="Verdana" w:hAnsi="Verdana"/>
              </w:rPr>
              <w:t xml:space="preserve"> </w:t>
            </w:r>
            <w:r w:rsidR="00457CDB">
              <w:rPr>
                <w:rFonts w:ascii="Verdana" w:hAnsi="Verdana"/>
              </w:rPr>
              <w:t>24 meses</w:t>
            </w:r>
            <w:r w:rsidR="008926F9">
              <w:rPr>
                <w:rFonts w:ascii="Verdana" w:hAnsi="Verdana"/>
              </w:rPr>
              <w:t>,</w:t>
            </w:r>
            <w:r w:rsidR="00457CDB">
              <w:rPr>
                <w:rFonts w:ascii="Verdana" w:hAnsi="Verdana"/>
              </w:rPr>
              <w:t xml:space="preserve"> </w:t>
            </w:r>
            <w:r w:rsidRPr="000226FE">
              <w:rPr>
                <w:rFonts w:ascii="Verdana" w:hAnsi="Verdana"/>
              </w:rPr>
              <w:t>a una tasa en pesos del 14,7% EA y un ahorro correspondiente al 30% del valor de la vivienda.</w:t>
            </w:r>
          </w:p>
          <w:p w14:paraId="3CE1E57D" w14:textId="77777777" w:rsidR="00A83592" w:rsidRPr="000226FE" w:rsidRDefault="00A83592" w:rsidP="00A83592">
            <w:pPr>
              <w:pStyle w:val="Textonotapie"/>
              <w:jc w:val="both"/>
              <w:rPr>
                <w:rFonts w:ascii="Verdana" w:hAnsi="Verdana"/>
              </w:rPr>
            </w:pPr>
          </w:p>
          <w:p w14:paraId="412DBA43" w14:textId="77777777" w:rsidR="00A83592" w:rsidRDefault="00A83592" w:rsidP="00A83592">
            <w:pPr>
              <w:jc w:val="center"/>
              <w:rPr>
                <w:rFonts w:ascii="Verdana" w:hAnsi="Verdana"/>
                <w:b/>
              </w:rPr>
            </w:pPr>
            <w:r w:rsidRPr="000226FE">
              <w:rPr>
                <w:rFonts w:ascii="Verdana" w:hAnsi="Verdana"/>
                <w:b/>
              </w:rPr>
              <w:t>Tabla 1. Cierre financiero para VIS de renovación urbana – hogar con ingreso de 2 SMMLV</w:t>
            </w:r>
          </w:p>
          <w:p w14:paraId="4B2CFA17" w14:textId="77777777" w:rsidR="001812E8" w:rsidRPr="000226FE" w:rsidRDefault="001812E8" w:rsidP="00A83592">
            <w:pPr>
              <w:jc w:val="center"/>
              <w:rPr>
                <w:rFonts w:ascii="Verdana" w:hAnsi="Verdana"/>
                <w:b/>
              </w:rPr>
            </w:pPr>
          </w:p>
          <w:tbl>
            <w:tblPr>
              <w:tblW w:w="7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41"/>
              <w:gridCol w:w="1560"/>
              <w:gridCol w:w="1320"/>
            </w:tblGrid>
            <w:tr w:rsidR="00A83592" w:rsidRPr="001812E8" w14:paraId="04F04DEA" w14:textId="77777777" w:rsidTr="005A500C">
              <w:trPr>
                <w:trHeight w:val="300"/>
                <w:jc w:val="center"/>
              </w:trPr>
              <w:tc>
                <w:tcPr>
                  <w:tcW w:w="4341" w:type="dxa"/>
                  <w:shd w:val="clear" w:color="auto" w:fill="auto"/>
                  <w:noWrap/>
                  <w:vAlign w:val="center"/>
                  <w:hideMark/>
                </w:tcPr>
                <w:p w14:paraId="124F6B9E" w14:textId="77777777" w:rsidR="00A83592" w:rsidRPr="001812E8" w:rsidRDefault="00A83592" w:rsidP="00A83592">
                  <w:pPr>
                    <w:jc w:val="center"/>
                    <w:rPr>
                      <w:rFonts w:ascii="Verdana" w:hAnsi="Verdana" w:cstheme="minorHAnsi"/>
                      <w:color w:val="000000" w:themeColor="text1"/>
                      <w:sz w:val="16"/>
                      <w:szCs w:val="16"/>
                      <w:lang w:eastAsia="es-CO"/>
                    </w:rPr>
                  </w:pPr>
                </w:p>
              </w:tc>
              <w:tc>
                <w:tcPr>
                  <w:tcW w:w="1560" w:type="dxa"/>
                  <w:shd w:val="clear" w:color="auto" w:fill="auto"/>
                  <w:noWrap/>
                  <w:vAlign w:val="center"/>
                  <w:hideMark/>
                </w:tcPr>
                <w:p w14:paraId="0BE0469F" w14:textId="77777777" w:rsidR="00A83592" w:rsidRPr="001812E8" w:rsidRDefault="00A83592" w:rsidP="00A83592">
                  <w:pPr>
                    <w:jc w:val="center"/>
                    <w:rPr>
                      <w:rFonts w:ascii="Verdana" w:hAnsi="Verdana" w:cstheme="minorHAnsi"/>
                      <w:b/>
                      <w:bCs/>
                      <w:color w:val="000000" w:themeColor="text1"/>
                      <w:sz w:val="16"/>
                      <w:szCs w:val="16"/>
                      <w:lang w:eastAsia="es-CO"/>
                    </w:rPr>
                  </w:pPr>
                  <w:r w:rsidRPr="001812E8">
                    <w:rPr>
                      <w:rFonts w:ascii="Verdana" w:hAnsi="Verdana" w:cstheme="minorHAnsi"/>
                      <w:b/>
                      <w:bCs/>
                      <w:color w:val="000000" w:themeColor="text1"/>
                      <w:sz w:val="16"/>
                      <w:szCs w:val="16"/>
                      <w:lang w:eastAsia="es-CO"/>
                    </w:rPr>
                    <w:t>Valor cuota mensual</w:t>
                  </w:r>
                </w:p>
              </w:tc>
              <w:tc>
                <w:tcPr>
                  <w:tcW w:w="1320" w:type="dxa"/>
                  <w:shd w:val="clear" w:color="auto" w:fill="auto"/>
                  <w:noWrap/>
                  <w:vAlign w:val="center"/>
                  <w:hideMark/>
                </w:tcPr>
                <w:p w14:paraId="3601FA69" w14:textId="77777777" w:rsidR="00A83592" w:rsidRPr="001812E8" w:rsidRDefault="00A83592" w:rsidP="00A83592">
                  <w:pPr>
                    <w:jc w:val="center"/>
                    <w:rPr>
                      <w:rFonts w:ascii="Verdana" w:hAnsi="Verdana" w:cstheme="minorHAnsi"/>
                      <w:b/>
                      <w:bCs/>
                      <w:color w:val="000000" w:themeColor="text1"/>
                      <w:sz w:val="16"/>
                      <w:szCs w:val="16"/>
                      <w:lang w:eastAsia="es-CO"/>
                    </w:rPr>
                  </w:pPr>
                  <w:r w:rsidRPr="001812E8">
                    <w:rPr>
                      <w:rFonts w:ascii="Verdana" w:hAnsi="Verdana" w:cstheme="minorHAnsi"/>
                      <w:b/>
                      <w:bCs/>
                      <w:color w:val="000000" w:themeColor="text1"/>
                      <w:sz w:val="16"/>
                      <w:szCs w:val="16"/>
                      <w:lang w:eastAsia="es-CO"/>
                    </w:rPr>
                    <w:t>Relación cuota-ingreso</w:t>
                  </w:r>
                </w:p>
              </w:tc>
            </w:tr>
            <w:tr w:rsidR="00A83592" w:rsidRPr="001812E8" w14:paraId="7D4AD305" w14:textId="77777777" w:rsidTr="005A500C">
              <w:trPr>
                <w:trHeight w:val="285"/>
                <w:jc w:val="center"/>
              </w:trPr>
              <w:tc>
                <w:tcPr>
                  <w:tcW w:w="4341" w:type="dxa"/>
                  <w:shd w:val="clear" w:color="auto" w:fill="auto"/>
                  <w:noWrap/>
                  <w:vAlign w:val="center"/>
                  <w:hideMark/>
                </w:tcPr>
                <w:p w14:paraId="11E9AD3A" w14:textId="77777777" w:rsidR="00A83592" w:rsidRPr="001812E8" w:rsidRDefault="00A83592" w:rsidP="00A83592">
                  <w:pPr>
                    <w:jc w:val="center"/>
                    <w:rPr>
                      <w:rFonts w:ascii="Verdana" w:hAnsi="Verdana" w:cstheme="minorHAnsi"/>
                      <w:b/>
                      <w:bCs/>
                      <w:color w:val="000000" w:themeColor="text1"/>
                      <w:sz w:val="16"/>
                      <w:szCs w:val="16"/>
                      <w:lang w:eastAsia="es-CO"/>
                    </w:rPr>
                  </w:pPr>
                  <w:r w:rsidRPr="001812E8">
                    <w:rPr>
                      <w:rFonts w:ascii="Verdana" w:hAnsi="Verdana" w:cstheme="minorHAnsi"/>
                      <w:b/>
                      <w:bCs/>
                      <w:color w:val="000000" w:themeColor="text1"/>
                      <w:sz w:val="16"/>
                      <w:szCs w:val="16"/>
                      <w:lang w:eastAsia="es-CO"/>
                    </w:rPr>
                    <w:t>Sin MCY</w:t>
                  </w:r>
                </w:p>
              </w:tc>
              <w:tc>
                <w:tcPr>
                  <w:tcW w:w="1560" w:type="dxa"/>
                  <w:shd w:val="clear" w:color="auto" w:fill="auto"/>
                  <w:noWrap/>
                  <w:vAlign w:val="center"/>
                  <w:hideMark/>
                </w:tcPr>
                <w:p w14:paraId="4CA74BC8"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$ 1.860.930</w:t>
                  </w:r>
                </w:p>
              </w:tc>
              <w:tc>
                <w:tcPr>
                  <w:tcW w:w="1320" w:type="dxa"/>
                  <w:shd w:val="clear" w:color="auto" w:fill="auto"/>
                  <w:noWrap/>
                  <w:vAlign w:val="center"/>
                  <w:hideMark/>
                </w:tcPr>
                <w:p w14:paraId="49131CF6"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72%</w:t>
                  </w:r>
                </w:p>
              </w:tc>
            </w:tr>
            <w:tr w:rsidR="00A83592" w:rsidRPr="001812E8" w14:paraId="49D93C0C" w14:textId="77777777" w:rsidTr="005A500C">
              <w:trPr>
                <w:trHeight w:val="285"/>
                <w:jc w:val="center"/>
              </w:trPr>
              <w:tc>
                <w:tcPr>
                  <w:tcW w:w="4341" w:type="dxa"/>
                  <w:shd w:val="clear" w:color="auto" w:fill="auto"/>
                  <w:noWrap/>
                  <w:vAlign w:val="center"/>
                  <w:hideMark/>
                </w:tcPr>
                <w:p w14:paraId="3A8E55DC" w14:textId="77777777" w:rsidR="00A83592" w:rsidRPr="001812E8" w:rsidRDefault="00A83592" w:rsidP="00A83592">
                  <w:pPr>
                    <w:jc w:val="center"/>
                    <w:rPr>
                      <w:rFonts w:ascii="Verdana" w:hAnsi="Verdana" w:cstheme="minorHAnsi"/>
                      <w:b/>
                      <w:bCs/>
                      <w:color w:val="000000" w:themeColor="text1"/>
                      <w:sz w:val="16"/>
                      <w:szCs w:val="16"/>
                      <w:lang w:eastAsia="es-CO"/>
                    </w:rPr>
                  </w:pPr>
                  <w:r w:rsidRPr="001812E8">
                    <w:rPr>
                      <w:rFonts w:ascii="Verdana" w:hAnsi="Verdana" w:cstheme="minorHAnsi"/>
                      <w:b/>
                      <w:bCs/>
                      <w:color w:val="000000" w:themeColor="text1"/>
                      <w:sz w:val="16"/>
                      <w:szCs w:val="16"/>
                      <w:lang w:eastAsia="es-CO"/>
                    </w:rPr>
                    <w:t xml:space="preserve">Con MCY y 4 </w:t>
                  </w:r>
                  <w:proofErr w:type="spellStart"/>
                  <w:r w:rsidRPr="001812E8">
                    <w:rPr>
                      <w:rFonts w:ascii="Verdana" w:hAnsi="Verdana" w:cstheme="minorHAnsi"/>
                      <w:b/>
                      <w:bCs/>
                      <w:color w:val="000000" w:themeColor="text1"/>
                      <w:sz w:val="16"/>
                      <w:szCs w:val="16"/>
                      <w:lang w:eastAsia="es-CO"/>
                    </w:rPr>
                    <w:t>pps</w:t>
                  </w:r>
                  <w:proofErr w:type="spellEnd"/>
                  <w:r w:rsidRPr="001812E8">
                    <w:rPr>
                      <w:rFonts w:ascii="Verdana" w:hAnsi="Verdana" w:cstheme="minorHAnsi"/>
                      <w:b/>
                      <w:bCs/>
                      <w:color w:val="000000" w:themeColor="text1"/>
                      <w:sz w:val="16"/>
                      <w:szCs w:val="16"/>
                      <w:lang w:eastAsia="es-CO"/>
                    </w:rPr>
                    <w:t>. de cobertura</w:t>
                  </w:r>
                </w:p>
              </w:tc>
              <w:tc>
                <w:tcPr>
                  <w:tcW w:w="1560" w:type="dxa"/>
                  <w:shd w:val="clear" w:color="auto" w:fill="auto"/>
                  <w:noWrap/>
                  <w:vAlign w:val="center"/>
                  <w:hideMark/>
                </w:tcPr>
                <w:p w14:paraId="0180BA42"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$ 1.043.319</w:t>
                  </w:r>
                </w:p>
              </w:tc>
              <w:tc>
                <w:tcPr>
                  <w:tcW w:w="1320" w:type="dxa"/>
                  <w:shd w:val="clear" w:color="auto" w:fill="auto"/>
                  <w:noWrap/>
                  <w:vAlign w:val="center"/>
                  <w:hideMark/>
                </w:tcPr>
                <w:p w14:paraId="42762794"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40%</w:t>
                  </w:r>
                </w:p>
              </w:tc>
            </w:tr>
            <w:tr w:rsidR="00A83592" w:rsidRPr="001812E8" w14:paraId="32A8EBC2" w14:textId="77777777" w:rsidTr="005A500C">
              <w:trPr>
                <w:trHeight w:val="285"/>
                <w:jc w:val="center"/>
              </w:trPr>
              <w:tc>
                <w:tcPr>
                  <w:tcW w:w="4341" w:type="dxa"/>
                  <w:shd w:val="clear" w:color="auto" w:fill="auto"/>
                  <w:noWrap/>
                  <w:vAlign w:val="center"/>
                  <w:hideMark/>
                </w:tcPr>
                <w:p w14:paraId="2DE17127" w14:textId="77777777" w:rsidR="00A83592" w:rsidRPr="001812E8" w:rsidRDefault="00A83592" w:rsidP="00A83592">
                  <w:pPr>
                    <w:jc w:val="center"/>
                    <w:rPr>
                      <w:rFonts w:ascii="Verdana" w:hAnsi="Verdana" w:cstheme="minorHAnsi"/>
                      <w:b/>
                      <w:bCs/>
                      <w:color w:val="000000" w:themeColor="text1"/>
                      <w:sz w:val="16"/>
                      <w:szCs w:val="16"/>
                      <w:lang w:eastAsia="es-CO"/>
                    </w:rPr>
                  </w:pPr>
                  <w:r w:rsidRPr="001812E8">
                    <w:rPr>
                      <w:rFonts w:ascii="Verdana" w:hAnsi="Verdana" w:cstheme="minorHAnsi"/>
                      <w:b/>
                      <w:bCs/>
                      <w:color w:val="000000" w:themeColor="text1"/>
                      <w:sz w:val="16"/>
                      <w:szCs w:val="16"/>
                      <w:lang w:eastAsia="es-CO"/>
                    </w:rPr>
                    <w:t xml:space="preserve">Con MCY y 3 </w:t>
                  </w:r>
                  <w:proofErr w:type="spellStart"/>
                  <w:r w:rsidRPr="001812E8">
                    <w:rPr>
                      <w:rFonts w:ascii="Verdana" w:hAnsi="Verdana" w:cstheme="minorHAnsi"/>
                      <w:b/>
                      <w:bCs/>
                      <w:color w:val="000000" w:themeColor="text1"/>
                      <w:sz w:val="16"/>
                      <w:szCs w:val="16"/>
                      <w:lang w:eastAsia="es-CO"/>
                    </w:rPr>
                    <w:t>pps</w:t>
                  </w:r>
                  <w:proofErr w:type="spellEnd"/>
                  <w:r w:rsidRPr="001812E8">
                    <w:rPr>
                      <w:rFonts w:ascii="Verdana" w:hAnsi="Verdana" w:cstheme="minorHAnsi"/>
                      <w:b/>
                      <w:bCs/>
                      <w:color w:val="000000" w:themeColor="text1"/>
                      <w:sz w:val="16"/>
                      <w:szCs w:val="16"/>
                      <w:lang w:eastAsia="es-CO"/>
                    </w:rPr>
                    <w:t>. de cobertura</w:t>
                  </w:r>
                </w:p>
              </w:tc>
              <w:tc>
                <w:tcPr>
                  <w:tcW w:w="1560" w:type="dxa"/>
                  <w:shd w:val="clear" w:color="auto" w:fill="auto"/>
                  <w:noWrap/>
                  <w:vAlign w:val="center"/>
                  <w:hideMark/>
                </w:tcPr>
                <w:p w14:paraId="3CBEA203"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$ 1.130.123</w:t>
                  </w:r>
                </w:p>
              </w:tc>
              <w:tc>
                <w:tcPr>
                  <w:tcW w:w="1320" w:type="dxa"/>
                  <w:shd w:val="clear" w:color="auto" w:fill="auto"/>
                  <w:noWrap/>
                  <w:vAlign w:val="center"/>
                  <w:hideMark/>
                </w:tcPr>
                <w:p w14:paraId="785A1372"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43%</w:t>
                  </w:r>
                </w:p>
              </w:tc>
            </w:tr>
            <w:tr w:rsidR="00A83592" w:rsidRPr="001812E8" w14:paraId="5FE97412" w14:textId="77777777" w:rsidTr="005A500C">
              <w:trPr>
                <w:trHeight w:val="285"/>
                <w:jc w:val="center"/>
              </w:trPr>
              <w:tc>
                <w:tcPr>
                  <w:tcW w:w="4341" w:type="dxa"/>
                  <w:shd w:val="clear" w:color="auto" w:fill="auto"/>
                  <w:noWrap/>
                  <w:vAlign w:val="center"/>
                </w:tcPr>
                <w:p w14:paraId="15694852" w14:textId="77777777" w:rsidR="00A83592" w:rsidRPr="001812E8" w:rsidRDefault="00A83592" w:rsidP="00A83592">
                  <w:pPr>
                    <w:jc w:val="center"/>
                    <w:rPr>
                      <w:rFonts w:ascii="Verdana" w:hAnsi="Verdana" w:cstheme="minorHAnsi"/>
                      <w:b/>
                      <w:bCs/>
                      <w:color w:val="000000" w:themeColor="text1"/>
                      <w:sz w:val="16"/>
                      <w:szCs w:val="16"/>
                      <w:lang w:eastAsia="es-CO"/>
                    </w:rPr>
                  </w:pPr>
                  <w:r w:rsidRPr="001812E8">
                    <w:rPr>
                      <w:rFonts w:ascii="Verdana" w:hAnsi="Verdana" w:cstheme="minorHAnsi"/>
                      <w:b/>
                      <w:bCs/>
                      <w:color w:val="000000" w:themeColor="text1"/>
                      <w:sz w:val="16"/>
                      <w:szCs w:val="16"/>
                      <w:lang w:eastAsia="es-CO"/>
                    </w:rPr>
                    <w:t xml:space="preserve">MCY + concurrencia CCF </w:t>
                  </w:r>
                  <w:proofErr w:type="gramStart"/>
                  <w:r w:rsidRPr="001812E8">
                    <w:rPr>
                      <w:rFonts w:ascii="Verdana" w:hAnsi="Verdana" w:cstheme="minorHAnsi"/>
                      <w:b/>
                      <w:bCs/>
                      <w:color w:val="000000" w:themeColor="text1"/>
                      <w:sz w:val="16"/>
                      <w:szCs w:val="16"/>
                      <w:lang w:eastAsia="es-CO"/>
                    </w:rPr>
                    <w:t>y  4</w:t>
                  </w:r>
                  <w:proofErr w:type="gramEnd"/>
                  <w:r w:rsidRPr="001812E8">
                    <w:rPr>
                      <w:rFonts w:ascii="Verdana" w:hAnsi="Verdana" w:cstheme="minorHAnsi"/>
                      <w:b/>
                      <w:bCs/>
                      <w:color w:val="000000" w:themeColor="text1"/>
                      <w:sz w:val="16"/>
                      <w:szCs w:val="16"/>
                      <w:lang w:eastAsia="es-CO"/>
                    </w:rPr>
                    <w:t xml:space="preserve"> </w:t>
                  </w:r>
                  <w:proofErr w:type="spellStart"/>
                  <w:r w:rsidRPr="001812E8">
                    <w:rPr>
                      <w:rFonts w:ascii="Verdana" w:hAnsi="Verdana" w:cstheme="minorHAnsi"/>
                      <w:b/>
                      <w:bCs/>
                      <w:color w:val="000000" w:themeColor="text1"/>
                      <w:sz w:val="16"/>
                      <w:szCs w:val="16"/>
                      <w:lang w:eastAsia="es-CO"/>
                    </w:rPr>
                    <w:t>pps</w:t>
                  </w:r>
                  <w:proofErr w:type="spellEnd"/>
                  <w:r w:rsidRPr="001812E8">
                    <w:rPr>
                      <w:rFonts w:ascii="Verdana" w:hAnsi="Verdana" w:cstheme="minorHAnsi"/>
                      <w:b/>
                      <w:bCs/>
                      <w:color w:val="000000" w:themeColor="text1"/>
                      <w:sz w:val="16"/>
                      <w:szCs w:val="16"/>
                      <w:lang w:eastAsia="es-CO"/>
                    </w:rPr>
                    <w:t>. de cobertura</w:t>
                  </w:r>
                </w:p>
              </w:tc>
              <w:tc>
                <w:tcPr>
                  <w:tcW w:w="1560" w:type="dxa"/>
                  <w:shd w:val="clear" w:color="auto" w:fill="auto"/>
                  <w:noWrap/>
                  <w:vAlign w:val="center"/>
                </w:tcPr>
                <w:p w14:paraId="03083946"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$ 817.736</w:t>
                  </w:r>
                </w:p>
              </w:tc>
              <w:tc>
                <w:tcPr>
                  <w:tcW w:w="1320" w:type="dxa"/>
                  <w:shd w:val="clear" w:color="auto" w:fill="auto"/>
                  <w:noWrap/>
                  <w:vAlign w:val="center"/>
                </w:tcPr>
                <w:p w14:paraId="6D89F0D8" w14:textId="77777777" w:rsidR="00A83592" w:rsidRPr="001812E8" w:rsidRDefault="00A83592" w:rsidP="00A83592">
                  <w:pPr>
                    <w:jc w:val="center"/>
                    <w:rPr>
                      <w:rFonts w:ascii="Verdana" w:hAnsi="Verdana" w:cstheme="minorHAnsi"/>
                      <w:color w:val="000000" w:themeColor="text1"/>
                      <w:sz w:val="16"/>
                      <w:szCs w:val="16"/>
                      <w:lang w:eastAsia="es-CO"/>
                    </w:rPr>
                  </w:pPr>
                  <w:r w:rsidRPr="001812E8">
                    <w:rPr>
                      <w:rFonts w:ascii="Verdana" w:hAnsi="Verdana" w:cstheme="minorHAnsi"/>
                      <w:color w:val="000000" w:themeColor="text1"/>
                      <w:sz w:val="16"/>
                      <w:szCs w:val="16"/>
                      <w:lang w:eastAsia="es-CO"/>
                    </w:rPr>
                    <w:t>31,5%</w:t>
                  </w:r>
                </w:p>
              </w:tc>
            </w:tr>
          </w:tbl>
          <w:p w14:paraId="1A16D326" w14:textId="77777777" w:rsidR="00A83592" w:rsidRPr="001812E8" w:rsidRDefault="00A83592" w:rsidP="00A83592">
            <w:pPr>
              <w:jc w:val="center"/>
              <w:rPr>
                <w:rFonts w:ascii="Verdana" w:hAnsi="Verdana"/>
                <w:sz w:val="18"/>
                <w:szCs w:val="18"/>
              </w:rPr>
            </w:pPr>
            <w:r w:rsidRPr="000226FE">
              <w:rPr>
                <w:rFonts w:ascii="Verdana" w:hAnsi="Verdana"/>
              </w:rPr>
              <w:br/>
            </w:r>
            <w:r w:rsidRPr="001812E8">
              <w:rPr>
                <w:rFonts w:ascii="Verdana" w:hAnsi="Verdana"/>
                <w:sz w:val="18"/>
                <w:szCs w:val="18"/>
              </w:rPr>
              <w:t>Fuente: Cálculos Ministerio de Vivienda Ciudad y Territorio</w:t>
            </w:r>
          </w:p>
          <w:p w14:paraId="211226B8" w14:textId="77777777" w:rsidR="001812E8" w:rsidRPr="001812E8" w:rsidRDefault="001812E8" w:rsidP="00A83592">
            <w:pPr>
              <w:jc w:val="center"/>
              <w:rPr>
                <w:rFonts w:ascii="Verdana" w:hAnsi="Verdana"/>
                <w:sz w:val="18"/>
                <w:szCs w:val="18"/>
              </w:rPr>
            </w:pPr>
          </w:p>
          <w:p w14:paraId="78AF0EE6" w14:textId="5D5D7D90" w:rsidR="00A83592" w:rsidRDefault="00A83592" w:rsidP="00A83592">
            <w:pPr>
              <w:jc w:val="both"/>
              <w:rPr>
                <w:rFonts w:ascii="Verdana" w:hAnsi="Verdana"/>
              </w:rPr>
            </w:pPr>
            <w:r w:rsidRPr="000226FE">
              <w:rPr>
                <w:rFonts w:ascii="Verdana" w:hAnsi="Verdana"/>
              </w:rPr>
              <w:t xml:space="preserve">Teniendo en </w:t>
            </w:r>
            <w:r w:rsidR="001812E8" w:rsidRPr="000226FE">
              <w:rPr>
                <w:rFonts w:ascii="Verdana" w:hAnsi="Verdana"/>
              </w:rPr>
              <w:t>cuenta</w:t>
            </w:r>
            <w:r w:rsidRPr="000226FE">
              <w:rPr>
                <w:rFonts w:ascii="Verdana" w:hAnsi="Verdana"/>
              </w:rPr>
              <w:t xml:space="preserve"> lo anterior, y partiendo de la necesidad de garantizar que los instrumentos del programa Mi Casa Ya continúen siendo efectivos, promoviendo el acceso a viviendas asequibles en zonas de renovación </w:t>
            </w:r>
            <w:r w:rsidR="008926F9">
              <w:rPr>
                <w:rFonts w:ascii="Verdana" w:hAnsi="Verdana"/>
              </w:rPr>
              <w:t xml:space="preserve">urbana </w:t>
            </w:r>
            <w:r w:rsidRPr="000226FE">
              <w:rPr>
                <w:rFonts w:ascii="Verdana" w:hAnsi="Verdana"/>
              </w:rPr>
              <w:t>y apoyando los objetivos de inclusión y desarrollo urbano sostenible, resulta pertinente habilitar la aplicación de recursos del subsidio familiar de vivienda y de cobertura a la tasa de interés para la adquisición de viviendas VIS de Renovación Urbana.</w:t>
            </w:r>
          </w:p>
          <w:p w14:paraId="0117D427" w14:textId="77777777" w:rsidR="001812E8" w:rsidRPr="000226FE" w:rsidRDefault="001812E8" w:rsidP="00A83592">
            <w:pPr>
              <w:jc w:val="both"/>
              <w:rPr>
                <w:rFonts w:ascii="Verdana" w:hAnsi="Verdana"/>
              </w:rPr>
            </w:pPr>
          </w:p>
          <w:p w14:paraId="6EDB934D" w14:textId="1A8314AD" w:rsidR="00A83592" w:rsidRDefault="00A83592" w:rsidP="00A83592">
            <w:pPr>
              <w:jc w:val="both"/>
              <w:rPr>
                <w:rFonts w:ascii="Verdana" w:hAnsi="Verdana"/>
              </w:rPr>
            </w:pPr>
            <w:r w:rsidRPr="000226FE">
              <w:rPr>
                <w:rFonts w:ascii="Verdana" w:hAnsi="Verdana"/>
              </w:rPr>
              <w:t>Lo anterior</w:t>
            </w:r>
            <w:r w:rsidR="008926F9">
              <w:rPr>
                <w:rFonts w:ascii="Verdana" w:hAnsi="Verdana"/>
              </w:rPr>
              <w:t>,</w:t>
            </w:r>
            <w:r w:rsidRPr="000226FE">
              <w:rPr>
                <w:rFonts w:ascii="Verdana" w:hAnsi="Verdana"/>
              </w:rPr>
              <w:t xml:space="preserve"> se confirma al constatar que, otorgando un subsidio de Mi Casa Ya de 30 SMMLV a un hogar del subgrupo C08 de Sisbén IV cuyo ingreso promedio es de 2 SMMLV y aplicando la cobertura correspondiente de 4 puntos porcentuales (</w:t>
            </w:r>
            <w:proofErr w:type="spellStart"/>
            <w:r w:rsidRPr="000226FE">
              <w:rPr>
                <w:rFonts w:ascii="Verdana" w:hAnsi="Verdana"/>
              </w:rPr>
              <w:t>pps</w:t>
            </w:r>
            <w:proofErr w:type="spellEnd"/>
            <w:r w:rsidRPr="000226FE">
              <w:rPr>
                <w:rFonts w:ascii="Verdana" w:hAnsi="Verdana"/>
              </w:rPr>
              <w:t xml:space="preserve">), la cuota mensual del mismo crédito bajaría a $1.043.318, la cual corresponde al 40% del ingreso mensual, permitiendo así el cierre financiero del hogar. </w:t>
            </w:r>
          </w:p>
          <w:p w14:paraId="36DCBB5F" w14:textId="77777777" w:rsidR="008926F9" w:rsidRPr="000226FE" w:rsidRDefault="008926F9" w:rsidP="00A83592">
            <w:pPr>
              <w:jc w:val="both"/>
              <w:rPr>
                <w:rFonts w:ascii="Verdana" w:hAnsi="Verdana"/>
              </w:rPr>
            </w:pPr>
          </w:p>
          <w:p w14:paraId="78AED3A6" w14:textId="2CC8DC77" w:rsidR="00A83592" w:rsidRDefault="00A83592" w:rsidP="00A83592">
            <w:pPr>
              <w:jc w:val="both"/>
              <w:rPr>
                <w:rFonts w:ascii="Verdana" w:hAnsi="Verdana"/>
              </w:rPr>
            </w:pPr>
            <w:r w:rsidRPr="000226FE">
              <w:rPr>
                <w:rFonts w:ascii="Verdana" w:hAnsi="Verdana"/>
              </w:rPr>
              <w:t xml:space="preserve">Una cobertura menor a 4pps, como </w:t>
            </w:r>
            <w:r w:rsidR="008926F9">
              <w:rPr>
                <w:rFonts w:ascii="Verdana" w:hAnsi="Verdana"/>
              </w:rPr>
              <w:t xml:space="preserve">se </w:t>
            </w:r>
            <w:r w:rsidRPr="000226FE">
              <w:rPr>
                <w:rFonts w:ascii="Verdana" w:hAnsi="Verdana"/>
              </w:rPr>
              <w:t xml:space="preserve">presenta </w:t>
            </w:r>
            <w:r w:rsidR="008926F9">
              <w:rPr>
                <w:rFonts w:ascii="Verdana" w:hAnsi="Verdana"/>
              </w:rPr>
              <w:t xml:space="preserve">en </w:t>
            </w:r>
            <w:r w:rsidRPr="000226FE">
              <w:rPr>
                <w:rFonts w:ascii="Verdana" w:hAnsi="Verdana"/>
              </w:rPr>
              <w:t xml:space="preserve">la tabla 1, resulta insuficiente para alcanzar el cierre financiero en dicho escenario. </w:t>
            </w:r>
            <w:r w:rsidR="008926F9">
              <w:rPr>
                <w:rFonts w:ascii="Verdana" w:hAnsi="Verdana"/>
              </w:rPr>
              <w:t>Ahora</w:t>
            </w:r>
            <w:r w:rsidRPr="000226FE">
              <w:rPr>
                <w:rFonts w:ascii="Verdana" w:hAnsi="Verdana"/>
              </w:rPr>
              <w:t>, en caso de acceder a la concurrencia de subsidios con las cajas de compensación familiar (20 SMMLV adicionales) el valor de la cuota representaría el 31,5% del ingreso mensual.</w:t>
            </w:r>
          </w:p>
          <w:p w14:paraId="50FF9BA4" w14:textId="77777777" w:rsidR="001812E8" w:rsidRPr="000226FE" w:rsidRDefault="001812E8" w:rsidP="00A83592">
            <w:pPr>
              <w:jc w:val="both"/>
              <w:rPr>
                <w:rFonts w:ascii="Verdana" w:hAnsi="Verdana"/>
              </w:rPr>
            </w:pPr>
          </w:p>
          <w:p w14:paraId="65FA900C" w14:textId="1BCB6DA7" w:rsidR="00A83592" w:rsidRDefault="00A83592" w:rsidP="00A83592">
            <w:pPr>
              <w:jc w:val="both"/>
              <w:rPr>
                <w:rFonts w:ascii="Verdana" w:hAnsi="Verdana"/>
              </w:rPr>
            </w:pPr>
            <w:r w:rsidRPr="000226FE">
              <w:rPr>
                <w:rFonts w:ascii="Verdana" w:hAnsi="Verdana"/>
              </w:rPr>
              <w:t>Así, habilitar la aplicación de Mi Casa Ya, tanto con el subsidio familiar de vivienda en renovación urbana como con la cobertura a la tasa de interés, es recomendable</w:t>
            </w:r>
            <w:r w:rsidR="008926F9">
              <w:rPr>
                <w:rFonts w:ascii="Verdana" w:hAnsi="Verdana"/>
              </w:rPr>
              <w:t xml:space="preserve">, </w:t>
            </w:r>
            <w:r w:rsidRPr="000226FE">
              <w:rPr>
                <w:rFonts w:ascii="Verdana" w:hAnsi="Verdana"/>
              </w:rPr>
              <w:t>pues permite que los hogares de menores ingresos tengan mayores oportunidades de acceso a la vivienda digna y contribuyen a la revitalización de las áreas urbanas, en consonancia con los principios de equidad y sostenibilidad urbana establecidos por la política habitacional del país.</w:t>
            </w:r>
          </w:p>
          <w:p w14:paraId="66ABAA59" w14:textId="77777777" w:rsidR="00457CDB" w:rsidRDefault="00457CDB" w:rsidP="00A83592">
            <w:pPr>
              <w:jc w:val="both"/>
              <w:rPr>
                <w:rFonts w:ascii="Verdana" w:hAnsi="Verdana"/>
              </w:rPr>
            </w:pPr>
          </w:p>
          <w:p w14:paraId="2A799536" w14:textId="77777777" w:rsidR="00457CDB" w:rsidRPr="000226FE" w:rsidRDefault="00457CDB" w:rsidP="00A83592">
            <w:pPr>
              <w:jc w:val="both"/>
              <w:rPr>
                <w:rFonts w:ascii="Verdana" w:hAnsi="Verdana"/>
              </w:rPr>
            </w:pPr>
          </w:p>
          <w:p w14:paraId="54E8EFDB" w14:textId="3525D365" w:rsidR="00B9040D" w:rsidRPr="000226FE" w:rsidRDefault="00B9040D" w:rsidP="00D54703">
            <w:pPr>
              <w:ind w:left="142" w:right="162"/>
              <w:jc w:val="both"/>
              <w:rPr>
                <w:rFonts w:ascii="Verdana" w:hAnsi="Verdana" w:cs="Arial"/>
                <w:color w:val="FF0000"/>
                <w:shd w:val="clear" w:color="auto" w:fill="FFFFFF"/>
              </w:rPr>
            </w:pPr>
          </w:p>
        </w:tc>
      </w:tr>
      <w:tr w:rsidR="005A2F1E" w:rsidRPr="000226FE" w14:paraId="5755F4D4" w14:textId="77777777" w:rsidTr="00692086">
        <w:trPr>
          <w:trHeight w:val="100"/>
        </w:trPr>
        <w:tc>
          <w:tcPr>
            <w:tcW w:w="10774" w:type="dxa"/>
            <w:gridSpan w:val="3"/>
            <w:shd w:val="clear" w:color="auto" w:fill="FFFFFF"/>
            <w:vAlign w:val="center"/>
          </w:tcPr>
          <w:p w14:paraId="391AE1D2" w14:textId="4768D56D" w:rsidR="00E80C58" w:rsidRPr="000226FE" w:rsidRDefault="00E80C58" w:rsidP="00E657D3">
            <w:pPr>
              <w:jc w:val="both"/>
              <w:rPr>
                <w:rFonts w:ascii="Verdana" w:hAnsi="Verdana"/>
                <w:lang w:eastAsia="es-CO"/>
              </w:rPr>
            </w:pPr>
          </w:p>
        </w:tc>
      </w:tr>
      <w:tr w:rsidR="005A2F1E" w:rsidRPr="000226FE" w14:paraId="0EB31F84" w14:textId="77777777" w:rsidTr="00692086">
        <w:trPr>
          <w:trHeight w:val="90"/>
        </w:trPr>
        <w:tc>
          <w:tcPr>
            <w:tcW w:w="10774" w:type="dxa"/>
            <w:gridSpan w:val="3"/>
            <w:tcBorders>
              <w:top w:val="single" w:sz="4" w:space="0" w:color="auto"/>
              <w:bottom w:val="single" w:sz="4" w:space="0" w:color="auto"/>
            </w:tcBorders>
            <w:shd w:val="clear" w:color="auto" w:fill="FFFFFF"/>
            <w:vAlign w:val="center"/>
          </w:tcPr>
          <w:p w14:paraId="179E440E" w14:textId="77777777" w:rsidR="004D0829" w:rsidRPr="000226FE" w:rsidRDefault="004D0829" w:rsidP="00E657D3">
            <w:pPr>
              <w:numPr>
                <w:ilvl w:val="0"/>
                <w:numId w:val="1"/>
              </w:numPr>
              <w:ind w:left="494"/>
              <w:rPr>
                <w:rFonts w:ascii="Verdana" w:hAnsi="Verdana" w:cs="Arial"/>
                <w:b/>
                <w:color w:val="000000"/>
              </w:rPr>
            </w:pPr>
            <w:r w:rsidRPr="000226FE">
              <w:rPr>
                <w:rFonts w:ascii="Verdana" w:hAnsi="Verdana" w:cs="Arial"/>
                <w:b/>
                <w:color w:val="000000"/>
              </w:rPr>
              <w:t>AMBITO DE APLICACIÓN Y SUJETOS A QUIENES VA DIRIGIDO</w:t>
            </w:r>
          </w:p>
          <w:p w14:paraId="2DA59B2A" w14:textId="77777777" w:rsidR="004D0829" w:rsidRPr="000226FE" w:rsidRDefault="004D0829" w:rsidP="00E657D3">
            <w:pPr>
              <w:ind w:left="134"/>
              <w:jc w:val="both"/>
              <w:rPr>
                <w:rFonts w:ascii="Verdana" w:hAnsi="Verdana" w:cs="Arial"/>
                <w:i/>
                <w:color w:val="808080"/>
              </w:rPr>
            </w:pPr>
            <w:r w:rsidRPr="000226FE">
              <w:rPr>
                <w:rFonts w:ascii="Verdana" w:hAnsi="Verdana" w:cs="Arial"/>
                <w:i/>
                <w:color w:val="808080"/>
              </w:rPr>
              <w:t xml:space="preserve"> (Por favor indique el ámbito de aplicación o sujetos obligados de la norma)</w:t>
            </w:r>
          </w:p>
          <w:p w14:paraId="453E5813" w14:textId="77777777" w:rsidR="004D0829" w:rsidRPr="000226FE" w:rsidRDefault="004D0829" w:rsidP="00E657D3">
            <w:pPr>
              <w:jc w:val="both"/>
              <w:rPr>
                <w:rFonts w:ascii="Verdana" w:hAnsi="Verdana" w:cs="Arial"/>
                <w:bCs/>
                <w:color w:val="000000"/>
              </w:rPr>
            </w:pPr>
            <w:r w:rsidRPr="000226FE">
              <w:rPr>
                <w:rFonts w:ascii="Verdana" w:hAnsi="Verdana" w:cs="Arial"/>
                <w:bCs/>
                <w:color w:val="000000"/>
              </w:rPr>
              <w:lastRenderedPageBreak/>
              <w:t>El presente proyecto normativo se aplicará en todo el territorio nacional y va dirigido a:</w:t>
            </w:r>
          </w:p>
          <w:p w14:paraId="03C5A520" w14:textId="77777777" w:rsidR="004D0829" w:rsidRPr="000226FE" w:rsidRDefault="004D0829" w:rsidP="00E657D3">
            <w:pPr>
              <w:jc w:val="both"/>
              <w:rPr>
                <w:rFonts w:ascii="Verdana" w:hAnsi="Verdana" w:cs="Arial"/>
                <w:bCs/>
                <w:color w:val="000000"/>
              </w:rPr>
            </w:pPr>
          </w:p>
          <w:p w14:paraId="0636DC42" w14:textId="457A4E90" w:rsidR="004D0829" w:rsidRPr="000226FE" w:rsidRDefault="004D0829" w:rsidP="00E657D3">
            <w:pPr>
              <w:jc w:val="both"/>
              <w:rPr>
                <w:rFonts w:ascii="Verdana" w:hAnsi="Verdana"/>
                <w:bCs/>
              </w:rPr>
            </w:pPr>
            <w:r w:rsidRPr="000226FE">
              <w:rPr>
                <w:rFonts w:ascii="Verdana" w:hAnsi="Verdana"/>
                <w:bCs/>
              </w:rPr>
              <w:t>Empresas constructoras</w:t>
            </w:r>
            <w:r w:rsidR="00E03956" w:rsidRPr="000226FE">
              <w:rPr>
                <w:rFonts w:ascii="Verdana" w:hAnsi="Verdana"/>
                <w:bCs/>
              </w:rPr>
              <w:t xml:space="preserve"> desarrolladoras de VIS y VIP</w:t>
            </w:r>
          </w:p>
          <w:p w14:paraId="52080D24" w14:textId="77777777" w:rsidR="004D0829" w:rsidRPr="000226FE" w:rsidRDefault="004D0829" w:rsidP="00E657D3">
            <w:pPr>
              <w:jc w:val="both"/>
              <w:rPr>
                <w:rFonts w:ascii="Verdana" w:hAnsi="Verdana"/>
                <w:bCs/>
              </w:rPr>
            </w:pPr>
            <w:r w:rsidRPr="000226FE">
              <w:rPr>
                <w:rFonts w:ascii="Verdana" w:hAnsi="Verdana"/>
                <w:bCs/>
              </w:rPr>
              <w:t>Entidades territoriales</w:t>
            </w:r>
          </w:p>
          <w:p w14:paraId="19ECF4ED" w14:textId="1DD6C20C" w:rsidR="004D0829" w:rsidRPr="000226FE" w:rsidRDefault="00E03956" w:rsidP="00E657D3">
            <w:pPr>
              <w:jc w:val="both"/>
              <w:rPr>
                <w:rFonts w:ascii="Verdana" w:hAnsi="Verdana"/>
                <w:bCs/>
              </w:rPr>
            </w:pPr>
            <w:r w:rsidRPr="000226FE">
              <w:rPr>
                <w:rFonts w:ascii="Verdana" w:hAnsi="Verdana"/>
                <w:bCs/>
              </w:rPr>
              <w:t>Beneficiarios del Subsidio Familiar de Vivienda</w:t>
            </w:r>
          </w:p>
          <w:p w14:paraId="7BB2A00D" w14:textId="77777777" w:rsidR="004D0829" w:rsidRPr="000226FE" w:rsidRDefault="004D0829" w:rsidP="00E657D3">
            <w:pPr>
              <w:rPr>
                <w:rFonts w:ascii="Verdana" w:hAnsi="Verdana" w:cs="Arial"/>
                <w:iCs/>
                <w:color w:val="000000"/>
              </w:rPr>
            </w:pPr>
          </w:p>
        </w:tc>
      </w:tr>
      <w:tr w:rsidR="005A2F1E" w:rsidRPr="00D864D7" w14:paraId="0B15B23D" w14:textId="77777777" w:rsidTr="007A22DE">
        <w:trPr>
          <w:trHeight w:val="77"/>
        </w:trPr>
        <w:tc>
          <w:tcPr>
            <w:tcW w:w="10774" w:type="dxa"/>
            <w:gridSpan w:val="3"/>
            <w:tcBorders>
              <w:bottom w:val="single" w:sz="4" w:space="0" w:color="auto"/>
            </w:tcBorders>
            <w:shd w:val="clear" w:color="auto" w:fill="FFFFFF"/>
            <w:vAlign w:val="center"/>
          </w:tcPr>
          <w:p w14:paraId="08CCCA1F" w14:textId="77777777" w:rsidR="004D0829" w:rsidRPr="000226FE" w:rsidRDefault="004D0829" w:rsidP="00E657D3">
            <w:pPr>
              <w:numPr>
                <w:ilvl w:val="0"/>
                <w:numId w:val="1"/>
              </w:numPr>
              <w:ind w:left="494"/>
              <w:rPr>
                <w:rFonts w:ascii="Verdana" w:hAnsi="Verdana" w:cs="Arial"/>
                <w:b/>
                <w:color w:val="000000"/>
              </w:rPr>
            </w:pPr>
            <w:r w:rsidRPr="000226FE">
              <w:rPr>
                <w:rFonts w:ascii="Verdana" w:hAnsi="Verdana" w:cs="Arial"/>
                <w:b/>
                <w:color w:val="000000"/>
              </w:rPr>
              <w:lastRenderedPageBreak/>
              <w:t>VIABILIDAD JURÍDICA</w:t>
            </w:r>
          </w:p>
          <w:p w14:paraId="3372BF76" w14:textId="77777777" w:rsidR="004D0829" w:rsidRPr="000226FE" w:rsidRDefault="004D0829" w:rsidP="00E657D3">
            <w:pPr>
              <w:rPr>
                <w:rFonts w:ascii="Verdana" w:hAnsi="Verdana" w:cs="Arial"/>
                <w:i/>
                <w:color w:val="808080"/>
              </w:rPr>
            </w:pPr>
            <w:r w:rsidRPr="000226FE">
              <w:rPr>
                <w:rFonts w:ascii="Verdana" w:hAnsi="Verdana" w:cs="Arial"/>
                <w:i/>
                <w:color w:val="808080"/>
              </w:rPr>
              <w:t>(Por favor desarrolle cada uno de los siguientes puntos)</w:t>
            </w:r>
          </w:p>
          <w:p w14:paraId="5427CE2F" w14:textId="77777777" w:rsidR="004D0829" w:rsidRPr="000226FE" w:rsidRDefault="004D0829" w:rsidP="00E657D3">
            <w:pPr>
              <w:ind w:left="494" w:hanging="283"/>
              <w:rPr>
                <w:rFonts w:ascii="Verdana" w:hAnsi="Verdana" w:cs="Arial"/>
                <w:i/>
                <w:color w:val="808080"/>
              </w:rPr>
            </w:pPr>
          </w:p>
          <w:p w14:paraId="161DC362" w14:textId="77777777" w:rsidR="004D0829" w:rsidRPr="000226FE" w:rsidRDefault="004D0829" w:rsidP="00E657D3">
            <w:pPr>
              <w:ind w:left="494" w:hanging="283"/>
              <w:jc w:val="both"/>
              <w:rPr>
                <w:rFonts w:ascii="Verdana" w:hAnsi="Verdana" w:cs="Arial"/>
                <w:lang w:val="es-CO" w:eastAsia="es-CO"/>
              </w:rPr>
            </w:pPr>
            <w:r w:rsidRPr="000226FE">
              <w:rPr>
                <w:rFonts w:ascii="Verdana" w:hAnsi="Verdana" w:cs="Arial"/>
                <w:b/>
                <w:bCs/>
                <w:lang w:val="es-CO" w:eastAsia="es-CO"/>
              </w:rPr>
              <w:t>3.1</w:t>
            </w:r>
            <w:r w:rsidRPr="000226FE">
              <w:rPr>
                <w:rFonts w:ascii="Verdana" w:hAnsi="Verdana" w:cs="Arial"/>
                <w:lang w:val="es-CO" w:eastAsia="es-CO"/>
              </w:rPr>
              <w:t xml:space="preserve"> </w:t>
            </w:r>
            <w:r w:rsidRPr="000226FE">
              <w:rPr>
                <w:rFonts w:ascii="Verdana" w:hAnsi="Verdana" w:cs="Arial"/>
                <w:b/>
                <w:bCs/>
                <w:lang w:val="es-CO" w:eastAsia="es-CO"/>
              </w:rPr>
              <w:t>Análisis de las normas que otorgan la competencia para la expedición del proyecto normativo</w:t>
            </w:r>
          </w:p>
          <w:p w14:paraId="0EDD4612" w14:textId="77777777" w:rsidR="004D0829" w:rsidRPr="000226FE" w:rsidRDefault="004D0829" w:rsidP="00E657D3">
            <w:pPr>
              <w:ind w:left="494" w:hanging="283"/>
              <w:jc w:val="both"/>
              <w:rPr>
                <w:rFonts w:ascii="Verdana" w:hAnsi="Verdana" w:cs="Arial"/>
                <w:lang w:val="es-CO" w:eastAsia="es-CO"/>
              </w:rPr>
            </w:pPr>
          </w:p>
          <w:p w14:paraId="59D5CE3E" w14:textId="77777777" w:rsidR="004D0829" w:rsidRPr="000226FE" w:rsidRDefault="004D0829" w:rsidP="00E657D3">
            <w:pPr>
              <w:jc w:val="both"/>
              <w:rPr>
                <w:rFonts w:ascii="Verdana" w:hAnsi="Verdana"/>
                <w:b/>
              </w:rPr>
            </w:pPr>
            <w:r w:rsidRPr="000226FE">
              <w:rPr>
                <w:rFonts w:ascii="Verdana" w:hAnsi="Verdana"/>
                <w:b/>
              </w:rPr>
              <w:t xml:space="preserve">Fundamento Constitucional </w:t>
            </w:r>
          </w:p>
          <w:p w14:paraId="7A561914" w14:textId="77777777" w:rsidR="004D0829" w:rsidRPr="000226FE" w:rsidRDefault="004D0829" w:rsidP="00E657D3">
            <w:pPr>
              <w:jc w:val="both"/>
              <w:rPr>
                <w:rFonts w:ascii="Verdana" w:hAnsi="Verdana"/>
                <w:bCs/>
              </w:rPr>
            </w:pPr>
          </w:p>
          <w:p w14:paraId="540D1E6F" w14:textId="77777777" w:rsidR="004D0829" w:rsidRPr="000226FE" w:rsidRDefault="004D0829" w:rsidP="00E657D3">
            <w:pPr>
              <w:jc w:val="both"/>
              <w:rPr>
                <w:rFonts w:ascii="Verdana" w:hAnsi="Verdana"/>
                <w:bCs/>
              </w:rPr>
            </w:pPr>
            <w:r w:rsidRPr="000226FE">
              <w:rPr>
                <w:rFonts w:ascii="Verdana" w:hAnsi="Verdana"/>
                <w:bCs/>
              </w:rPr>
              <w:t>El artículo 51 de la Constitución Política de Colombia, en relación con el deber del Estado de promover el acceso a una vivienda establece que todos los colombianos tienen derecho a vivienda digna. También establece que el Estado fijará las condiciones necesarias para hacer efectivo este derecho y promoverá planes de vivienda de interés social, sistemas adecuados de financiación a largo plazo y formas asociativas de ejecución de estos programas de vivienda.</w:t>
            </w:r>
          </w:p>
          <w:p w14:paraId="16556011" w14:textId="77777777" w:rsidR="004D0829" w:rsidRPr="000226FE" w:rsidRDefault="004D0829" w:rsidP="00E657D3">
            <w:pPr>
              <w:jc w:val="both"/>
              <w:rPr>
                <w:rFonts w:ascii="Verdana" w:hAnsi="Verdana"/>
                <w:bCs/>
              </w:rPr>
            </w:pPr>
          </w:p>
          <w:p w14:paraId="64533A8D" w14:textId="0068D4FA" w:rsidR="004D0829" w:rsidRPr="000226FE" w:rsidRDefault="004D0829" w:rsidP="00E657D3">
            <w:pPr>
              <w:jc w:val="both"/>
              <w:rPr>
                <w:rFonts w:ascii="Verdana" w:hAnsi="Verdana"/>
                <w:bCs/>
              </w:rPr>
            </w:pPr>
            <w:r w:rsidRPr="000226FE">
              <w:rPr>
                <w:rFonts w:ascii="Verdana" w:hAnsi="Verdana"/>
                <w:bCs/>
              </w:rPr>
              <w:t>Por su parte</w:t>
            </w:r>
            <w:r w:rsidR="00E80C58" w:rsidRPr="000226FE">
              <w:rPr>
                <w:rFonts w:ascii="Verdana" w:hAnsi="Verdana"/>
                <w:bCs/>
              </w:rPr>
              <w:t>,</w:t>
            </w:r>
            <w:r w:rsidRPr="000226FE">
              <w:rPr>
                <w:rFonts w:ascii="Verdana" w:hAnsi="Verdana"/>
                <w:bCs/>
              </w:rPr>
              <w:t xml:space="preserve"> el numeral 11 del artículo 189 de la Constitución Política</w:t>
            </w:r>
            <w:r w:rsidR="00E80C58" w:rsidRPr="000226FE">
              <w:rPr>
                <w:rFonts w:ascii="Verdana" w:hAnsi="Verdana"/>
                <w:bCs/>
              </w:rPr>
              <w:t xml:space="preserve"> </w:t>
            </w:r>
            <w:r w:rsidRPr="000226FE">
              <w:rPr>
                <w:rFonts w:ascii="Verdana" w:hAnsi="Verdana"/>
                <w:bCs/>
              </w:rPr>
              <w:t xml:space="preserve">dispone que corresponde al </w:t>
            </w:r>
            <w:proofErr w:type="gramStart"/>
            <w:r w:rsidRPr="000226FE">
              <w:rPr>
                <w:rFonts w:ascii="Verdana" w:hAnsi="Verdana"/>
                <w:bCs/>
              </w:rPr>
              <w:t>Presidente</w:t>
            </w:r>
            <w:proofErr w:type="gramEnd"/>
            <w:r w:rsidRPr="000226FE">
              <w:rPr>
                <w:rFonts w:ascii="Verdana" w:hAnsi="Verdana"/>
                <w:bCs/>
              </w:rPr>
              <w:t xml:space="preserve"> de la República como Jefe de Estado, Jefe de Gobierno y Suprema Autoridad Administrativa, ejercer la potestad reglamentaria, mediante la expedición de los decretos, resoluciones, y órdenes necesarios para la cumplida ejecución de las leyes.</w:t>
            </w:r>
          </w:p>
          <w:p w14:paraId="67FA0CE9" w14:textId="77777777" w:rsidR="004D0829" w:rsidRPr="000226FE" w:rsidRDefault="004D0829" w:rsidP="00E657D3">
            <w:pPr>
              <w:jc w:val="both"/>
              <w:rPr>
                <w:rFonts w:ascii="Verdana" w:hAnsi="Verdana"/>
                <w:bCs/>
              </w:rPr>
            </w:pPr>
          </w:p>
          <w:p w14:paraId="7ECE30BD" w14:textId="77777777" w:rsidR="004D0829" w:rsidRPr="000226FE" w:rsidRDefault="004D0829" w:rsidP="00E657D3">
            <w:pPr>
              <w:jc w:val="both"/>
              <w:rPr>
                <w:rFonts w:ascii="Verdana" w:hAnsi="Verdana"/>
                <w:bCs/>
              </w:rPr>
            </w:pPr>
            <w:r w:rsidRPr="000226FE">
              <w:rPr>
                <w:rFonts w:ascii="Verdana" w:hAnsi="Verdana"/>
                <w:bCs/>
              </w:rPr>
              <w:t xml:space="preserve">Al respecto, la potestad reglamentaria es una facultad constitucional propia del </w:t>
            </w:r>
            <w:proofErr w:type="gramStart"/>
            <w:r w:rsidRPr="000226FE">
              <w:rPr>
                <w:rFonts w:ascii="Verdana" w:hAnsi="Verdana"/>
                <w:bCs/>
              </w:rPr>
              <w:t>Presidente</w:t>
            </w:r>
            <w:proofErr w:type="gramEnd"/>
            <w:r w:rsidRPr="000226FE">
              <w:rPr>
                <w:rFonts w:ascii="Verdana" w:hAnsi="Verdana"/>
                <w:bCs/>
              </w:rPr>
              <w:t xml:space="preserve"> de la República que lo autoriza para expedir normas de carácter general destinadas a la ejecución y cumplimiento de la ley. Esta facultad se caracteriza por ser una atribución constitucional inalienable, intransferible, inagotable, pues no tiene plazo y puede ejercerse en cualquier tiempo, e irrenunciable, porque es un atributo indispensable para que la administración cumpla con su función de ejecutar la ley.</w:t>
            </w:r>
          </w:p>
          <w:p w14:paraId="4730CAA8" w14:textId="77777777" w:rsidR="004D0829" w:rsidRPr="000226FE" w:rsidRDefault="004D0829" w:rsidP="00E657D3">
            <w:pPr>
              <w:jc w:val="both"/>
              <w:rPr>
                <w:rFonts w:ascii="Verdana" w:hAnsi="Verdana"/>
                <w:bCs/>
              </w:rPr>
            </w:pPr>
          </w:p>
          <w:p w14:paraId="35DB5C95" w14:textId="4FC1FDE8" w:rsidR="004D0829" w:rsidRPr="000226FE" w:rsidRDefault="004D0829" w:rsidP="00E657D3">
            <w:pPr>
              <w:jc w:val="both"/>
              <w:rPr>
                <w:rFonts w:ascii="Verdana" w:hAnsi="Verdana"/>
                <w:b/>
              </w:rPr>
            </w:pPr>
            <w:r w:rsidRPr="000226FE">
              <w:rPr>
                <w:rFonts w:ascii="Verdana" w:hAnsi="Verdana"/>
                <w:b/>
              </w:rPr>
              <w:t>Fundamento legal y reglamentario</w:t>
            </w:r>
            <w:r w:rsidR="00E80C58" w:rsidRPr="000226FE">
              <w:rPr>
                <w:rFonts w:ascii="Verdana" w:hAnsi="Verdana"/>
                <w:b/>
              </w:rPr>
              <w:t>:</w:t>
            </w:r>
          </w:p>
          <w:p w14:paraId="3B7B99E5" w14:textId="77777777" w:rsidR="004D0829" w:rsidRPr="000226FE" w:rsidRDefault="004D0829" w:rsidP="00E657D3">
            <w:pPr>
              <w:jc w:val="both"/>
              <w:rPr>
                <w:rFonts w:ascii="Verdana" w:hAnsi="Verdana"/>
                <w:bCs/>
              </w:rPr>
            </w:pPr>
          </w:p>
          <w:p w14:paraId="0FB26B70" w14:textId="03B35A70" w:rsidR="00E03956" w:rsidRPr="000226FE" w:rsidRDefault="00E03956" w:rsidP="00E657D3">
            <w:pPr>
              <w:pStyle w:val="Default"/>
              <w:ind w:right="-22"/>
              <w:jc w:val="both"/>
              <w:rPr>
                <w:rFonts w:ascii="Verdana" w:hAnsi="Verdana"/>
                <w:bCs/>
                <w:sz w:val="20"/>
                <w:szCs w:val="20"/>
              </w:rPr>
            </w:pPr>
            <w:r w:rsidRPr="000226FE">
              <w:rPr>
                <w:rFonts w:ascii="Verdana" w:hAnsi="Verdana"/>
                <w:bCs/>
                <w:sz w:val="20"/>
                <w:szCs w:val="20"/>
              </w:rPr>
              <w:t>El artículo 44 de la Ley 9 de 1989, modificado por el artículo 91 de la Ley 388 de 1997, definió a la vivienda de interés social como aquella que se desarrolla para garantizar el derecho a la vivienda de los hogares de menores ingresos.</w:t>
            </w:r>
          </w:p>
          <w:p w14:paraId="4AD0571E" w14:textId="77777777" w:rsidR="00E03956" w:rsidRPr="000226FE" w:rsidRDefault="00E03956" w:rsidP="00E657D3">
            <w:pPr>
              <w:pStyle w:val="Default"/>
              <w:ind w:right="-22"/>
              <w:jc w:val="both"/>
              <w:rPr>
                <w:rFonts w:ascii="Verdana" w:hAnsi="Verdana"/>
                <w:bCs/>
                <w:sz w:val="20"/>
                <w:szCs w:val="20"/>
              </w:rPr>
            </w:pPr>
          </w:p>
          <w:p w14:paraId="35AAF2EA" w14:textId="663A614E" w:rsidR="00E03956" w:rsidRPr="000226FE" w:rsidRDefault="00E03956" w:rsidP="00E657D3">
            <w:pPr>
              <w:pStyle w:val="Default"/>
              <w:ind w:right="-22"/>
              <w:jc w:val="both"/>
              <w:rPr>
                <w:rFonts w:ascii="Verdana" w:hAnsi="Verdana"/>
                <w:bCs/>
                <w:sz w:val="20"/>
                <w:szCs w:val="20"/>
              </w:rPr>
            </w:pPr>
            <w:r w:rsidRPr="000226FE">
              <w:rPr>
                <w:rFonts w:ascii="Verdana" w:hAnsi="Verdana"/>
                <w:bCs/>
                <w:sz w:val="20"/>
                <w:szCs w:val="20"/>
              </w:rPr>
              <w:t>Esta misma norma indicó que</w:t>
            </w:r>
            <w:r w:rsidR="00301D23">
              <w:rPr>
                <w:rFonts w:ascii="Verdana" w:hAnsi="Verdana"/>
                <w:bCs/>
                <w:sz w:val="20"/>
                <w:szCs w:val="20"/>
              </w:rPr>
              <w:t>,</w:t>
            </w:r>
            <w:r w:rsidRPr="000226FE">
              <w:rPr>
                <w:rFonts w:ascii="Verdana" w:hAnsi="Verdana"/>
                <w:bCs/>
                <w:sz w:val="20"/>
                <w:szCs w:val="20"/>
              </w:rPr>
              <w:t xml:space="preserve"> en cada Plan Nacional de Desarrollo el Gobierno Nacional se establecerá el tipo y </w:t>
            </w:r>
            <w:r w:rsidR="006746E5" w:rsidRPr="000226FE">
              <w:rPr>
                <w:rFonts w:ascii="Verdana" w:hAnsi="Verdana"/>
                <w:bCs/>
                <w:sz w:val="20"/>
                <w:szCs w:val="20"/>
              </w:rPr>
              <w:t>valor</w:t>
            </w:r>
            <w:r w:rsidRPr="000226FE">
              <w:rPr>
                <w:rFonts w:ascii="Verdana" w:hAnsi="Verdana"/>
                <w:bCs/>
                <w:sz w:val="20"/>
                <w:szCs w:val="20"/>
              </w:rPr>
              <w:t xml:space="preserve"> máximo de las soluciones destinadas a estos hogares</w:t>
            </w:r>
            <w:r w:rsidR="00301D23">
              <w:rPr>
                <w:rFonts w:ascii="Verdana" w:hAnsi="Verdana"/>
                <w:bCs/>
                <w:sz w:val="20"/>
                <w:szCs w:val="20"/>
              </w:rPr>
              <w:t xml:space="preserve">, </w:t>
            </w:r>
            <w:r w:rsidRPr="000226FE">
              <w:rPr>
                <w:rFonts w:ascii="Verdana" w:hAnsi="Verdana"/>
                <w:bCs/>
                <w:sz w:val="20"/>
                <w:szCs w:val="20"/>
              </w:rPr>
              <w:t>teniendo en cuenta, entre otros aspectos, las características del déficit habitacional, las posibilidades de acceso al crédito de los hogares, las condiciones de la oferta de vivienda, el monto de recursos de crédito disponibles por parte del sector financiero y la suma de fondos del Estado destinados a los programas de vivienda.</w:t>
            </w:r>
          </w:p>
          <w:p w14:paraId="7A35CCC0" w14:textId="77777777" w:rsidR="00E03956" w:rsidRPr="000226FE" w:rsidRDefault="00E03956" w:rsidP="00E657D3">
            <w:pPr>
              <w:pStyle w:val="Default"/>
              <w:ind w:right="-22"/>
              <w:jc w:val="both"/>
              <w:rPr>
                <w:rFonts w:ascii="Verdana" w:hAnsi="Verdana"/>
                <w:bCs/>
                <w:sz w:val="20"/>
                <w:szCs w:val="20"/>
              </w:rPr>
            </w:pPr>
          </w:p>
          <w:p w14:paraId="7E32D5C1" w14:textId="188D9FE3" w:rsidR="00E03956" w:rsidRPr="000226FE" w:rsidRDefault="00E03956" w:rsidP="00E657D3">
            <w:pPr>
              <w:pStyle w:val="Default"/>
              <w:ind w:right="-22"/>
              <w:jc w:val="both"/>
              <w:rPr>
                <w:rFonts w:ascii="Verdana" w:hAnsi="Verdana"/>
                <w:bCs/>
                <w:sz w:val="20"/>
                <w:szCs w:val="20"/>
              </w:rPr>
            </w:pPr>
            <w:r w:rsidRPr="000226FE">
              <w:rPr>
                <w:rFonts w:ascii="Verdana" w:hAnsi="Verdana"/>
                <w:bCs/>
                <w:sz w:val="20"/>
                <w:szCs w:val="20"/>
              </w:rPr>
              <w:t>El artículo 293 de la Ley 2294 de 2023, por la cual se expidió el Plan Nacional de Desarrollo 2022-2026, dispuso que la vivienda de interés social es aquella que se desarrolla para garantizar el derecho a la vivienda de los hogares de menores ingresos, que cumple con los estándares de calidad en diseño urbanístico, arquitectónico y de construcción sostenible, y cuyo valor no exceda los ciento treinta y cinco salarios mínimos mensuales legales vigentes (135 SMMLV).</w:t>
            </w:r>
          </w:p>
          <w:p w14:paraId="7F3F3AA8" w14:textId="77777777" w:rsidR="00E03956" w:rsidRPr="000226FE" w:rsidRDefault="00E03956" w:rsidP="00E657D3">
            <w:pPr>
              <w:pStyle w:val="Default"/>
              <w:ind w:right="-22"/>
              <w:jc w:val="both"/>
              <w:rPr>
                <w:rFonts w:ascii="Verdana" w:hAnsi="Verdana"/>
                <w:bCs/>
                <w:sz w:val="20"/>
                <w:szCs w:val="20"/>
              </w:rPr>
            </w:pPr>
          </w:p>
          <w:p w14:paraId="37BA2E73" w14:textId="6B509ADC" w:rsidR="00E03956" w:rsidRPr="000226FE" w:rsidRDefault="00E03956" w:rsidP="00E657D3">
            <w:pPr>
              <w:pStyle w:val="Default"/>
              <w:ind w:right="-22"/>
              <w:jc w:val="both"/>
              <w:rPr>
                <w:rFonts w:ascii="Verdana" w:hAnsi="Verdana"/>
                <w:bCs/>
                <w:sz w:val="20"/>
                <w:szCs w:val="20"/>
              </w:rPr>
            </w:pPr>
            <w:r w:rsidRPr="000226FE">
              <w:rPr>
                <w:rFonts w:ascii="Verdana" w:hAnsi="Verdana"/>
                <w:bCs/>
                <w:sz w:val="20"/>
                <w:szCs w:val="20"/>
              </w:rPr>
              <w:t>El citado artículo consideró que</w:t>
            </w:r>
            <w:r w:rsidR="006746E5" w:rsidRPr="000226FE">
              <w:rPr>
                <w:rFonts w:ascii="Verdana" w:hAnsi="Verdana"/>
                <w:bCs/>
                <w:sz w:val="20"/>
                <w:szCs w:val="20"/>
              </w:rPr>
              <w:t>,</w:t>
            </w:r>
            <w:r w:rsidRPr="000226FE">
              <w:rPr>
                <w:rFonts w:ascii="Verdana" w:hAnsi="Verdana"/>
                <w:bCs/>
                <w:sz w:val="20"/>
                <w:szCs w:val="20"/>
              </w:rPr>
              <w:t xml:space="preserve"> excepcionalmente, el Gobierno Nacional podrá establecer como precio máximo de la vivienda de interés social el valor de ciento cincuenta salarios mínimos mensuales legales vigentes (150 SMMLV) cuando se presente alguna o varias de las siguientes condiciones: </w:t>
            </w:r>
          </w:p>
          <w:p w14:paraId="7C94CF82" w14:textId="77777777" w:rsidR="00E03956" w:rsidRPr="000226FE" w:rsidRDefault="00E03956" w:rsidP="00E657D3">
            <w:pPr>
              <w:pStyle w:val="Default"/>
              <w:ind w:right="-22"/>
              <w:jc w:val="both"/>
              <w:rPr>
                <w:rFonts w:ascii="Verdana" w:hAnsi="Verdana"/>
                <w:bCs/>
                <w:i/>
                <w:iCs/>
                <w:sz w:val="20"/>
                <w:szCs w:val="20"/>
              </w:rPr>
            </w:pPr>
          </w:p>
          <w:p w14:paraId="73E9B758" w14:textId="77777777" w:rsidR="00E03956" w:rsidRPr="000226FE" w:rsidRDefault="00E03956" w:rsidP="00E657D3">
            <w:pPr>
              <w:pStyle w:val="Default"/>
              <w:ind w:left="274" w:right="-22"/>
              <w:jc w:val="both"/>
              <w:rPr>
                <w:rFonts w:ascii="Verdana" w:hAnsi="Verdana"/>
                <w:bCs/>
                <w:i/>
                <w:iCs/>
                <w:sz w:val="20"/>
                <w:szCs w:val="20"/>
              </w:rPr>
            </w:pPr>
            <w:r w:rsidRPr="000226FE">
              <w:rPr>
                <w:rFonts w:ascii="Verdana" w:hAnsi="Verdana"/>
                <w:bCs/>
                <w:i/>
                <w:iCs/>
                <w:sz w:val="20"/>
                <w:szCs w:val="20"/>
              </w:rPr>
              <w:t xml:space="preserve">“A) Cuando las viviendas incorporen criterios de sostenibilidad adicionales a los mínimos que defina el Gobierno nacional. </w:t>
            </w:r>
          </w:p>
          <w:p w14:paraId="682B9464" w14:textId="77777777" w:rsidR="00E03956" w:rsidRPr="000226FE" w:rsidRDefault="00E03956" w:rsidP="00E657D3">
            <w:pPr>
              <w:pStyle w:val="Default"/>
              <w:ind w:left="274" w:right="-22"/>
              <w:jc w:val="both"/>
              <w:rPr>
                <w:rFonts w:ascii="Verdana" w:hAnsi="Verdana"/>
                <w:bCs/>
                <w:i/>
                <w:iCs/>
                <w:sz w:val="20"/>
                <w:szCs w:val="20"/>
              </w:rPr>
            </w:pPr>
            <w:r w:rsidRPr="000226FE">
              <w:rPr>
                <w:rFonts w:ascii="Verdana" w:hAnsi="Verdana"/>
                <w:bCs/>
                <w:i/>
                <w:iCs/>
                <w:sz w:val="20"/>
                <w:szCs w:val="20"/>
              </w:rPr>
              <w:t xml:space="preserve">B) Cuando las viviendas de acuerdo a lo definido por el CONPES 3819 de 2014 o el que lo modifique, se encuentren ubicadas en ciudades </w:t>
            </w:r>
            <w:proofErr w:type="spellStart"/>
            <w:r w:rsidRPr="000226FE">
              <w:rPr>
                <w:rFonts w:ascii="Verdana" w:hAnsi="Verdana"/>
                <w:bCs/>
                <w:i/>
                <w:iCs/>
                <w:sz w:val="20"/>
                <w:szCs w:val="20"/>
              </w:rPr>
              <w:t>uninodales</w:t>
            </w:r>
            <w:proofErr w:type="spellEnd"/>
            <w:r w:rsidRPr="000226FE">
              <w:rPr>
                <w:rFonts w:ascii="Verdana" w:hAnsi="Verdana"/>
                <w:bCs/>
                <w:i/>
                <w:iCs/>
                <w:sz w:val="20"/>
                <w:szCs w:val="20"/>
              </w:rPr>
              <w:t xml:space="preserve"> cuya población supere los trescientos mil (300.000) habitantes, o en aglomeraciones urbanas cuya población supere quinientos mil (500.000) habitantes. </w:t>
            </w:r>
          </w:p>
          <w:p w14:paraId="6AE8B00B" w14:textId="77777777" w:rsidR="00E03956" w:rsidRPr="000226FE" w:rsidRDefault="00E03956" w:rsidP="00E657D3">
            <w:pPr>
              <w:pStyle w:val="Default"/>
              <w:ind w:left="274" w:right="-22"/>
              <w:jc w:val="both"/>
              <w:rPr>
                <w:rFonts w:ascii="Verdana" w:hAnsi="Verdana"/>
                <w:bCs/>
                <w:i/>
                <w:iCs/>
                <w:sz w:val="20"/>
                <w:szCs w:val="20"/>
              </w:rPr>
            </w:pPr>
            <w:r w:rsidRPr="000226FE">
              <w:rPr>
                <w:rFonts w:ascii="Verdana" w:hAnsi="Verdana"/>
                <w:bCs/>
                <w:i/>
                <w:iCs/>
                <w:sz w:val="20"/>
                <w:szCs w:val="20"/>
              </w:rPr>
              <w:lastRenderedPageBreak/>
              <w:t>C) Cuando las viviendas se encuentren en territorios de difícil acceso, o respondan a características culturales, geográficas, económicas o climáticas específicas, en las condiciones que defina el Gobierno nacional.”</w:t>
            </w:r>
          </w:p>
          <w:p w14:paraId="7BB68F87" w14:textId="77777777" w:rsidR="00E03956" w:rsidRPr="000226FE" w:rsidRDefault="00E03956" w:rsidP="00E657D3">
            <w:pPr>
              <w:pStyle w:val="Default"/>
              <w:ind w:right="-22"/>
              <w:jc w:val="both"/>
              <w:rPr>
                <w:rFonts w:ascii="Verdana" w:hAnsi="Verdana"/>
                <w:bCs/>
                <w:sz w:val="20"/>
                <w:szCs w:val="20"/>
              </w:rPr>
            </w:pPr>
          </w:p>
          <w:p w14:paraId="4979820E" w14:textId="20C32486" w:rsidR="00E03956" w:rsidRPr="000226FE" w:rsidRDefault="00E03956" w:rsidP="00E657D3">
            <w:pPr>
              <w:pStyle w:val="Default"/>
              <w:ind w:right="-22"/>
              <w:jc w:val="both"/>
              <w:rPr>
                <w:rFonts w:ascii="Verdana" w:hAnsi="Verdana"/>
                <w:bCs/>
                <w:sz w:val="20"/>
                <w:szCs w:val="20"/>
              </w:rPr>
            </w:pPr>
            <w:r w:rsidRPr="000226FE">
              <w:rPr>
                <w:rFonts w:ascii="Verdana" w:hAnsi="Verdana"/>
                <w:bCs/>
                <w:sz w:val="20"/>
                <w:szCs w:val="20"/>
              </w:rPr>
              <w:t xml:space="preserve">Así mismo, el parágrafo </w:t>
            </w:r>
            <w:r w:rsidR="008F37A8" w:rsidRPr="000226FE">
              <w:rPr>
                <w:rFonts w:ascii="Verdana" w:hAnsi="Verdana"/>
                <w:bCs/>
                <w:sz w:val="20"/>
                <w:szCs w:val="20"/>
              </w:rPr>
              <w:t>primero</w:t>
            </w:r>
            <w:r w:rsidRPr="000226FE">
              <w:rPr>
                <w:rFonts w:ascii="Verdana" w:hAnsi="Verdana"/>
                <w:bCs/>
                <w:sz w:val="20"/>
                <w:szCs w:val="20"/>
              </w:rPr>
              <w:t xml:space="preserve"> del artículo 293 estableció que </w:t>
            </w:r>
            <w:r w:rsidR="008F37A8" w:rsidRPr="000226FE">
              <w:rPr>
                <w:rFonts w:ascii="Verdana" w:hAnsi="Verdana"/>
                <w:bCs/>
                <w:sz w:val="20"/>
                <w:szCs w:val="20"/>
              </w:rPr>
              <w:t xml:space="preserve">el </w:t>
            </w:r>
            <w:r w:rsidR="006746E5" w:rsidRPr="000226FE">
              <w:rPr>
                <w:rFonts w:ascii="Verdana" w:hAnsi="Verdana"/>
                <w:bCs/>
                <w:sz w:val="20"/>
                <w:szCs w:val="20"/>
              </w:rPr>
              <w:t>valor</w:t>
            </w:r>
            <w:r w:rsidR="008F37A8" w:rsidRPr="000226FE">
              <w:rPr>
                <w:rFonts w:ascii="Verdana" w:hAnsi="Verdana"/>
                <w:bCs/>
                <w:sz w:val="20"/>
                <w:szCs w:val="20"/>
              </w:rPr>
              <w:t xml:space="preserve"> máximo de la vivienda de interés social (VIS) será de ciento cincuenta (150) SMMLV, en los distritos y municipios para los cuales el Gobierno </w:t>
            </w:r>
            <w:r w:rsidR="006746E5" w:rsidRPr="000226FE">
              <w:rPr>
                <w:rFonts w:ascii="Verdana" w:hAnsi="Verdana"/>
                <w:bCs/>
                <w:sz w:val="20"/>
                <w:szCs w:val="20"/>
              </w:rPr>
              <w:t>N</w:t>
            </w:r>
            <w:r w:rsidR="008F37A8" w:rsidRPr="000226FE">
              <w:rPr>
                <w:rFonts w:ascii="Verdana" w:hAnsi="Verdana"/>
                <w:bCs/>
                <w:sz w:val="20"/>
                <w:szCs w:val="20"/>
              </w:rPr>
              <w:t xml:space="preserve">acional, en vigencia del artículo 85 de la Ley 1955 de 2019, haya definido ese precio máximo. Lo anterior, sin perjuicio del </w:t>
            </w:r>
            <w:r w:rsidR="006746E5" w:rsidRPr="000226FE">
              <w:rPr>
                <w:rFonts w:ascii="Verdana" w:hAnsi="Verdana"/>
                <w:bCs/>
                <w:sz w:val="20"/>
                <w:szCs w:val="20"/>
              </w:rPr>
              <w:t>valor</w:t>
            </w:r>
            <w:r w:rsidR="008F37A8" w:rsidRPr="000226FE">
              <w:rPr>
                <w:rFonts w:ascii="Verdana" w:hAnsi="Verdana"/>
                <w:bCs/>
                <w:sz w:val="20"/>
                <w:szCs w:val="20"/>
              </w:rPr>
              <w:t xml:space="preserve"> máximo dispuesto en este artículo para la VIS que se ejecute en el marco de programas y/o proyectos de renovación urbana.</w:t>
            </w:r>
          </w:p>
          <w:p w14:paraId="0FA1D44E" w14:textId="795CF567" w:rsidR="00692086" w:rsidRPr="000226FE" w:rsidRDefault="00692086" w:rsidP="00692086">
            <w:pPr>
              <w:pStyle w:val="Default"/>
              <w:ind w:right="-22"/>
              <w:jc w:val="both"/>
              <w:rPr>
                <w:rFonts w:ascii="Verdana" w:hAnsi="Verdana"/>
                <w:bCs/>
                <w:sz w:val="20"/>
                <w:szCs w:val="20"/>
              </w:rPr>
            </w:pPr>
          </w:p>
          <w:p w14:paraId="4E5A688F" w14:textId="523C92E5" w:rsidR="00692086" w:rsidRPr="000226FE" w:rsidRDefault="006746E5" w:rsidP="00692086">
            <w:pPr>
              <w:pStyle w:val="Default"/>
              <w:ind w:right="-22"/>
              <w:jc w:val="both"/>
              <w:rPr>
                <w:rFonts w:ascii="Verdana" w:hAnsi="Verdana"/>
                <w:bCs/>
                <w:sz w:val="20"/>
                <w:szCs w:val="20"/>
              </w:rPr>
            </w:pPr>
            <w:r w:rsidRPr="000226FE">
              <w:rPr>
                <w:rFonts w:ascii="Verdana" w:hAnsi="Verdana"/>
                <w:bCs/>
                <w:sz w:val="20"/>
                <w:szCs w:val="20"/>
              </w:rPr>
              <w:t>Por otra parte, d</w:t>
            </w:r>
            <w:r w:rsidR="00692086" w:rsidRPr="000226FE">
              <w:rPr>
                <w:rFonts w:ascii="Verdana" w:hAnsi="Verdana"/>
                <w:bCs/>
                <w:sz w:val="20"/>
                <w:szCs w:val="20"/>
              </w:rPr>
              <w:t>e acuerdo con el artículo 25 de la Ley 2079 de 2021, se podrá incentivar la inversión privada en vivienda de interés social rural, mediante los mecanismos de pago de obras por impuestos, pago de obras por regalías o a través de donaciones, para lo cual se reglamentará el uso de estos mecanismos.</w:t>
            </w:r>
          </w:p>
          <w:p w14:paraId="17E4FD66" w14:textId="77777777" w:rsidR="00692086" w:rsidRPr="000226FE" w:rsidRDefault="00692086" w:rsidP="00E657D3">
            <w:pPr>
              <w:pStyle w:val="Default"/>
              <w:ind w:right="-22"/>
              <w:jc w:val="both"/>
              <w:rPr>
                <w:rFonts w:ascii="Verdana" w:hAnsi="Verdana"/>
                <w:bCs/>
                <w:sz w:val="20"/>
                <w:szCs w:val="20"/>
              </w:rPr>
            </w:pPr>
          </w:p>
          <w:p w14:paraId="0EBE7F10" w14:textId="1CD112BB" w:rsidR="004D0829" w:rsidRPr="000226FE" w:rsidRDefault="006746E5" w:rsidP="00E657D3">
            <w:pPr>
              <w:ind w:left="494" w:hanging="283"/>
              <w:jc w:val="both"/>
              <w:rPr>
                <w:rFonts w:ascii="Verdana" w:hAnsi="Verdana" w:cs="Arial"/>
                <w:lang w:val="es-CO" w:eastAsia="es-CO"/>
              </w:rPr>
            </w:pPr>
            <w:r w:rsidRPr="000226FE">
              <w:rPr>
                <w:rFonts w:ascii="Verdana" w:hAnsi="Verdana" w:cs="Arial"/>
                <w:b/>
                <w:bCs/>
                <w:lang w:val="es-CO" w:eastAsia="es-CO"/>
              </w:rPr>
              <w:t xml:space="preserve">  </w:t>
            </w:r>
            <w:r w:rsidR="004D0829" w:rsidRPr="000226FE">
              <w:rPr>
                <w:rFonts w:ascii="Verdana" w:hAnsi="Verdana" w:cs="Arial"/>
                <w:b/>
                <w:bCs/>
                <w:lang w:val="es-CO" w:eastAsia="es-CO"/>
              </w:rPr>
              <w:t>3.2</w:t>
            </w:r>
            <w:r w:rsidR="004D0829" w:rsidRPr="000226FE">
              <w:rPr>
                <w:rFonts w:ascii="Verdana" w:hAnsi="Verdana" w:cs="Arial"/>
                <w:lang w:val="es-CO" w:eastAsia="es-CO"/>
              </w:rPr>
              <w:t xml:space="preserve"> </w:t>
            </w:r>
            <w:r w:rsidR="004D0829" w:rsidRPr="000226FE">
              <w:rPr>
                <w:rFonts w:ascii="Verdana" w:hAnsi="Verdana" w:cs="Arial"/>
                <w:b/>
                <w:bCs/>
                <w:lang w:val="es-CO" w:eastAsia="es-CO"/>
              </w:rPr>
              <w:t>Vigencia de la ley o norma reglamentada o desarrollada</w:t>
            </w:r>
          </w:p>
          <w:p w14:paraId="3D1D2F07" w14:textId="77777777" w:rsidR="004D0829" w:rsidRPr="000226FE" w:rsidRDefault="004D0829" w:rsidP="00E657D3">
            <w:pPr>
              <w:ind w:left="494" w:hanging="283"/>
              <w:jc w:val="both"/>
              <w:rPr>
                <w:rFonts w:ascii="Verdana" w:hAnsi="Verdana" w:cs="Arial"/>
                <w:lang w:val="es-CO" w:eastAsia="es-CO"/>
              </w:rPr>
            </w:pPr>
          </w:p>
          <w:p w14:paraId="23A1EB73" w14:textId="77777777" w:rsidR="004D0829" w:rsidRPr="000226FE" w:rsidRDefault="004D0829" w:rsidP="00E657D3">
            <w:pPr>
              <w:jc w:val="both"/>
              <w:rPr>
                <w:rFonts w:ascii="Verdana" w:hAnsi="Verdana" w:cs="Arial"/>
                <w:lang w:val="es-CO" w:eastAsia="es-CO"/>
              </w:rPr>
            </w:pPr>
            <w:r w:rsidRPr="000226FE">
              <w:rPr>
                <w:rFonts w:ascii="Verdana" w:hAnsi="Verdana" w:cs="Arial"/>
                <w:lang w:val="es-CO" w:eastAsia="es-CO"/>
              </w:rPr>
              <w:t>El Decreto 1077 de 2015 objeto de modificación con el presente proyecto normativo se encuentra vigente.</w:t>
            </w:r>
          </w:p>
          <w:p w14:paraId="15D24E55" w14:textId="77777777" w:rsidR="004D0829" w:rsidRPr="000226FE" w:rsidRDefault="004D0829" w:rsidP="00E657D3">
            <w:pPr>
              <w:ind w:left="494" w:hanging="283"/>
              <w:jc w:val="both"/>
              <w:rPr>
                <w:rFonts w:ascii="Verdana" w:hAnsi="Verdana" w:cs="Arial"/>
                <w:lang w:val="es-CO" w:eastAsia="es-CO"/>
              </w:rPr>
            </w:pPr>
          </w:p>
          <w:p w14:paraId="4013C528" w14:textId="77777777" w:rsidR="004D0829" w:rsidRPr="000226FE" w:rsidRDefault="004D0829" w:rsidP="00E657D3">
            <w:pPr>
              <w:numPr>
                <w:ilvl w:val="1"/>
                <w:numId w:val="1"/>
              </w:numPr>
              <w:jc w:val="both"/>
              <w:rPr>
                <w:rFonts w:ascii="Verdana" w:hAnsi="Verdana" w:cs="Arial"/>
                <w:b/>
                <w:bCs/>
                <w:lang w:val="es-CO" w:eastAsia="es-CO"/>
              </w:rPr>
            </w:pPr>
            <w:r w:rsidRPr="000226FE">
              <w:rPr>
                <w:rFonts w:ascii="Verdana" w:hAnsi="Verdana" w:cs="Arial"/>
                <w:b/>
                <w:bCs/>
                <w:lang w:val="es-CO" w:eastAsia="es-CO"/>
              </w:rPr>
              <w:t xml:space="preserve">Disposiciones derogas, subrogadas, modificadas, adicionadas o sustituidas </w:t>
            </w:r>
          </w:p>
          <w:p w14:paraId="517F64CD" w14:textId="77777777" w:rsidR="004D0829" w:rsidRPr="000226FE" w:rsidRDefault="004D0829" w:rsidP="00E657D3">
            <w:pPr>
              <w:jc w:val="both"/>
              <w:rPr>
                <w:rFonts w:ascii="Verdana" w:hAnsi="Verdana" w:cs="Arial"/>
                <w:lang w:val="es-CO" w:eastAsia="es-CO"/>
              </w:rPr>
            </w:pPr>
          </w:p>
          <w:p w14:paraId="1F4ADB13" w14:textId="1BC86295" w:rsidR="004D0829" w:rsidRPr="000226FE" w:rsidRDefault="004D0829" w:rsidP="00E657D3">
            <w:pPr>
              <w:jc w:val="both"/>
              <w:rPr>
                <w:rFonts w:ascii="Verdana" w:hAnsi="Verdana" w:cs="Arial"/>
                <w:lang w:eastAsia="es-CO"/>
              </w:rPr>
            </w:pPr>
            <w:r w:rsidRPr="000226FE">
              <w:rPr>
                <w:rFonts w:ascii="Verdana" w:hAnsi="Verdana" w:cs="Arial"/>
                <w:lang w:eastAsia="es-CO"/>
              </w:rPr>
              <w:t>El presente proyecto normativo modifica</w:t>
            </w:r>
            <w:r w:rsidR="00E03956" w:rsidRPr="000226FE">
              <w:rPr>
                <w:rFonts w:ascii="Verdana" w:hAnsi="Verdana" w:cs="Arial"/>
                <w:lang w:eastAsia="es-CO"/>
              </w:rPr>
              <w:t xml:space="preserve"> el numeral 2.1 del artículo 2.1.1.1.1.1.2, el artículo 2.1.9.1. y adiciona los artículos 2.1.9.2, 2.1.9.3 y 2.1.9.4 del Decreto 1077 de 2015</w:t>
            </w:r>
            <w:r w:rsidR="006746E5" w:rsidRPr="000226FE">
              <w:rPr>
                <w:rFonts w:ascii="Verdana" w:hAnsi="Verdana" w:cs="Arial"/>
                <w:lang w:eastAsia="es-CO"/>
              </w:rPr>
              <w:t>.</w:t>
            </w:r>
          </w:p>
          <w:p w14:paraId="7C1A6615" w14:textId="77777777" w:rsidR="004D0829" w:rsidRPr="000226FE" w:rsidRDefault="004D0829" w:rsidP="00E657D3">
            <w:pPr>
              <w:ind w:left="494" w:hanging="283"/>
              <w:jc w:val="both"/>
              <w:rPr>
                <w:rFonts w:ascii="Verdana" w:hAnsi="Verdana" w:cs="Arial"/>
                <w:lang w:val="es-CO" w:eastAsia="es-CO"/>
              </w:rPr>
            </w:pPr>
          </w:p>
          <w:p w14:paraId="1BCB3CC0" w14:textId="77777777" w:rsidR="004D0829" w:rsidRPr="000226FE" w:rsidRDefault="004D0829" w:rsidP="00E657D3">
            <w:pPr>
              <w:ind w:left="494" w:hanging="283"/>
              <w:jc w:val="both"/>
              <w:rPr>
                <w:rFonts w:ascii="Verdana" w:hAnsi="Verdana" w:cs="Arial"/>
                <w:b/>
                <w:bCs/>
                <w:lang w:val="es-CO" w:eastAsia="es-CO"/>
              </w:rPr>
            </w:pPr>
            <w:r w:rsidRPr="000226FE">
              <w:rPr>
                <w:rFonts w:ascii="Verdana" w:hAnsi="Verdana" w:cs="Arial"/>
                <w:b/>
                <w:bCs/>
                <w:lang w:val="es-CO" w:eastAsia="es-CO"/>
              </w:rPr>
              <w:t>3.4 Revisión y análisis de la jurisprudencia que tenga impacto o sea relevante para la expedición del proyecto normativo (órganos de cierre de cada jurisdicción)</w:t>
            </w:r>
          </w:p>
          <w:p w14:paraId="5EE654CF" w14:textId="77777777" w:rsidR="004D0829" w:rsidRPr="000226FE" w:rsidRDefault="004D0829" w:rsidP="00E657D3">
            <w:pPr>
              <w:ind w:left="494" w:hanging="283"/>
              <w:jc w:val="both"/>
              <w:rPr>
                <w:rFonts w:ascii="Verdana" w:hAnsi="Verdana" w:cs="Arial"/>
                <w:lang w:val="es-CO" w:eastAsia="es-CO"/>
              </w:rPr>
            </w:pPr>
          </w:p>
          <w:p w14:paraId="3F3EAFF7" w14:textId="224F6A5A" w:rsidR="004D0829" w:rsidRPr="000226FE" w:rsidRDefault="004D0829" w:rsidP="00E657D3">
            <w:pPr>
              <w:shd w:val="clear" w:color="auto" w:fill="FFFFFF"/>
              <w:rPr>
                <w:rFonts w:ascii="Verdana" w:hAnsi="Verdana" w:cs="Arial"/>
                <w:color w:val="000000"/>
                <w:lang w:val="pt-PT"/>
              </w:rPr>
            </w:pPr>
            <w:r w:rsidRPr="000226FE">
              <w:rPr>
                <w:rFonts w:ascii="Verdana" w:hAnsi="Verdana" w:cs="Arial"/>
                <w:color w:val="000000"/>
              </w:rPr>
              <w:t> </w:t>
            </w:r>
            <w:r w:rsidR="00085204" w:rsidRPr="000226FE">
              <w:rPr>
                <w:rFonts w:ascii="Verdana" w:hAnsi="Verdana" w:cs="Arial"/>
                <w:color w:val="000000"/>
                <w:lang w:val="pt-PT"/>
              </w:rPr>
              <w:t>N/A</w:t>
            </w:r>
          </w:p>
          <w:p w14:paraId="0207A8FC" w14:textId="77777777" w:rsidR="00085204" w:rsidRPr="000226FE" w:rsidRDefault="00085204" w:rsidP="00E657D3">
            <w:pPr>
              <w:shd w:val="clear" w:color="auto" w:fill="FFFFFF"/>
              <w:rPr>
                <w:rFonts w:ascii="Verdana" w:hAnsi="Verdana" w:cs="Arial"/>
                <w:lang w:val="pt-PT" w:eastAsia="es-CO"/>
              </w:rPr>
            </w:pPr>
          </w:p>
          <w:p w14:paraId="62F17E21" w14:textId="77777777" w:rsidR="004D0829" w:rsidRPr="000226FE" w:rsidRDefault="004D0829" w:rsidP="00E657D3">
            <w:pPr>
              <w:ind w:left="494" w:hanging="283"/>
              <w:jc w:val="both"/>
              <w:rPr>
                <w:rFonts w:ascii="Verdana" w:hAnsi="Verdana" w:cs="Arial"/>
                <w:b/>
                <w:bCs/>
                <w:lang w:val="pt-PT" w:eastAsia="es-CO"/>
              </w:rPr>
            </w:pPr>
            <w:r w:rsidRPr="000226FE">
              <w:rPr>
                <w:rFonts w:ascii="Verdana" w:hAnsi="Verdana" w:cs="Arial"/>
                <w:b/>
                <w:bCs/>
                <w:lang w:val="pt-PT" w:eastAsia="es-CO"/>
              </w:rPr>
              <w:t xml:space="preserve">3.5 Circunstancias jurídicas adicionales </w:t>
            </w:r>
          </w:p>
          <w:p w14:paraId="6580AB4D" w14:textId="77777777" w:rsidR="004D0829" w:rsidRPr="000226FE" w:rsidRDefault="004D0829" w:rsidP="00E657D3">
            <w:pPr>
              <w:ind w:left="494" w:hanging="283"/>
              <w:jc w:val="both"/>
              <w:rPr>
                <w:rFonts w:ascii="Verdana" w:hAnsi="Verdana" w:cs="Arial"/>
                <w:lang w:val="pt-PT" w:eastAsia="es-CO"/>
              </w:rPr>
            </w:pPr>
          </w:p>
          <w:p w14:paraId="2EF0A196" w14:textId="05F6427F" w:rsidR="00015820" w:rsidRPr="000226FE" w:rsidRDefault="00015820" w:rsidP="00E657D3">
            <w:pPr>
              <w:shd w:val="clear" w:color="auto" w:fill="FFFFFF"/>
              <w:rPr>
                <w:rFonts w:ascii="Verdana" w:hAnsi="Verdana" w:cs="Arial"/>
                <w:lang w:val="pt-PT" w:eastAsia="es-CO"/>
              </w:rPr>
            </w:pPr>
            <w:r w:rsidRPr="000226FE">
              <w:rPr>
                <w:rFonts w:ascii="Verdana" w:hAnsi="Verdana" w:cs="Arial"/>
                <w:lang w:val="pt-PT" w:eastAsia="es-CO"/>
              </w:rPr>
              <w:t>N/A</w:t>
            </w:r>
          </w:p>
          <w:p w14:paraId="039B7F5C" w14:textId="77777777" w:rsidR="00085204" w:rsidRPr="000226FE" w:rsidRDefault="00085204" w:rsidP="00E657D3">
            <w:pPr>
              <w:jc w:val="both"/>
              <w:rPr>
                <w:rFonts w:ascii="Verdana" w:hAnsi="Verdana" w:cs="Arial"/>
                <w:lang w:val="pt-PT" w:eastAsia="es-CO"/>
              </w:rPr>
            </w:pPr>
          </w:p>
          <w:p w14:paraId="46B439AE" w14:textId="77777777" w:rsidR="004D0829" w:rsidRPr="000226FE" w:rsidRDefault="004D0829" w:rsidP="00E657D3">
            <w:pPr>
              <w:pBdr>
                <w:top w:val="single" w:sz="4" w:space="1" w:color="auto"/>
                <w:left w:val="single" w:sz="4" w:space="4" w:color="auto"/>
                <w:bottom w:val="single" w:sz="4" w:space="1" w:color="auto"/>
                <w:right w:val="single" w:sz="4" w:space="4" w:color="auto"/>
              </w:pBdr>
              <w:jc w:val="both"/>
              <w:rPr>
                <w:rFonts w:ascii="Verdana" w:hAnsi="Verdana" w:cs="Arial"/>
                <w:lang w:val="pt-PT" w:eastAsia="es-CO"/>
              </w:rPr>
            </w:pPr>
          </w:p>
        </w:tc>
      </w:tr>
      <w:tr w:rsidR="005A2F1E" w:rsidRPr="000226FE" w14:paraId="7BD45EB6" w14:textId="77777777" w:rsidTr="007A22DE">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638275" w14:textId="77777777" w:rsidR="004D0829" w:rsidRPr="000226FE" w:rsidRDefault="004D0829" w:rsidP="00E657D3">
            <w:pPr>
              <w:rPr>
                <w:rFonts w:ascii="Verdana" w:hAnsi="Verdana" w:cs="Arial"/>
                <w:b/>
                <w:color w:val="000000"/>
                <w:lang w:val="pt-PT"/>
              </w:rPr>
            </w:pPr>
          </w:p>
          <w:p w14:paraId="3690BA77" w14:textId="77777777" w:rsidR="004D0829" w:rsidRPr="000226FE" w:rsidRDefault="004D0829" w:rsidP="00E657D3">
            <w:pPr>
              <w:numPr>
                <w:ilvl w:val="0"/>
                <w:numId w:val="1"/>
              </w:numPr>
              <w:ind w:left="494"/>
              <w:rPr>
                <w:rFonts w:ascii="Verdana" w:hAnsi="Verdana" w:cs="Arial"/>
                <w:b/>
                <w:color w:val="000000"/>
              </w:rPr>
            </w:pPr>
            <w:r w:rsidRPr="000226FE">
              <w:rPr>
                <w:rFonts w:ascii="Verdana" w:hAnsi="Verdana" w:cs="Arial"/>
                <w:b/>
                <w:color w:val="000000"/>
              </w:rPr>
              <w:t xml:space="preserve">IMPACTO ECONÓMICO </w:t>
            </w:r>
            <w:r w:rsidRPr="000226FE">
              <w:rPr>
                <w:rFonts w:ascii="Verdana" w:hAnsi="Verdana" w:cs="Arial"/>
                <w:color w:val="000000"/>
              </w:rPr>
              <w:t>(Si se requiere)</w:t>
            </w:r>
          </w:p>
          <w:p w14:paraId="694E39A6" w14:textId="77777777" w:rsidR="004D0829" w:rsidRPr="000226FE" w:rsidRDefault="004D0829" w:rsidP="00E657D3">
            <w:pPr>
              <w:jc w:val="both"/>
              <w:rPr>
                <w:rFonts w:ascii="Verdana" w:hAnsi="Verdana" w:cs="Arial"/>
                <w:i/>
                <w:color w:val="808080"/>
              </w:rPr>
            </w:pPr>
            <w:r w:rsidRPr="000226FE">
              <w:rPr>
                <w:rFonts w:ascii="Verdana" w:hAnsi="Verdana" w:cs="Arial"/>
                <w:i/>
                <w:color w:val="808080"/>
              </w:rPr>
              <w:t>(Por favor señale el costo o ahorro de la implementación del acto administrativo)</w:t>
            </w:r>
          </w:p>
          <w:p w14:paraId="79068E03" w14:textId="77777777" w:rsidR="004D0829" w:rsidRPr="000226FE" w:rsidRDefault="004D0829" w:rsidP="00E657D3">
            <w:pPr>
              <w:jc w:val="both"/>
              <w:rPr>
                <w:rFonts w:ascii="Verdana" w:hAnsi="Verdana" w:cs="Arial"/>
                <w:i/>
                <w:color w:val="808080"/>
              </w:rPr>
            </w:pPr>
          </w:p>
          <w:p w14:paraId="0B82FAD6" w14:textId="68B3CBAB" w:rsidR="004D0829" w:rsidRPr="000226FE" w:rsidRDefault="004D0829" w:rsidP="00E657D3">
            <w:pPr>
              <w:jc w:val="both"/>
              <w:rPr>
                <w:rFonts w:ascii="Verdana" w:hAnsi="Verdana" w:cs="Arial"/>
                <w:i/>
                <w:color w:val="808080"/>
              </w:rPr>
            </w:pPr>
            <w:r w:rsidRPr="000226FE">
              <w:rPr>
                <w:rFonts w:ascii="Verdana" w:hAnsi="Verdana" w:cs="Arial"/>
                <w:lang w:val="es-CO" w:eastAsia="es-CO"/>
              </w:rPr>
              <w:t>El presente proyecto normativo no tiene impacto económico</w:t>
            </w:r>
            <w:r w:rsidR="00301D23">
              <w:rPr>
                <w:rFonts w:ascii="Verdana" w:hAnsi="Verdana" w:cs="Arial"/>
                <w:lang w:val="es-CO" w:eastAsia="es-CO"/>
              </w:rPr>
              <w:t>;</w:t>
            </w:r>
            <w:r w:rsidRPr="000226FE">
              <w:rPr>
                <w:rFonts w:ascii="Verdana" w:hAnsi="Verdana" w:cs="Arial"/>
                <w:lang w:val="es-CO" w:eastAsia="es-CO"/>
              </w:rPr>
              <w:t xml:space="preserve"> por cuanto</w:t>
            </w:r>
            <w:r w:rsidR="00301D23">
              <w:rPr>
                <w:rFonts w:ascii="Verdana" w:hAnsi="Verdana" w:cs="Arial"/>
                <w:lang w:val="es-CO" w:eastAsia="es-CO"/>
              </w:rPr>
              <w:t>,</w:t>
            </w:r>
            <w:r w:rsidRPr="000226FE">
              <w:rPr>
                <w:rFonts w:ascii="Verdana" w:hAnsi="Verdana" w:cs="Arial"/>
                <w:lang w:val="es-CO" w:eastAsia="es-CO"/>
              </w:rPr>
              <w:t xml:space="preserve"> </w:t>
            </w:r>
            <w:r w:rsidR="008F37A8" w:rsidRPr="000226FE">
              <w:rPr>
                <w:rFonts w:ascii="Verdana" w:hAnsi="Verdana" w:cs="Arial"/>
                <w:lang w:val="es-CO" w:eastAsia="es-CO"/>
              </w:rPr>
              <w:t>con la expedición de este decreto, se busca favorecer la disponibilidad de oferta de vivienda</w:t>
            </w:r>
            <w:r w:rsidR="006746E5" w:rsidRPr="000226FE">
              <w:rPr>
                <w:rFonts w:ascii="Verdana" w:hAnsi="Verdana" w:cs="Arial"/>
                <w:lang w:val="es-CO" w:eastAsia="es-CO"/>
              </w:rPr>
              <w:t xml:space="preserve"> de interés social</w:t>
            </w:r>
            <w:r w:rsidR="008F37A8" w:rsidRPr="000226FE">
              <w:rPr>
                <w:rFonts w:ascii="Verdana" w:hAnsi="Verdana" w:cs="Arial"/>
                <w:lang w:val="es-CO" w:eastAsia="es-CO"/>
              </w:rPr>
              <w:t xml:space="preserve"> en los distritos y municipios que cumplan con los criterios señalados, en l</w:t>
            </w:r>
            <w:r w:rsidR="003A0DAB" w:rsidRPr="000226FE">
              <w:rPr>
                <w:rFonts w:ascii="Verdana" w:hAnsi="Verdana" w:cs="Arial"/>
                <w:lang w:val="es-CO" w:eastAsia="es-CO"/>
              </w:rPr>
              <w:t>o</w:t>
            </w:r>
            <w:r w:rsidR="008F37A8" w:rsidRPr="000226FE">
              <w:rPr>
                <w:rFonts w:ascii="Verdana" w:hAnsi="Verdana" w:cs="Arial"/>
                <w:lang w:val="es-CO" w:eastAsia="es-CO"/>
              </w:rPr>
              <w:t>s que hoy en día se dificulta la aplicación del subsidio</w:t>
            </w:r>
            <w:r w:rsidR="003A0DAB" w:rsidRPr="000226FE">
              <w:rPr>
                <w:rFonts w:ascii="Verdana" w:hAnsi="Verdana" w:cs="Arial"/>
                <w:lang w:val="es-CO" w:eastAsia="es-CO"/>
              </w:rPr>
              <w:t xml:space="preserve"> familiar de vivienda</w:t>
            </w:r>
            <w:r w:rsidR="008F37A8" w:rsidRPr="000226FE">
              <w:rPr>
                <w:rFonts w:ascii="Verdana" w:hAnsi="Verdana" w:cs="Arial"/>
                <w:lang w:val="es-CO" w:eastAsia="es-CO"/>
              </w:rPr>
              <w:t xml:space="preserve"> por parte de quienes cumplen con las condiciones para su asignación, ante la ausencia o restricción en la oferta</w:t>
            </w:r>
            <w:r w:rsidR="006746E5" w:rsidRPr="000226FE">
              <w:rPr>
                <w:rFonts w:ascii="Verdana" w:hAnsi="Verdana" w:cs="Arial"/>
                <w:lang w:val="es-CO" w:eastAsia="es-CO"/>
              </w:rPr>
              <w:t xml:space="preserve"> de unidades habitacionales</w:t>
            </w:r>
            <w:r w:rsidR="008F37A8" w:rsidRPr="000226FE">
              <w:rPr>
                <w:rFonts w:ascii="Verdana" w:hAnsi="Verdana" w:cs="Arial"/>
                <w:lang w:val="es-CO" w:eastAsia="es-CO"/>
              </w:rPr>
              <w:t>.</w:t>
            </w:r>
          </w:p>
          <w:p w14:paraId="6078229A" w14:textId="77777777" w:rsidR="004D0829" w:rsidRPr="000226FE" w:rsidRDefault="004D0829" w:rsidP="00E657D3">
            <w:pPr>
              <w:jc w:val="both"/>
              <w:rPr>
                <w:rFonts w:ascii="Verdana" w:hAnsi="Verdana" w:cs="Arial"/>
                <w:lang w:val="es-CO"/>
              </w:rPr>
            </w:pPr>
          </w:p>
        </w:tc>
      </w:tr>
      <w:tr w:rsidR="005A2F1E" w:rsidRPr="000226FE" w14:paraId="52BDCA5D" w14:textId="77777777" w:rsidTr="007A22DE">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42541F" w14:textId="77777777" w:rsidR="004D0829" w:rsidRPr="000226FE" w:rsidRDefault="004D0829" w:rsidP="00E657D3">
            <w:pPr>
              <w:rPr>
                <w:rFonts w:ascii="Verdana" w:hAnsi="Verdana" w:cs="Arial"/>
                <w:b/>
                <w:color w:val="000000"/>
              </w:rPr>
            </w:pPr>
          </w:p>
          <w:p w14:paraId="14A1E13C" w14:textId="77777777" w:rsidR="004D0829" w:rsidRPr="000226FE" w:rsidRDefault="004D0829" w:rsidP="00E657D3">
            <w:pPr>
              <w:numPr>
                <w:ilvl w:val="0"/>
                <w:numId w:val="1"/>
              </w:numPr>
              <w:ind w:left="494"/>
              <w:rPr>
                <w:rFonts w:ascii="Verdana" w:hAnsi="Verdana" w:cs="Arial"/>
                <w:b/>
                <w:color w:val="000000"/>
              </w:rPr>
            </w:pPr>
            <w:r w:rsidRPr="000226FE">
              <w:rPr>
                <w:rFonts w:ascii="Verdana" w:hAnsi="Verdana" w:cs="Arial"/>
                <w:b/>
                <w:color w:val="000000"/>
              </w:rPr>
              <w:t xml:space="preserve">VIABILIDAD O DISPONIBILIDAD PRESUPUESTAL </w:t>
            </w:r>
            <w:r w:rsidRPr="000226FE">
              <w:rPr>
                <w:rFonts w:ascii="Verdana" w:hAnsi="Verdana" w:cs="Arial"/>
                <w:color w:val="000000"/>
              </w:rPr>
              <w:t>(Si se requiere)</w:t>
            </w:r>
          </w:p>
          <w:p w14:paraId="214A8893" w14:textId="77777777" w:rsidR="004D0829" w:rsidRPr="000226FE" w:rsidRDefault="004D0829" w:rsidP="00E657D3">
            <w:pPr>
              <w:jc w:val="both"/>
              <w:rPr>
                <w:rFonts w:ascii="Verdana" w:hAnsi="Verdana" w:cs="Arial"/>
                <w:i/>
                <w:color w:val="808080"/>
              </w:rPr>
            </w:pPr>
            <w:r w:rsidRPr="000226FE">
              <w:rPr>
                <w:rFonts w:ascii="Verdana" w:hAnsi="Verdana" w:cs="Arial"/>
                <w:i/>
                <w:color w:val="808080"/>
              </w:rPr>
              <w:t xml:space="preserve">(Por favor indique si cuenta con los recursos presupuestales disponibles para la implementación del proyecto normativo) </w:t>
            </w:r>
          </w:p>
          <w:p w14:paraId="436637B5" w14:textId="77777777" w:rsidR="004D0829" w:rsidRPr="000226FE" w:rsidRDefault="004D0829" w:rsidP="00E657D3">
            <w:pPr>
              <w:jc w:val="both"/>
              <w:rPr>
                <w:rFonts w:ascii="Verdana" w:hAnsi="Verdana" w:cs="Arial"/>
                <w:i/>
                <w:color w:val="808080"/>
              </w:rPr>
            </w:pPr>
          </w:p>
          <w:p w14:paraId="4373FF75" w14:textId="6F8C4475" w:rsidR="004D0829" w:rsidRPr="000226FE" w:rsidRDefault="004D0829" w:rsidP="00E657D3">
            <w:pPr>
              <w:jc w:val="both"/>
              <w:rPr>
                <w:rFonts w:ascii="Verdana" w:hAnsi="Verdana"/>
                <w:lang w:eastAsia="es-CO"/>
              </w:rPr>
            </w:pPr>
            <w:r w:rsidRPr="000226FE">
              <w:rPr>
                <w:rFonts w:ascii="Verdana" w:hAnsi="Verdana"/>
                <w:lang w:eastAsia="es-CO"/>
              </w:rPr>
              <w:t xml:space="preserve">El presente proyecto normativo no tiene impacto presupuestal distinto al establecido en el marco de gasto de mediano plazo del sector vivienda, ciudad y territorio, por lo </w:t>
            </w:r>
            <w:r w:rsidR="00692086" w:rsidRPr="000226FE">
              <w:rPr>
                <w:rFonts w:ascii="Verdana" w:hAnsi="Verdana"/>
                <w:lang w:eastAsia="es-CO"/>
              </w:rPr>
              <w:t>tanto,</w:t>
            </w:r>
            <w:r w:rsidRPr="000226FE">
              <w:rPr>
                <w:rFonts w:ascii="Verdana" w:hAnsi="Verdana"/>
                <w:lang w:eastAsia="es-CO"/>
              </w:rPr>
              <w:t xml:space="preserve"> el Ministerio de Vivienda, Ciudad y Territorio cuenta con los recursos presupuestales necesarios para la implementación del proyecto de decreto.</w:t>
            </w:r>
            <w:r w:rsidR="00085204" w:rsidRPr="000226FE">
              <w:rPr>
                <w:rFonts w:ascii="Verdana" w:hAnsi="Verdana"/>
                <w:lang w:eastAsia="es-CO"/>
              </w:rPr>
              <w:t xml:space="preserve"> </w:t>
            </w:r>
          </w:p>
          <w:p w14:paraId="541C0A23" w14:textId="77777777" w:rsidR="004D0829" w:rsidRPr="000226FE" w:rsidRDefault="004D0829" w:rsidP="00E657D3">
            <w:pPr>
              <w:jc w:val="both"/>
              <w:rPr>
                <w:rFonts w:ascii="Verdana" w:hAnsi="Verdana"/>
                <w:lang w:eastAsia="es-CO"/>
              </w:rPr>
            </w:pPr>
          </w:p>
        </w:tc>
      </w:tr>
      <w:tr w:rsidR="005A2F1E" w:rsidRPr="000226FE" w14:paraId="6DCE00B3" w14:textId="77777777" w:rsidTr="007A22DE">
        <w:trPr>
          <w:trHeight w:val="383"/>
        </w:trPr>
        <w:tc>
          <w:tcPr>
            <w:tcW w:w="10774" w:type="dxa"/>
            <w:gridSpan w:val="3"/>
            <w:tcBorders>
              <w:top w:val="single" w:sz="4" w:space="0" w:color="auto"/>
              <w:bottom w:val="single" w:sz="4" w:space="0" w:color="auto"/>
            </w:tcBorders>
            <w:shd w:val="clear" w:color="auto" w:fill="FFFFFF"/>
            <w:vAlign w:val="center"/>
          </w:tcPr>
          <w:p w14:paraId="56092FF8" w14:textId="77777777" w:rsidR="004D0829" w:rsidRPr="000226FE" w:rsidRDefault="004D0829" w:rsidP="00E657D3">
            <w:pPr>
              <w:numPr>
                <w:ilvl w:val="0"/>
                <w:numId w:val="1"/>
              </w:numPr>
              <w:ind w:left="494"/>
              <w:rPr>
                <w:rFonts w:ascii="Verdana" w:hAnsi="Verdana" w:cs="Arial"/>
                <w:b/>
                <w:color w:val="000000"/>
              </w:rPr>
            </w:pPr>
            <w:r w:rsidRPr="000226FE">
              <w:rPr>
                <w:rFonts w:ascii="Verdana" w:hAnsi="Verdana" w:cs="Arial"/>
                <w:b/>
                <w:color w:val="000000"/>
              </w:rPr>
              <w:t xml:space="preserve"> IMPACTO MEDIOAMBIENTAL O SOBRE EL PATRIMONIO CULTURAL DE LA NACIÓN </w:t>
            </w:r>
            <w:r w:rsidRPr="000226FE">
              <w:rPr>
                <w:rFonts w:ascii="Verdana" w:hAnsi="Verdana" w:cs="Arial"/>
                <w:color w:val="000000"/>
              </w:rPr>
              <w:t>(Si se requiere)</w:t>
            </w:r>
          </w:p>
          <w:p w14:paraId="3982234C" w14:textId="77777777" w:rsidR="004D0829" w:rsidRPr="000226FE" w:rsidRDefault="004D0829" w:rsidP="00E657D3">
            <w:pPr>
              <w:jc w:val="both"/>
              <w:rPr>
                <w:rFonts w:ascii="Verdana" w:hAnsi="Verdana" w:cs="Arial"/>
                <w:b/>
                <w:color w:val="000000"/>
              </w:rPr>
            </w:pPr>
            <w:r w:rsidRPr="000226FE">
              <w:rPr>
                <w:rFonts w:ascii="Verdana" w:hAnsi="Verdana" w:cs="Arial"/>
                <w:i/>
                <w:color w:val="808080"/>
              </w:rPr>
              <w:t xml:space="preserve">(Por favor indique el proyecto normativo tiene impacto sobre el medio ambiente o el Patrimonio cultural de la Nación) </w:t>
            </w:r>
          </w:p>
          <w:p w14:paraId="5090EB28" w14:textId="77777777" w:rsidR="004D0829" w:rsidRPr="000226FE" w:rsidRDefault="004D0829" w:rsidP="00E657D3">
            <w:pPr>
              <w:jc w:val="both"/>
              <w:rPr>
                <w:rFonts w:ascii="Verdana" w:hAnsi="Verdana" w:cs="Arial"/>
                <w:b/>
                <w:color w:val="000000"/>
              </w:rPr>
            </w:pPr>
          </w:p>
          <w:p w14:paraId="629A417C" w14:textId="77777777" w:rsidR="004D0829" w:rsidRPr="000226FE" w:rsidRDefault="004D0829" w:rsidP="00E657D3">
            <w:pPr>
              <w:jc w:val="both"/>
              <w:rPr>
                <w:rFonts w:ascii="Verdana" w:hAnsi="Verdana" w:cs="Arial"/>
                <w:iCs/>
              </w:rPr>
            </w:pPr>
            <w:r w:rsidRPr="000226FE">
              <w:rPr>
                <w:rFonts w:ascii="Verdana" w:hAnsi="Verdana" w:cs="Arial"/>
                <w:iCs/>
              </w:rPr>
              <w:lastRenderedPageBreak/>
              <w:t>El presente proyecto normativo no tiene impacto sobre el medio ambiente o el patrimonio cultural de la Nación.</w:t>
            </w:r>
          </w:p>
          <w:p w14:paraId="52CF17B9" w14:textId="77777777" w:rsidR="004D0829" w:rsidRPr="000226FE" w:rsidRDefault="004D0829" w:rsidP="00E657D3">
            <w:pPr>
              <w:jc w:val="both"/>
              <w:rPr>
                <w:rFonts w:ascii="Verdana" w:hAnsi="Verdana" w:cs="Arial"/>
                <w:iCs/>
              </w:rPr>
            </w:pPr>
          </w:p>
        </w:tc>
      </w:tr>
      <w:tr w:rsidR="005A2F1E" w:rsidRPr="000226FE" w14:paraId="2EB44F26" w14:textId="77777777" w:rsidTr="007A22DE">
        <w:trPr>
          <w:trHeight w:val="317"/>
        </w:trPr>
        <w:tc>
          <w:tcPr>
            <w:tcW w:w="10774" w:type="dxa"/>
            <w:gridSpan w:val="3"/>
            <w:tcBorders>
              <w:top w:val="single" w:sz="4" w:space="0" w:color="auto"/>
              <w:bottom w:val="single" w:sz="4" w:space="0" w:color="auto"/>
            </w:tcBorders>
            <w:shd w:val="clear" w:color="auto" w:fill="FFFFFF"/>
            <w:vAlign w:val="center"/>
          </w:tcPr>
          <w:p w14:paraId="12FDD3D5" w14:textId="77777777" w:rsidR="004D0829" w:rsidRPr="000226FE" w:rsidRDefault="004D0829" w:rsidP="00E657D3">
            <w:pPr>
              <w:numPr>
                <w:ilvl w:val="0"/>
                <w:numId w:val="1"/>
              </w:numPr>
              <w:ind w:left="494"/>
              <w:rPr>
                <w:rFonts w:ascii="Verdana" w:hAnsi="Verdana" w:cs="Arial"/>
              </w:rPr>
            </w:pPr>
            <w:r w:rsidRPr="000226FE">
              <w:rPr>
                <w:rFonts w:ascii="Verdana" w:hAnsi="Verdana" w:cs="Arial"/>
                <w:b/>
              </w:rPr>
              <w:lastRenderedPageBreak/>
              <w:t>ESTUDIOS TÉCNICOS QUE SUSTENTEN EL PROYECTO NORMATIVO</w:t>
            </w:r>
            <w:r w:rsidRPr="000226FE">
              <w:rPr>
                <w:rFonts w:ascii="Verdana" w:hAnsi="Verdana" w:cs="Arial"/>
              </w:rPr>
              <w:t xml:space="preserve"> (Si cuenta con ellos) </w:t>
            </w:r>
          </w:p>
        </w:tc>
      </w:tr>
      <w:tr w:rsidR="005A2F1E" w:rsidRPr="000226FE" w14:paraId="68725F43"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564D2431" w14:textId="77777777" w:rsidR="004D0829" w:rsidRPr="000226FE" w:rsidRDefault="004D0829" w:rsidP="00E657D3">
            <w:pPr>
              <w:rPr>
                <w:rFonts w:ascii="Verdana" w:hAnsi="Verdana" w:cs="Arial"/>
                <w:b/>
                <w:color w:val="000000"/>
              </w:rPr>
            </w:pPr>
          </w:p>
        </w:tc>
      </w:tr>
      <w:tr w:rsidR="005A2F1E" w:rsidRPr="000226FE" w14:paraId="3064C53F"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06BD8A06" w14:textId="04538247" w:rsidR="004D0829" w:rsidRPr="000226FE" w:rsidRDefault="00F73CDA" w:rsidP="00E657D3">
            <w:pPr>
              <w:jc w:val="both"/>
              <w:rPr>
                <w:rFonts w:ascii="Verdana" w:hAnsi="Verdana" w:cs="Arial"/>
              </w:rPr>
            </w:pPr>
            <w:r w:rsidRPr="000226FE">
              <w:rPr>
                <w:rFonts w:ascii="Verdana" w:hAnsi="Verdana" w:cs="Arial"/>
              </w:rPr>
              <w:t xml:space="preserve">Los señalados en el numeral 1 del presente documento. </w:t>
            </w:r>
          </w:p>
        </w:tc>
      </w:tr>
      <w:tr w:rsidR="005A2F1E" w:rsidRPr="000226FE" w14:paraId="2103DDCA"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24EFDD27" w14:textId="77777777" w:rsidR="004D0829" w:rsidRPr="000226FE" w:rsidRDefault="004D0829" w:rsidP="00E657D3">
            <w:pPr>
              <w:rPr>
                <w:rFonts w:ascii="Verdana" w:hAnsi="Verdana" w:cs="Arial"/>
                <w:color w:val="996633"/>
              </w:rPr>
            </w:pPr>
          </w:p>
        </w:tc>
      </w:tr>
      <w:tr w:rsidR="005A2F1E" w:rsidRPr="000226FE" w14:paraId="037DCA17"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2C603FD6" w14:textId="77777777" w:rsidR="004D0829" w:rsidRPr="000226FE" w:rsidRDefault="004D0829" w:rsidP="00E657D3">
            <w:pPr>
              <w:jc w:val="both"/>
              <w:rPr>
                <w:rFonts w:ascii="Verdana" w:hAnsi="Verdana" w:cs="Arial"/>
              </w:rPr>
            </w:pPr>
          </w:p>
        </w:tc>
      </w:tr>
      <w:tr w:rsidR="005A2F1E" w:rsidRPr="000226FE" w14:paraId="26C9EF6D"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0BBE8390" w14:textId="77777777" w:rsidR="004D0829" w:rsidRPr="000226FE" w:rsidRDefault="004D0829" w:rsidP="00E657D3">
            <w:pPr>
              <w:jc w:val="center"/>
              <w:rPr>
                <w:rFonts w:ascii="Verdana" w:hAnsi="Verdana" w:cs="Arial"/>
              </w:rPr>
            </w:pPr>
          </w:p>
        </w:tc>
      </w:tr>
      <w:tr w:rsidR="005A2F1E" w:rsidRPr="000226FE" w14:paraId="1F956F34" w14:textId="77777777" w:rsidTr="007A22DE">
        <w:trPr>
          <w:trHeight w:val="66"/>
        </w:trPr>
        <w:tc>
          <w:tcPr>
            <w:tcW w:w="10774" w:type="dxa"/>
            <w:gridSpan w:val="3"/>
            <w:tcBorders>
              <w:top w:val="single" w:sz="4" w:space="0" w:color="auto"/>
              <w:bottom w:val="single" w:sz="4" w:space="0" w:color="auto"/>
            </w:tcBorders>
            <w:shd w:val="clear" w:color="auto" w:fill="FFFFFF"/>
            <w:vAlign w:val="center"/>
          </w:tcPr>
          <w:p w14:paraId="2BF2E059" w14:textId="77777777" w:rsidR="004D0829" w:rsidRPr="000226FE" w:rsidRDefault="004D0829" w:rsidP="00E657D3">
            <w:pPr>
              <w:jc w:val="center"/>
              <w:rPr>
                <w:rFonts w:ascii="Verdana" w:hAnsi="Verdana" w:cs="Arial"/>
                <w:u w:val="single"/>
              </w:rPr>
            </w:pPr>
          </w:p>
        </w:tc>
      </w:tr>
      <w:tr w:rsidR="005A2F1E" w:rsidRPr="000226FE" w14:paraId="71813B87" w14:textId="77777777" w:rsidTr="007A22DE">
        <w:trPr>
          <w:trHeight w:val="416"/>
        </w:trPr>
        <w:tc>
          <w:tcPr>
            <w:tcW w:w="10774" w:type="dxa"/>
            <w:gridSpan w:val="3"/>
            <w:tcBorders>
              <w:top w:val="single" w:sz="4" w:space="0" w:color="auto"/>
              <w:bottom w:val="single" w:sz="4" w:space="0" w:color="auto"/>
            </w:tcBorders>
            <w:shd w:val="clear" w:color="auto" w:fill="C5E9F3"/>
            <w:vAlign w:val="center"/>
          </w:tcPr>
          <w:p w14:paraId="42D7F28F" w14:textId="77777777" w:rsidR="004D0829" w:rsidRPr="000226FE" w:rsidRDefault="004D0829" w:rsidP="00E657D3">
            <w:pPr>
              <w:jc w:val="center"/>
              <w:rPr>
                <w:rFonts w:ascii="Verdana" w:hAnsi="Verdana" w:cs="Arial"/>
              </w:rPr>
            </w:pPr>
            <w:r w:rsidRPr="000226FE">
              <w:rPr>
                <w:rFonts w:ascii="Verdana" w:hAnsi="Verdana" w:cs="Arial"/>
                <w:b/>
              </w:rPr>
              <w:t>ANEXOS:</w:t>
            </w:r>
            <w:r w:rsidRPr="000226FE">
              <w:rPr>
                <w:rFonts w:ascii="Verdana" w:hAnsi="Verdana" w:cs="Arial"/>
              </w:rPr>
              <w:t xml:space="preserve"> </w:t>
            </w:r>
          </w:p>
        </w:tc>
      </w:tr>
      <w:tr w:rsidR="005A2F1E" w:rsidRPr="000226FE" w14:paraId="31C398BB"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5D5933F" w14:textId="77777777" w:rsidR="004D0829" w:rsidRPr="000226FE" w:rsidRDefault="004D0829" w:rsidP="00E657D3">
            <w:pPr>
              <w:jc w:val="both"/>
              <w:rPr>
                <w:rFonts w:ascii="Verdana" w:hAnsi="Verdana" w:cs="Arial"/>
              </w:rPr>
            </w:pPr>
            <w:r w:rsidRPr="000226FE">
              <w:rPr>
                <w:rFonts w:ascii="Verdana" w:hAnsi="Verdana" w:cs="Arial"/>
              </w:rPr>
              <w:t xml:space="preserve">Certificación de cumplimiento de requisitos de consulta, publicidad y de incorporación en la agenda regulatoria </w:t>
            </w:r>
          </w:p>
          <w:p w14:paraId="6D7E8C42" w14:textId="77777777" w:rsidR="004D0829" w:rsidRPr="000226FE" w:rsidRDefault="004D0829" w:rsidP="00E657D3">
            <w:pPr>
              <w:jc w:val="both"/>
              <w:rPr>
                <w:rFonts w:ascii="Verdana" w:hAnsi="Verdana" w:cs="Arial"/>
                <w:i/>
                <w:color w:val="808080"/>
              </w:rPr>
            </w:pPr>
            <w:r w:rsidRPr="000226FE">
              <w:rPr>
                <w:rFonts w:ascii="Verdana" w:hAnsi="Verdana" w:cs="Arial"/>
                <w:i/>
                <w:color w:val="808080"/>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2AD7BEE8" w14:textId="77777777" w:rsidR="004D0829" w:rsidRPr="000226FE" w:rsidRDefault="004D0829" w:rsidP="00E657D3">
            <w:pPr>
              <w:jc w:val="center"/>
              <w:rPr>
                <w:rFonts w:ascii="Verdana" w:hAnsi="Verdana" w:cs="Arial"/>
                <w:iCs/>
              </w:rPr>
            </w:pPr>
            <w:r w:rsidRPr="000226FE">
              <w:rPr>
                <w:rFonts w:ascii="Verdana" w:hAnsi="Verdana" w:cs="Arial"/>
                <w:iCs/>
              </w:rPr>
              <w:t>X</w:t>
            </w:r>
          </w:p>
        </w:tc>
      </w:tr>
      <w:tr w:rsidR="005A2F1E" w:rsidRPr="000226FE" w14:paraId="03F5E4EC"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7C71E98" w14:textId="77777777" w:rsidR="004D0829" w:rsidRPr="000226FE" w:rsidRDefault="004D0829" w:rsidP="00E657D3">
            <w:pPr>
              <w:jc w:val="both"/>
              <w:rPr>
                <w:rFonts w:ascii="Verdana" w:hAnsi="Verdana" w:cs="Arial"/>
              </w:rPr>
            </w:pPr>
            <w:r w:rsidRPr="000226FE">
              <w:rPr>
                <w:rFonts w:ascii="Verdana" w:hAnsi="Verdana" w:cs="Arial"/>
              </w:rPr>
              <w:t>Concepto(s) de Ministerio de Comercio, Industria y Turismo</w:t>
            </w:r>
          </w:p>
          <w:p w14:paraId="6CED6CD5" w14:textId="77777777" w:rsidR="004D0829" w:rsidRPr="000226FE" w:rsidRDefault="004D0829" w:rsidP="00E657D3">
            <w:pPr>
              <w:jc w:val="both"/>
              <w:rPr>
                <w:rFonts w:ascii="Verdana" w:hAnsi="Verdana" w:cs="Arial"/>
                <w:i/>
                <w:color w:val="808080"/>
              </w:rPr>
            </w:pPr>
            <w:r w:rsidRPr="000226FE">
              <w:rPr>
                <w:rFonts w:ascii="Verdana" w:hAnsi="Verdana" w:cs="Arial"/>
                <w:i/>
                <w:color w:val="808080"/>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6B750962" w14:textId="77777777" w:rsidR="004D0829" w:rsidRPr="000226FE" w:rsidRDefault="004D0829" w:rsidP="00E657D3">
            <w:pPr>
              <w:jc w:val="center"/>
              <w:rPr>
                <w:rFonts w:ascii="Verdana" w:hAnsi="Verdana" w:cs="Arial"/>
              </w:rPr>
            </w:pPr>
            <w:r w:rsidRPr="000226FE">
              <w:rPr>
                <w:rFonts w:ascii="Verdana" w:hAnsi="Verdana" w:cs="Arial"/>
                <w:iCs/>
              </w:rPr>
              <w:t>N/A</w:t>
            </w:r>
          </w:p>
        </w:tc>
      </w:tr>
      <w:tr w:rsidR="005A2F1E" w:rsidRPr="000226FE" w14:paraId="287A02DB"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0B5BF001" w14:textId="77777777" w:rsidR="004D0829" w:rsidRPr="000226FE" w:rsidRDefault="004D0829" w:rsidP="00E657D3">
            <w:pPr>
              <w:jc w:val="both"/>
              <w:rPr>
                <w:rFonts w:ascii="Verdana" w:hAnsi="Verdana" w:cs="Arial"/>
              </w:rPr>
            </w:pPr>
            <w:r w:rsidRPr="000226FE">
              <w:rPr>
                <w:rFonts w:ascii="Verdana" w:hAnsi="Verdana" w:cs="Arial"/>
              </w:rPr>
              <w:t xml:space="preserve">Informe de observaciones y respuestas </w:t>
            </w:r>
          </w:p>
          <w:p w14:paraId="611307AA" w14:textId="77777777" w:rsidR="004D0829" w:rsidRPr="000226FE" w:rsidRDefault="004D0829" w:rsidP="00E657D3">
            <w:pPr>
              <w:jc w:val="both"/>
              <w:rPr>
                <w:rFonts w:ascii="Verdana" w:hAnsi="Verdana" w:cs="Arial"/>
                <w:i/>
                <w:color w:val="808080"/>
              </w:rPr>
            </w:pPr>
            <w:r w:rsidRPr="000226FE">
              <w:rPr>
                <w:rFonts w:ascii="Verdana" w:hAnsi="Verdana" w:cs="Arial"/>
                <w:i/>
                <w:color w:val="808080"/>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3219F287" w14:textId="77777777" w:rsidR="004D0829" w:rsidRPr="000226FE" w:rsidRDefault="004D0829" w:rsidP="00E657D3">
            <w:pPr>
              <w:jc w:val="center"/>
              <w:rPr>
                <w:rFonts w:ascii="Verdana" w:hAnsi="Verdana" w:cs="Arial"/>
              </w:rPr>
            </w:pPr>
            <w:r w:rsidRPr="000226FE">
              <w:rPr>
                <w:rFonts w:ascii="Verdana" w:hAnsi="Verdana" w:cs="Arial"/>
                <w:iCs/>
              </w:rPr>
              <w:t>X</w:t>
            </w:r>
          </w:p>
        </w:tc>
      </w:tr>
      <w:tr w:rsidR="005A2F1E" w:rsidRPr="000226FE" w14:paraId="1E0CA982"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BCC4EEB" w14:textId="77777777" w:rsidR="004D0829" w:rsidRPr="000226FE" w:rsidRDefault="004D0829" w:rsidP="00E657D3">
            <w:pPr>
              <w:jc w:val="both"/>
              <w:rPr>
                <w:rFonts w:ascii="Verdana" w:hAnsi="Verdana" w:cs="Arial"/>
              </w:rPr>
            </w:pPr>
            <w:r w:rsidRPr="000226FE">
              <w:rPr>
                <w:rFonts w:ascii="Verdana" w:hAnsi="Verdana" w:cs="Arial"/>
              </w:rPr>
              <w:t>Concepto de Abogacía de la Competencia de la Superintendencia de Industria y Comercio</w:t>
            </w:r>
          </w:p>
          <w:p w14:paraId="17FC7287" w14:textId="77777777" w:rsidR="004D0829" w:rsidRPr="000226FE" w:rsidRDefault="004D0829" w:rsidP="00E657D3">
            <w:pPr>
              <w:jc w:val="both"/>
              <w:rPr>
                <w:rFonts w:ascii="Verdana" w:hAnsi="Verdana" w:cs="Arial"/>
                <w:i/>
                <w:color w:val="808080"/>
              </w:rPr>
            </w:pPr>
            <w:r w:rsidRPr="000226FE">
              <w:rPr>
                <w:rFonts w:ascii="Verdana" w:hAnsi="Verdana" w:cs="Arial"/>
                <w:i/>
                <w:color w:val="808080"/>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tcPr>
          <w:p w14:paraId="4AC260E9" w14:textId="77777777" w:rsidR="004D0829" w:rsidRPr="000226FE" w:rsidRDefault="004D0829" w:rsidP="00E657D3">
            <w:pPr>
              <w:jc w:val="center"/>
              <w:rPr>
                <w:rFonts w:ascii="Verdana" w:hAnsi="Verdana" w:cs="Arial"/>
              </w:rPr>
            </w:pPr>
            <w:r w:rsidRPr="000226FE">
              <w:rPr>
                <w:rFonts w:ascii="Verdana" w:hAnsi="Verdana" w:cs="Arial"/>
                <w:iCs/>
              </w:rPr>
              <w:t>N/A</w:t>
            </w:r>
          </w:p>
        </w:tc>
      </w:tr>
      <w:tr w:rsidR="005A2F1E" w:rsidRPr="000226FE" w14:paraId="686CD9A7"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66CF920D" w14:textId="77777777" w:rsidR="004D0829" w:rsidRPr="000226FE" w:rsidRDefault="004D0829" w:rsidP="00E657D3">
            <w:pPr>
              <w:jc w:val="both"/>
              <w:rPr>
                <w:rFonts w:ascii="Verdana" w:hAnsi="Verdana" w:cs="Arial"/>
              </w:rPr>
            </w:pPr>
            <w:r w:rsidRPr="000226FE">
              <w:rPr>
                <w:rFonts w:ascii="Verdana" w:hAnsi="Verdana" w:cs="Arial"/>
              </w:rPr>
              <w:t>Concepto de aprobación nuevos trámites del Departamento Administrativo de la Función Pública</w:t>
            </w:r>
          </w:p>
          <w:p w14:paraId="4422F4E8" w14:textId="77777777" w:rsidR="004D0829" w:rsidRPr="000226FE" w:rsidRDefault="004D0829" w:rsidP="00E657D3">
            <w:pPr>
              <w:jc w:val="both"/>
              <w:rPr>
                <w:rFonts w:ascii="Verdana" w:hAnsi="Verdana" w:cs="Arial"/>
              </w:rPr>
            </w:pPr>
            <w:r w:rsidRPr="000226FE">
              <w:rPr>
                <w:rFonts w:ascii="Verdana" w:hAnsi="Verdana" w:cs="Arial"/>
                <w:i/>
                <w:color w:val="808080"/>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tcPr>
          <w:p w14:paraId="0C1A4F9C" w14:textId="77777777" w:rsidR="004D0829" w:rsidRPr="000226FE" w:rsidRDefault="004D0829" w:rsidP="00E657D3">
            <w:pPr>
              <w:jc w:val="center"/>
              <w:rPr>
                <w:rFonts w:ascii="Verdana" w:hAnsi="Verdana" w:cs="Arial"/>
              </w:rPr>
            </w:pPr>
            <w:r w:rsidRPr="000226FE">
              <w:rPr>
                <w:rFonts w:ascii="Verdana" w:hAnsi="Verdana" w:cs="Arial"/>
                <w:iCs/>
              </w:rPr>
              <w:t>N/A</w:t>
            </w:r>
          </w:p>
        </w:tc>
      </w:tr>
      <w:tr w:rsidR="005A2F1E" w:rsidRPr="000226FE" w14:paraId="1232FADE" w14:textId="77777777" w:rsidTr="007A22DE">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2E6CE89" w14:textId="77777777" w:rsidR="004D0829" w:rsidRPr="000226FE" w:rsidRDefault="004D0829" w:rsidP="00E657D3">
            <w:pPr>
              <w:jc w:val="both"/>
              <w:rPr>
                <w:rFonts w:ascii="Verdana" w:hAnsi="Verdana" w:cs="Arial"/>
              </w:rPr>
            </w:pPr>
            <w:r w:rsidRPr="000226FE">
              <w:rPr>
                <w:rFonts w:ascii="Verdana" w:hAnsi="Verdana" w:cs="Arial"/>
              </w:rPr>
              <w:t xml:space="preserve">Otro </w:t>
            </w:r>
          </w:p>
          <w:p w14:paraId="5B8E22B4" w14:textId="77777777" w:rsidR="004D0829" w:rsidRPr="000226FE" w:rsidRDefault="004D0829" w:rsidP="00E657D3">
            <w:pPr>
              <w:jc w:val="both"/>
              <w:rPr>
                <w:rFonts w:ascii="Verdana" w:hAnsi="Verdana" w:cs="Arial"/>
              </w:rPr>
            </w:pPr>
            <w:r w:rsidRPr="000226FE">
              <w:rPr>
                <w:rFonts w:ascii="Verdana" w:hAnsi="Verdana" w:cs="Arial"/>
                <w:i/>
                <w:color w:val="808080"/>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tcPr>
          <w:p w14:paraId="76D6316C" w14:textId="77777777" w:rsidR="004D0829" w:rsidRPr="000226FE" w:rsidRDefault="004D0829" w:rsidP="00E657D3">
            <w:pPr>
              <w:jc w:val="center"/>
              <w:rPr>
                <w:rFonts w:ascii="Verdana" w:hAnsi="Verdana" w:cs="Arial"/>
              </w:rPr>
            </w:pPr>
            <w:r w:rsidRPr="000226FE">
              <w:rPr>
                <w:rFonts w:ascii="Verdana" w:hAnsi="Verdana" w:cs="Arial"/>
                <w:iCs/>
              </w:rPr>
              <w:t>N/A</w:t>
            </w:r>
          </w:p>
        </w:tc>
      </w:tr>
    </w:tbl>
    <w:p w14:paraId="48CEC93A" w14:textId="77777777" w:rsidR="004D0829" w:rsidRPr="000226FE" w:rsidRDefault="004D0829" w:rsidP="00E657D3">
      <w:pPr>
        <w:ind w:right="-377"/>
        <w:jc w:val="both"/>
        <w:rPr>
          <w:rFonts w:ascii="Verdana" w:hAnsi="Verdana" w:cs="Arial"/>
        </w:rPr>
      </w:pPr>
    </w:p>
    <w:p w14:paraId="400A80D9" w14:textId="77777777" w:rsidR="004D0829" w:rsidRPr="000226FE" w:rsidRDefault="004D0829" w:rsidP="00E657D3">
      <w:pPr>
        <w:ind w:left="-1276" w:right="-377" w:firstLine="283"/>
        <w:jc w:val="both"/>
        <w:rPr>
          <w:rFonts w:ascii="Verdana" w:hAnsi="Verdana" w:cs="Arial"/>
          <w:b/>
        </w:rPr>
      </w:pPr>
      <w:r w:rsidRPr="000226FE">
        <w:rPr>
          <w:rFonts w:ascii="Verdana" w:hAnsi="Verdana" w:cs="Arial"/>
          <w:b/>
        </w:rPr>
        <w:t>Aprobó:</w:t>
      </w:r>
    </w:p>
    <w:p w14:paraId="48F01A65" w14:textId="77777777" w:rsidR="004D0829" w:rsidRPr="000226FE" w:rsidRDefault="004D0829" w:rsidP="002433E5">
      <w:pPr>
        <w:ind w:right="-377"/>
        <w:jc w:val="both"/>
        <w:rPr>
          <w:rFonts w:ascii="Verdana" w:hAnsi="Verdana" w:cs="Arial"/>
          <w:b/>
        </w:rPr>
      </w:pPr>
    </w:p>
    <w:p w14:paraId="3E3171C1" w14:textId="77777777" w:rsidR="004D0829" w:rsidRPr="000226FE" w:rsidRDefault="004D0829" w:rsidP="00E657D3">
      <w:pPr>
        <w:ind w:left="-1276" w:right="-377" w:firstLine="283"/>
        <w:jc w:val="both"/>
        <w:rPr>
          <w:rFonts w:ascii="Verdana" w:hAnsi="Verdana" w:cs="Arial"/>
          <w:b/>
        </w:rPr>
      </w:pPr>
    </w:p>
    <w:p w14:paraId="09E5C385" w14:textId="77777777" w:rsidR="004D0829" w:rsidRPr="000226FE" w:rsidRDefault="004D0829" w:rsidP="00E657D3">
      <w:pPr>
        <w:jc w:val="both"/>
        <w:rPr>
          <w:rFonts w:ascii="Verdana" w:hAnsi="Verdana" w:cs="Arial"/>
          <w:b/>
        </w:rPr>
      </w:pPr>
      <w:r w:rsidRPr="000226FE">
        <w:rPr>
          <w:rFonts w:ascii="Verdana" w:hAnsi="Verdana" w:cs="Arial"/>
          <w:b/>
        </w:rPr>
        <w:t>__________________________________</w:t>
      </w:r>
    </w:p>
    <w:p w14:paraId="4E8A86F4" w14:textId="77777777" w:rsidR="004D0829" w:rsidRPr="000226FE" w:rsidRDefault="004D0829" w:rsidP="00E657D3">
      <w:pPr>
        <w:rPr>
          <w:rFonts w:ascii="Verdana" w:hAnsi="Verdana" w:cs="Arial"/>
          <w:b/>
        </w:rPr>
      </w:pPr>
      <w:r w:rsidRPr="000226FE">
        <w:rPr>
          <w:rFonts w:ascii="Verdana" w:hAnsi="Verdana" w:cs="Arial"/>
          <w:b/>
        </w:rPr>
        <w:t>NELSON ALIRIO MUÑOZ LEGUIZAMON</w:t>
      </w:r>
    </w:p>
    <w:p w14:paraId="33681CFA" w14:textId="77777777" w:rsidR="004D0829" w:rsidRPr="000226FE" w:rsidRDefault="004D0829" w:rsidP="00E657D3">
      <w:pPr>
        <w:rPr>
          <w:rFonts w:ascii="Verdana" w:hAnsi="Verdana" w:cs="Arial"/>
          <w:bCs/>
        </w:rPr>
      </w:pPr>
      <w:r w:rsidRPr="000226FE">
        <w:rPr>
          <w:rFonts w:ascii="Verdana" w:hAnsi="Verdana" w:cs="Arial"/>
          <w:bCs/>
        </w:rPr>
        <w:t>Jefe Oficina Asesora Jurídica</w:t>
      </w:r>
    </w:p>
    <w:p w14:paraId="3C2C7099" w14:textId="77777777" w:rsidR="004D0829" w:rsidRPr="000226FE" w:rsidRDefault="004D0829" w:rsidP="00E657D3">
      <w:pPr>
        <w:rPr>
          <w:rFonts w:ascii="Verdana" w:hAnsi="Verdana" w:cs="Arial"/>
          <w:bCs/>
        </w:rPr>
      </w:pPr>
      <w:r w:rsidRPr="000226FE">
        <w:rPr>
          <w:rFonts w:ascii="Verdana" w:hAnsi="Verdana" w:cs="Arial"/>
          <w:bCs/>
        </w:rPr>
        <w:t>Ministerio de Vivienda, Ciudad y Territorio</w:t>
      </w:r>
    </w:p>
    <w:p w14:paraId="0FE865E4" w14:textId="77777777" w:rsidR="004D0829" w:rsidRPr="000226FE" w:rsidRDefault="004D0829" w:rsidP="00E657D3">
      <w:pPr>
        <w:rPr>
          <w:rFonts w:ascii="Verdana" w:hAnsi="Verdana" w:cs="Arial"/>
          <w:b/>
        </w:rPr>
      </w:pPr>
    </w:p>
    <w:p w14:paraId="321E4B8D" w14:textId="77777777" w:rsidR="00692086" w:rsidRPr="000226FE" w:rsidRDefault="00692086" w:rsidP="00E657D3">
      <w:pPr>
        <w:rPr>
          <w:rFonts w:ascii="Verdana" w:hAnsi="Verdana" w:cs="Arial"/>
          <w:b/>
        </w:rPr>
      </w:pPr>
    </w:p>
    <w:p w14:paraId="61999A2B" w14:textId="77777777" w:rsidR="004D0829" w:rsidRDefault="004D0829" w:rsidP="00E657D3">
      <w:pPr>
        <w:rPr>
          <w:rFonts w:ascii="Verdana" w:hAnsi="Verdana" w:cs="Arial"/>
          <w:b/>
        </w:rPr>
      </w:pPr>
    </w:p>
    <w:p w14:paraId="79CADC59" w14:textId="77777777" w:rsidR="00A363F3" w:rsidRPr="000226FE" w:rsidRDefault="00A363F3" w:rsidP="00E657D3">
      <w:pPr>
        <w:rPr>
          <w:rFonts w:ascii="Verdana" w:hAnsi="Verdana" w:cs="Arial"/>
          <w:b/>
        </w:rPr>
      </w:pPr>
    </w:p>
    <w:p w14:paraId="3D46A143" w14:textId="77777777" w:rsidR="004D0829" w:rsidRPr="000226FE" w:rsidRDefault="004D0829" w:rsidP="00E657D3">
      <w:pPr>
        <w:jc w:val="both"/>
        <w:rPr>
          <w:rFonts w:ascii="Verdana" w:hAnsi="Verdana" w:cs="Arial"/>
          <w:b/>
        </w:rPr>
      </w:pPr>
      <w:r w:rsidRPr="000226FE">
        <w:rPr>
          <w:rFonts w:ascii="Verdana" w:hAnsi="Verdana" w:cs="Arial"/>
          <w:b/>
        </w:rPr>
        <w:t>__________________________________</w:t>
      </w:r>
    </w:p>
    <w:p w14:paraId="0613020F" w14:textId="7294D5E8" w:rsidR="00483A1C" w:rsidRPr="000226FE" w:rsidRDefault="00483A1C" w:rsidP="00E657D3">
      <w:pPr>
        <w:rPr>
          <w:rFonts w:ascii="Verdana" w:hAnsi="Verdana" w:cs="Arial"/>
          <w:b/>
        </w:rPr>
      </w:pPr>
      <w:r w:rsidRPr="000226FE">
        <w:rPr>
          <w:rFonts w:ascii="Verdana" w:hAnsi="Verdana" w:cs="Arial"/>
          <w:b/>
        </w:rPr>
        <w:t>SANDRA TIBAMOSCA VILLAMARIN</w:t>
      </w:r>
    </w:p>
    <w:p w14:paraId="3934ABE2" w14:textId="7E906F83" w:rsidR="004D0829" w:rsidRPr="000226FE" w:rsidRDefault="00620DCE" w:rsidP="00E657D3">
      <w:pPr>
        <w:rPr>
          <w:rFonts w:ascii="Verdana" w:hAnsi="Verdana" w:cs="Arial"/>
          <w:bCs/>
        </w:rPr>
      </w:pPr>
      <w:r w:rsidRPr="000226FE">
        <w:rPr>
          <w:rFonts w:ascii="Verdana" w:hAnsi="Verdana" w:cs="Arial"/>
          <w:bCs/>
        </w:rPr>
        <w:t>Director</w:t>
      </w:r>
      <w:r w:rsidR="004D0829" w:rsidRPr="000226FE">
        <w:rPr>
          <w:rFonts w:ascii="Verdana" w:hAnsi="Verdana" w:cs="Arial"/>
          <w:bCs/>
        </w:rPr>
        <w:t xml:space="preserve"> del Sistema Habitacional </w:t>
      </w:r>
    </w:p>
    <w:p w14:paraId="34B2CDA7" w14:textId="77777777" w:rsidR="004D0829" w:rsidRPr="000226FE" w:rsidRDefault="004D0829" w:rsidP="00E657D3">
      <w:pPr>
        <w:rPr>
          <w:rFonts w:ascii="Verdana" w:hAnsi="Verdana" w:cs="Arial"/>
          <w:bCs/>
        </w:rPr>
      </w:pPr>
      <w:r w:rsidRPr="000226FE">
        <w:rPr>
          <w:rFonts w:ascii="Verdana" w:hAnsi="Verdana" w:cs="Arial"/>
          <w:bCs/>
        </w:rPr>
        <w:t>Ministerio de Vivienda, Ciudad y Territorio</w:t>
      </w:r>
    </w:p>
    <w:p w14:paraId="4158C9E0" w14:textId="77777777" w:rsidR="00692086" w:rsidRDefault="00692086" w:rsidP="00E657D3">
      <w:pPr>
        <w:rPr>
          <w:rFonts w:ascii="Verdana" w:hAnsi="Verdana" w:cs="Arial"/>
          <w:b/>
        </w:rPr>
      </w:pPr>
    </w:p>
    <w:p w14:paraId="7EBA51BB" w14:textId="77777777" w:rsidR="00A363F3" w:rsidRDefault="00A363F3" w:rsidP="00E657D3">
      <w:pPr>
        <w:rPr>
          <w:rFonts w:ascii="Verdana" w:hAnsi="Verdana" w:cs="Arial"/>
          <w:b/>
        </w:rPr>
      </w:pPr>
    </w:p>
    <w:p w14:paraId="6E586272" w14:textId="77777777" w:rsidR="00A363F3" w:rsidRPr="000226FE" w:rsidRDefault="00A363F3" w:rsidP="00E657D3">
      <w:pPr>
        <w:rPr>
          <w:rFonts w:ascii="Verdana" w:hAnsi="Verdana" w:cs="Arial"/>
          <w:b/>
        </w:rPr>
      </w:pPr>
    </w:p>
    <w:p w14:paraId="2C785901" w14:textId="77777777" w:rsidR="00692086" w:rsidRPr="000226FE" w:rsidRDefault="00692086" w:rsidP="00E657D3">
      <w:pPr>
        <w:rPr>
          <w:rFonts w:ascii="Verdana" w:hAnsi="Verdana" w:cs="Arial"/>
          <w:b/>
        </w:rPr>
      </w:pPr>
    </w:p>
    <w:p w14:paraId="53886EB2" w14:textId="77777777" w:rsidR="004D0829" w:rsidRPr="000226FE" w:rsidRDefault="004D0829" w:rsidP="00E657D3">
      <w:pPr>
        <w:jc w:val="both"/>
        <w:rPr>
          <w:rFonts w:ascii="Verdana" w:hAnsi="Verdana" w:cs="Arial"/>
          <w:b/>
        </w:rPr>
      </w:pPr>
      <w:r w:rsidRPr="000226FE">
        <w:rPr>
          <w:rFonts w:ascii="Verdana" w:hAnsi="Verdana" w:cs="Arial"/>
          <w:b/>
        </w:rPr>
        <w:t>__________________________________</w:t>
      </w:r>
    </w:p>
    <w:p w14:paraId="340B85CC" w14:textId="77777777" w:rsidR="004D0829" w:rsidRPr="000226FE" w:rsidRDefault="004D0829" w:rsidP="00E657D3">
      <w:pPr>
        <w:rPr>
          <w:rFonts w:ascii="Verdana" w:hAnsi="Verdana" w:cs="Arial"/>
          <w:b/>
        </w:rPr>
      </w:pPr>
      <w:r w:rsidRPr="000226FE">
        <w:rPr>
          <w:rFonts w:ascii="Verdana" w:hAnsi="Verdana" w:cs="Arial"/>
          <w:b/>
        </w:rPr>
        <w:t>DANIEL EDUARDO CONTRERAS CASTRO</w:t>
      </w:r>
    </w:p>
    <w:p w14:paraId="3918A280" w14:textId="77777777" w:rsidR="004D0829" w:rsidRPr="000226FE" w:rsidRDefault="004D0829" w:rsidP="00E657D3">
      <w:pPr>
        <w:rPr>
          <w:rFonts w:ascii="Verdana" w:hAnsi="Verdana" w:cs="Arial"/>
          <w:bCs/>
        </w:rPr>
      </w:pPr>
      <w:r w:rsidRPr="000226FE">
        <w:rPr>
          <w:rFonts w:ascii="Verdana" w:hAnsi="Verdana" w:cs="Arial"/>
          <w:bCs/>
        </w:rPr>
        <w:t>Director de Vivienda Rural</w:t>
      </w:r>
    </w:p>
    <w:p w14:paraId="011ED59B" w14:textId="77777777" w:rsidR="004D0829" w:rsidRPr="000226FE" w:rsidRDefault="004D0829" w:rsidP="00E657D3">
      <w:pPr>
        <w:rPr>
          <w:rFonts w:ascii="Verdana" w:hAnsi="Verdana" w:cs="Arial"/>
          <w:bCs/>
        </w:rPr>
      </w:pPr>
      <w:r w:rsidRPr="000226FE">
        <w:rPr>
          <w:rFonts w:ascii="Verdana" w:hAnsi="Verdana" w:cs="Arial"/>
          <w:bCs/>
        </w:rPr>
        <w:t>Ministerio de Vivienda, Ciudad y Territorio</w:t>
      </w:r>
    </w:p>
    <w:p w14:paraId="01CA8803" w14:textId="77777777" w:rsidR="00D1267C" w:rsidRPr="000226FE" w:rsidRDefault="00D1267C" w:rsidP="00E657D3">
      <w:pPr>
        <w:rPr>
          <w:rFonts w:ascii="Verdana" w:hAnsi="Verdana" w:cs="Arial"/>
          <w:bCs/>
        </w:rPr>
      </w:pPr>
    </w:p>
    <w:p w14:paraId="074E4596" w14:textId="77777777" w:rsidR="00692086" w:rsidRPr="000226FE" w:rsidRDefault="00692086" w:rsidP="00E657D3">
      <w:pPr>
        <w:rPr>
          <w:rFonts w:ascii="Verdana" w:hAnsi="Verdana" w:cs="Arial"/>
          <w:bCs/>
        </w:rPr>
      </w:pPr>
    </w:p>
    <w:sectPr w:rsidR="00692086" w:rsidRPr="000226FE" w:rsidSect="00ED079E">
      <w:headerReference w:type="default" r:id="rId8"/>
      <w:footerReference w:type="default" r:id="rId9"/>
      <w:headerReference w:type="first" r:id="rId10"/>
      <w:pgSz w:w="12240" w:h="18720" w:code="14"/>
      <w:pgMar w:top="1417" w:right="1701" w:bottom="1417" w:left="1701" w:header="57" w:footer="73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B6C76" w14:textId="77777777" w:rsidR="003B0B0C" w:rsidRDefault="003B0B0C">
      <w:r>
        <w:separator/>
      </w:r>
    </w:p>
  </w:endnote>
  <w:endnote w:type="continuationSeparator" w:id="0">
    <w:p w14:paraId="2A02B55A" w14:textId="77777777" w:rsidR="003B0B0C" w:rsidRDefault="003B0B0C">
      <w:r>
        <w:continuationSeparator/>
      </w:r>
    </w:p>
  </w:endnote>
  <w:endnote w:type="continuationNotice" w:id="1">
    <w:p w14:paraId="5F9FDDD3" w14:textId="77777777" w:rsidR="003B0B0C" w:rsidRDefault="003B0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A887B" w14:textId="4BE68B2A" w:rsidR="00015820" w:rsidRPr="00F600DB" w:rsidRDefault="00015820">
    <w:pPr>
      <w:pStyle w:val="Piedepgina"/>
      <w:jc w:val="right"/>
      <w:rPr>
        <w:sz w:val="16"/>
        <w:szCs w:val="16"/>
      </w:rPr>
    </w:pPr>
    <w:r w:rsidRPr="00F600DB">
      <w:rPr>
        <w:sz w:val="16"/>
        <w:szCs w:val="16"/>
      </w:rPr>
      <w:t xml:space="preserve">Página </w:t>
    </w:r>
    <w:r w:rsidRPr="00F600DB">
      <w:rPr>
        <w:b/>
        <w:bCs/>
        <w:sz w:val="16"/>
        <w:szCs w:val="16"/>
      </w:rPr>
      <w:fldChar w:fldCharType="begin"/>
    </w:r>
    <w:r w:rsidRPr="00F600DB">
      <w:rPr>
        <w:b/>
        <w:bCs/>
        <w:sz w:val="16"/>
        <w:szCs w:val="16"/>
      </w:rPr>
      <w:instrText>PAGE</w:instrText>
    </w:r>
    <w:r w:rsidRPr="00F600DB">
      <w:rPr>
        <w:b/>
        <w:bCs/>
        <w:sz w:val="16"/>
        <w:szCs w:val="16"/>
      </w:rPr>
      <w:fldChar w:fldCharType="separate"/>
    </w:r>
    <w:r w:rsidR="0090765A">
      <w:rPr>
        <w:b/>
        <w:bCs/>
        <w:noProof/>
        <w:sz w:val="16"/>
        <w:szCs w:val="16"/>
      </w:rPr>
      <w:t>10</w:t>
    </w:r>
    <w:r w:rsidRPr="00F600DB">
      <w:rPr>
        <w:b/>
        <w:bCs/>
        <w:sz w:val="16"/>
        <w:szCs w:val="16"/>
      </w:rPr>
      <w:fldChar w:fldCharType="end"/>
    </w:r>
    <w:r w:rsidRPr="00F600DB">
      <w:rPr>
        <w:sz w:val="16"/>
        <w:szCs w:val="16"/>
      </w:rPr>
      <w:t xml:space="preserve"> de </w:t>
    </w:r>
    <w:r w:rsidRPr="00F600DB">
      <w:rPr>
        <w:b/>
        <w:bCs/>
        <w:sz w:val="16"/>
        <w:szCs w:val="16"/>
      </w:rPr>
      <w:fldChar w:fldCharType="begin"/>
    </w:r>
    <w:r w:rsidRPr="00F600DB">
      <w:rPr>
        <w:b/>
        <w:bCs/>
        <w:sz w:val="16"/>
        <w:szCs w:val="16"/>
      </w:rPr>
      <w:instrText>NUMPAGES</w:instrText>
    </w:r>
    <w:r w:rsidRPr="00F600DB">
      <w:rPr>
        <w:b/>
        <w:bCs/>
        <w:sz w:val="16"/>
        <w:szCs w:val="16"/>
      </w:rPr>
      <w:fldChar w:fldCharType="separate"/>
    </w:r>
    <w:r w:rsidR="0090765A">
      <w:rPr>
        <w:b/>
        <w:bCs/>
        <w:noProof/>
        <w:sz w:val="16"/>
        <w:szCs w:val="16"/>
      </w:rPr>
      <w:t>10</w:t>
    </w:r>
    <w:r w:rsidRPr="00F600DB">
      <w:rPr>
        <w:b/>
        <w:bCs/>
        <w:sz w:val="16"/>
        <w:szCs w:val="16"/>
      </w:rPr>
      <w:fldChar w:fldCharType="end"/>
    </w:r>
  </w:p>
  <w:p w14:paraId="16129C12" w14:textId="77777777" w:rsidR="00015820" w:rsidRPr="0084294E" w:rsidRDefault="00015820">
    <w:pPr>
      <w:pStyle w:val="Piedepgina"/>
      <w:jc w:val="center"/>
      <w:rPr>
        <w:sz w:val="18"/>
        <w:szCs w:val="18"/>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E584A" w14:textId="77777777" w:rsidR="003B0B0C" w:rsidRDefault="003B0B0C">
      <w:r>
        <w:separator/>
      </w:r>
    </w:p>
  </w:footnote>
  <w:footnote w:type="continuationSeparator" w:id="0">
    <w:p w14:paraId="0F46749F" w14:textId="77777777" w:rsidR="003B0B0C" w:rsidRDefault="003B0B0C">
      <w:r>
        <w:continuationSeparator/>
      </w:r>
    </w:p>
  </w:footnote>
  <w:footnote w:type="continuationNotice" w:id="1">
    <w:p w14:paraId="707F9EA8" w14:textId="77777777" w:rsidR="003B0B0C" w:rsidRDefault="003B0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0027F" w14:textId="77777777" w:rsidR="00015820" w:rsidRDefault="00015820">
    <w:pPr>
      <w:pStyle w:val="Encabezado"/>
    </w:pPr>
  </w:p>
  <w:p w14:paraId="360C8B91" w14:textId="77777777" w:rsidR="00015820" w:rsidRDefault="00015820">
    <w:pPr>
      <w:pStyle w:val="Encabezado"/>
      <w:rPr>
        <w:noProof/>
      </w:rPr>
    </w:pPr>
    <w:r>
      <w:rPr>
        <w:noProof/>
        <w:lang w:val="en-US" w:eastAsia="en-US"/>
      </w:rPr>
      <w:drawing>
        <wp:anchor distT="0" distB="0" distL="114300" distR="114300" simplePos="0" relativeHeight="251658243" behindDoc="0" locked="0" layoutInCell="1" allowOverlap="1" wp14:anchorId="7A4BD07D" wp14:editId="498A3403">
          <wp:simplePos x="0" y="0"/>
          <wp:positionH relativeFrom="page">
            <wp:posOffset>5080</wp:posOffset>
          </wp:positionH>
          <wp:positionV relativeFrom="paragraph">
            <wp:posOffset>-311785</wp:posOffset>
          </wp:positionV>
          <wp:extent cx="5612130" cy="720725"/>
          <wp:effectExtent l="0" t="0" r="0" b="3175"/>
          <wp:wrapNone/>
          <wp:docPr id="60075178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561213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313D1" w14:textId="77777777" w:rsidR="00015820" w:rsidRDefault="00015820">
    <w:pPr>
      <w:pStyle w:val="Encabezado"/>
      <w:rPr>
        <w:noProof/>
      </w:rPr>
    </w:pPr>
  </w:p>
  <w:p w14:paraId="002C001D" w14:textId="77777777" w:rsidR="00015820" w:rsidRDefault="00015820">
    <w:pPr>
      <w:pStyle w:val="Encabezado"/>
      <w:rPr>
        <w:noProof/>
      </w:rPr>
    </w:pPr>
  </w:p>
  <w:p w14:paraId="330CFB14" w14:textId="77777777" w:rsidR="00015820" w:rsidRDefault="00015820">
    <w:pPr>
      <w:pStyle w:val="TableParagraph"/>
      <w:spacing w:before="89" w:line="237" w:lineRule="auto"/>
      <w:ind w:right="57"/>
      <w:jc w:val="center"/>
      <w:rPr>
        <w:rFonts w:ascii="Verdana" w:hAnsi="Verdana"/>
        <w:bCs/>
        <w:spacing w:val="-1"/>
      </w:rPr>
    </w:pPr>
    <w:r>
      <w:rPr>
        <w:noProof/>
        <w:lang w:val="en-US"/>
      </w:rPr>
      <mc:AlternateContent>
        <mc:Choice Requires="wps">
          <w:drawing>
            <wp:anchor distT="4294967295" distB="4294967295" distL="114300" distR="114300" simplePos="0" relativeHeight="251658242" behindDoc="0" locked="0" layoutInCell="1" allowOverlap="1" wp14:anchorId="55FA2072" wp14:editId="77BB8895">
              <wp:simplePos x="0" y="0"/>
              <wp:positionH relativeFrom="column">
                <wp:posOffset>-118110</wp:posOffset>
              </wp:positionH>
              <wp:positionV relativeFrom="paragraph">
                <wp:posOffset>266699</wp:posOffset>
              </wp:positionV>
              <wp:extent cx="5937885" cy="0"/>
              <wp:effectExtent l="0" t="0" r="0" b="0"/>
              <wp:wrapNone/>
              <wp:docPr id="1838437741"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9F776B" id="Conector recto 6"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1408FDFE" w14:textId="77777777" w:rsidR="00015820" w:rsidRPr="00A34631" w:rsidRDefault="00015820">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3804C554" w14:textId="77777777" w:rsidR="00015820" w:rsidRPr="00A34631" w:rsidRDefault="00015820">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Pr>
        <w:rFonts w:ascii="Verdana" w:hAnsi="Verdana"/>
        <w:spacing w:val="1"/>
        <w:sz w:val="22"/>
        <w:szCs w:val="22"/>
      </w:rPr>
      <w:t>VIVIENDA</w:t>
    </w:r>
  </w:p>
  <w:p w14:paraId="2A12E901" w14:textId="77777777" w:rsidR="00015820" w:rsidRPr="006512F3" w:rsidRDefault="00015820">
    <w:pPr>
      <w:widowControl w:val="0"/>
      <w:autoSpaceDE w:val="0"/>
      <w:autoSpaceDN w:val="0"/>
      <w:ind w:left="118"/>
      <w:jc w:val="center"/>
      <w:rPr>
        <w:rFonts w:ascii="Verdana" w:hAnsi="Verdana"/>
        <w:sz w:val="22"/>
        <w:szCs w:val="22"/>
      </w:rPr>
    </w:pPr>
    <w:r w:rsidRPr="00BA6D7F">
      <w:rPr>
        <w:rFonts w:ascii="Verdana" w:hAnsi="Verdana"/>
        <w:sz w:val="22"/>
        <w:szCs w:val="22"/>
      </w:rPr>
      <w:t>Versión: 6.0, Fecha: 05/06/2023, Código: GPV-F-</w:t>
    </w:r>
    <w:r w:rsidRPr="006512F3">
      <w:rPr>
        <w:rFonts w:ascii="Verdana" w:hAnsi="Verdana"/>
        <w:sz w:val="22"/>
        <w:szCs w:val="22"/>
      </w:rPr>
      <w:t>1</w:t>
    </w:r>
    <w:r>
      <w:rPr>
        <w:rFonts w:ascii="Verdana" w:hAnsi="Verdana"/>
        <w:sz w:val="22"/>
        <w:szCs w:val="22"/>
      </w:rPr>
      <w:t>9</w:t>
    </w:r>
  </w:p>
  <w:p w14:paraId="32819BC3" w14:textId="77777777" w:rsidR="00015820" w:rsidRDefault="00015820">
    <w:pPr>
      <w:pStyle w:val="Encabezado"/>
      <w:tabs>
        <w:tab w:val="clear" w:pos="4252"/>
        <w:tab w:val="clear" w:pos="8504"/>
        <w:tab w:val="center" w:pos="4394"/>
      </w:tabs>
      <w:ind w:left="-1701" w:right="-1652"/>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27EF" w14:textId="77777777" w:rsidR="00015820" w:rsidRDefault="00015820">
    <w:pPr>
      <w:pStyle w:val="Encabezado"/>
      <w:rPr>
        <w:noProof/>
      </w:rPr>
    </w:pPr>
    <w:r>
      <w:rPr>
        <w:noProof/>
        <w:lang w:val="en-US" w:eastAsia="en-US"/>
      </w:rPr>
      <w:drawing>
        <wp:anchor distT="0" distB="0" distL="114300" distR="114300" simplePos="0" relativeHeight="251658241" behindDoc="0" locked="0" layoutInCell="1" allowOverlap="1" wp14:anchorId="7073ADCB" wp14:editId="20DF33B8">
          <wp:simplePos x="0" y="0"/>
          <wp:positionH relativeFrom="page">
            <wp:posOffset>5080</wp:posOffset>
          </wp:positionH>
          <wp:positionV relativeFrom="paragraph">
            <wp:posOffset>-311785</wp:posOffset>
          </wp:positionV>
          <wp:extent cx="5612130" cy="720725"/>
          <wp:effectExtent l="0" t="0" r="0" b="3175"/>
          <wp:wrapNone/>
          <wp:docPr id="9411546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42577239"/>
                  <pic:cNvPicPr>
                    <a:picLocks noChangeAspect="1" noChangeArrowheads="1"/>
                  </pic:cNvPicPr>
                </pic:nvPicPr>
                <pic:blipFill>
                  <a:blip r:embed="rId1">
                    <a:extLst>
                      <a:ext uri="{28A0092B-C50C-407E-A947-70E740481C1C}">
                        <a14:useLocalDpi xmlns:a14="http://schemas.microsoft.com/office/drawing/2010/main" val="0"/>
                      </a:ext>
                    </a:extLst>
                  </a:blip>
                  <a:srcRect b="90070"/>
                  <a:stretch>
                    <a:fillRect/>
                  </a:stretch>
                </pic:blipFill>
                <pic:spPr bwMode="auto">
                  <a:xfrm>
                    <a:off x="0" y="0"/>
                    <a:ext cx="561213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83D6DD" w14:textId="77777777" w:rsidR="00015820" w:rsidRDefault="00015820">
    <w:pPr>
      <w:pStyle w:val="Encabezado"/>
      <w:rPr>
        <w:noProof/>
      </w:rPr>
    </w:pPr>
  </w:p>
  <w:p w14:paraId="7CD6AA5B" w14:textId="77777777" w:rsidR="00015820" w:rsidRDefault="00015820">
    <w:pPr>
      <w:pStyle w:val="Encabezado"/>
      <w:rPr>
        <w:noProof/>
      </w:rPr>
    </w:pPr>
  </w:p>
  <w:p w14:paraId="52526F9A" w14:textId="77777777" w:rsidR="00015820" w:rsidRDefault="00015820">
    <w:pPr>
      <w:pStyle w:val="TableParagraph"/>
      <w:spacing w:before="89" w:line="237" w:lineRule="auto"/>
      <w:ind w:right="57"/>
      <w:jc w:val="center"/>
      <w:rPr>
        <w:rFonts w:ascii="Verdana" w:hAnsi="Verdana"/>
        <w:bCs/>
        <w:spacing w:val="-1"/>
      </w:rPr>
    </w:pPr>
    <w:r>
      <w:rPr>
        <w:noProof/>
        <w:lang w:val="en-US"/>
      </w:rPr>
      <mc:AlternateContent>
        <mc:Choice Requires="wps">
          <w:drawing>
            <wp:anchor distT="4294967295" distB="4294967295" distL="114300" distR="114300" simplePos="0" relativeHeight="251658240" behindDoc="0" locked="0" layoutInCell="1" allowOverlap="1" wp14:anchorId="2DCFCDC5" wp14:editId="1815D3B0">
              <wp:simplePos x="0" y="0"/>
              <wp:positionH relativeFrom="column">
                <wp:posOffset>-118110</wp:posOffset>
              </wp:positionH>
              <wp:positionV relativeFrom="paragraph">
                <wp:posOffset>266699</wp:posOffset>
              </wp:positionV>
              <wp:extent cx="5937885" cy="0"/>
              <wp:effectExtent l="0" t="0" r="0" b="0"/>
              <wp:wrapNone/>
              <wp:docPr id="2034282862"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8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1184C0" id="Conector recto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pt,21pt" to="458.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" strokecolor="windowText" strokeweight=".5pt">
              <v:stroke joinstyle="miter"/>
              <o:lock v:ext="edit" shapetype="f"/>
            </v:line>
          </w:pict>
        </mc:Fallback>
      </mc:AlternateContent>
    </w:r>
  </w:p>
  <w:p w14:paraId="3F903B3D" w14:textId="77777777" w:rsidR="00015820" w:rsidRPr="00A34631" w:rsidRDefault="00015820">
    <w:pPr>
      <w:pStyle w:val="TableParagraph"/>
      <w:spacing w:before="89" w:line="237" w:lineRule="auto"/>
      <w:ind w:right="57"/>
      <w:jc w:val="center"/>
      <w:rPr>
        <w:rFonts w:ascii="Verdana" w:eastAsia="Times New Roman" w:hAnsi="Verdana" w:cs="Times New Roman"/>
        <w:lang w:val="es-CO" w:eastAsia="es-ES"/>
      </w:rPr>
    </w:pPr>
    <w:r>
      <w:rPr>
        <w:rFonts w:ascii="Verdana" w:hAnsi="Verdana"/>
        <w:bCs/>
        <w:spacing w:val="-1"/>
      </w:rPr>
      <w:t xml:space="preserve">FORMATO: </w:t>
    </w:r>
    <w:r w:rsidRPr="006512F3">
      <w:rPr>
        <w:rFonts w:ascii="Verdana" w:hAnsi="Verdana"/>
        <w:bCs/>
        <w:spacing w:val="-1"/>
      </w:rPr>
      <w:t>MEMORIA JUSTIFICATIVA</w:t>
    </w:r>
  </w:p>
  <w:p w14:paraId="1B3D7A44" w14:textId="77777777" w:rsidR="00015820" w:rsidRPr="00A34631" w:rsidRDefault="00015820">
    <w:pPr>
      <w:widowControl w:val="0"/>
      <w:autoSpaceDE w:val="0"/>
      <w:autoSpaceDN w:val="0"/>
      <w:ind w:left="118"/>
      <w:jc w:val="center"/>
      <w:rPr>
        <w:rFonts w:ascii="Verdana" w:hAnsi="Verdana"/>
        <w:sz w:val="22"/>
        <w:szCs w:val="22"/>
      </w:rPr>
    </w:pPr>
    <w:r w:rsidRPr="00A34631">
      <w:rPr>
        <w:rFonts w:ascii="Verdana" w:hAnsi="Verdana"/>
        <w:sz w:val="22"/>
        <w:szCs w:val="22"/>
      </w:rPr>
      <w:t>PROCESO: GESTIÓN A LA POLÍTICA</w:t>
    </w:r>
    <w:r w:rsidRPr="00A34631">
      <w:rPr>
        <w:rFonts w:ascii="Verdana" w:hAnsi="Verdana"/>
        <w:spacing w:val="1"/>
        <w:sz w:val="22"/>
        <w:szCs w:val="22"/>
      </w:rPr>
      <w:t xml:space="preserve"> </w:t>
    </w:r>
    <w:r w:rsidRPr="00A34631">
      <w:rPr>
        <w:rFonts w:ascii="Verdana" w:hAnsi="Verdana"/>
        <w:sz w:val="22"/>
        <w:szCs w:val="22"/>
      </w:rPr>
      <w:t>DE</w:t>
    </w:r>
    <w:r w:rsidRPr="00A34631">
      <w:rPr>
        <w:rFonts w:ascii="Verdana" w:hAnsi="Verdana"/>
        <w:spacing w:val="1"/>
        <w:sz w:val="22"/>
        <w:szCs w:val="22"/>
      </w:rPr>
      <w:t xml:space="preserve"> </w:t>
    </w:r>
    <w:r>
      <w:rPr>
        <w:rFonts w:ascii="Verdana" w:hAnsi="Verdana"/>
        <w:spacing w:val="1"/>
        <w:sz w:val="22"/>
        <w:szCs w:val="22"/>
      </w:rPr>
      <w:t>VIVIENDA</w:t>
    </w:r>
  </w:p>
  <w:p w14:paraId="208833C9" w14:textId="77777777" w:rsidR="00015820" w:rsidRPr="006512F3" w:rsidRDefault="00015820">
    <w:pPr>
      <w:widowControl w:val="0"/>
      <w:autoSpaceDE w:val="0"/>
      <w:autoSpaceDN w:val="0"/>
      <w:ind w:left="118"/>
      <w:jc w:val="center"/>
      <w:rPr>
        <w:rFonts w:ascii="Verdana" w:hAnsi="Verdana"/>
        <w:sz w:val="22"/>
        <w:szCs w:val="22"/>
      </w:rPr>
    </w:pPr>
    <w:r w:rsidRPr="00C254DA">
      <w:rPr>
        <w:rFonts w:ascii="Verdana" w:hAnsi="Verdana"/>
        <w:sz w:val="22"/>
        <w:szCs w:val="22"/>
      </w:rPr>
      <w:t>Versión: 6.0, Fecha: 05/06/2023, Código:</w:t>
    </w:r>
    <w:r w:rsidRPr="00A34631">
      <w:rPr>
        <w:rFonts w:ascii="Verdana" w:hAnsi="Verdana"/>
        <w:sz w:val="22"/>
        <w:szCs w:val="22"/>
      </w:rPr>
      <w:t xml:space="preserve"> </w:t>
    </w:r>
    <w:r w:rsidRPr="006512F3">
      <w:rPr>
        <w:rFonts w:ascii="Verdana" w:hAnsi="Verdana"/>
        <w:sz w:val="22"/>
        <w:szCs w:val="22"/>
      </w:rPr>
      <w:t>GP</w:t>
    </w:r>
    <w:r>
      <w:rPr>
        <w:rFonts w:ascii="Verdana" w:hAnsi="Verdana"/>
        <w:sz w:val="22"/>
        <w:szCs w:val="22"/>
      </w:rPr>
      <w:t>V</w:t>
    </w:r>
    <w:r w:rsidRPr="006512F3">
      <w:rPr>
        <w:rFonts w:ascii="Verdana" w:hAnsi="Verdana"/>
        <w:sz w:val="22"/>
        <w:szCs w:val="22"/>
      </w:rPr>
      <w:t>-F-1</w:t>
    </w:r>
    <w:r>
      <w:rPr>
        <w:rFonts w:ascii="Verdana" w:hAnsi="Verdana"/>
        <w:sz w:val="22"/>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E359C"/>
    <w:multiLevelType w:val="hybridMultilevel"/>
    <w:tmpl w:val="B3009C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C8D575C"/>
    <w:multiLevelType w:val="multilevel"/>
    <w:tmpl w:val="9CB2F022"/>
    <w:lvl w:ilvl="0">
      <w:start w:val="1"/>
      <w:numFmt w:val="decimal"/>
      <w:lvlText w:val="%1."/>
      <w:lvlJc w:val="left"/>
      <w:pPr>
        <w:ind w:left="720" w:hanging="360"/>
      </w:pPr>
      <w:rPr>
        <w:rFonts w:hint="default"/>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1E85EEF"/>
    <w:multiLevelType w:val="hybridMultilevel"/>
    <w:tmpl w:val="39CA6E56"/>
    <w:lvl w:ilvl="0" w:tplc="1388CBD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52B5748"/>
    <w:multiLevelType w:val="hybridMultilevel"/>
    <w:tmpl w:val="5BC891F4"/>
    <w:lvl w:ilvl="0" w:tplc="EA184F50">
      <w:start w:val="3"/>
      <w:numFmt w:val="bullet"/>
      <w:lvlText w:val="-"/>
      <w:lvlJc w:val="left"/>
      <w:pPr>
        <w:ind w:left="720" w:hanging="360"/>
      </w:pPr>
      <w:rPr>
        <w:rFonts w:ascii="Verdana" w:eastAsia="Times New Roman" w:hAnsi="Verdana" w:cs="Times New Roman" w:hint="default"/>
        <w:b/>
        <w:bC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4649441">
    <w:abstractNumId w:val="1"/>
  </w:num>
  <w:num w:numId="2" w16cid:durableId="476145286">
    <w:abstractNumId w:val="0"/>
  </w:num>
  <w:num w:numId="3" w16cid:durableId="725104956">
    <w:abstractNumId w:val="2"/>
  </w:num>
  <w:num w:numId="4" w16cid:durableId="447353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29"/>
    <w:rsid w:val="00007F6F"/>
    <w:rsid w:val="0001210D"/>
    <w:rsid w:val="00012523"/>
    <w:rsid w:val="0001269F"/>
    <w:rsid w:val="00015820"/>
    <w:rsid w:val="000171D0"/>
    <w:rsid w:val="000226FE"/>
    <w:rsid w:val="0003112B"/>
    <w:rsid w:val="00052496"/>
    <w:rsid w:val="00053C65"/>
    <w:rsid w:val="000550EB"/>
    <w:rsid w:val="00055505"/>
    <w:rsid w:val="000631E0"/>
    <w:rsid w:val="000647BE"/>
    <w:rsid w:val="00070319"/>
    <w:rsid w:val="00071B77"/>
    <w:rsid w:val="00082DBA"/>
    <w:rsid w:val="00083FFD"/>
    <w:rsid w:val="00084599"/>
    <w:rsid w:val="00085204"/>
    <w:rsid w:val="000908E2"/>
    <w:rsid w:val="000A40A8"/>
    <w:rsid w:val="000A4BB3"/>
    <w:rsid w:val="000A5246"/>
    <w:rsid w:val="000A63C0"/>
    <w:rsid w:val="000B22C7"/>
    <w:rsid w:val="000C7D09"/>
    <w:rsid w:val="000D63F1"/>
    <w:rsid w:val="000E4D85"/>
    <w:rsid w:val="000E71B7"/>
    <w:rsid w:val="000E7571"/>
    <w:rsid w:val="000F0D7A"/>
    <w:rsid w:val="001111E0"/>
    <w:rsid w:val="00111DCA"/>
    <w:rsid w:val="0011218A"/>
    <w:rsid w:val="00114060"/>
    <w:rsid w:val="00116358"/>
    <w:rsid w:val="00120E3D"/>
    <w:rsid w:val="00122E5A"/>
    <w:rsid w:val="00127679"/>
    <w:rsid w:val="001312A8"/>
    <w:rsid w:val="00134CD7"/>
    <w:rsid w:val="00137A8E"/>
    <w:rsid w:val="00142E80"/>
    <w:rsid w:val="001513A9"/>
    <w:rsid w:val="001535A4"/>
    <w:rsid w:val="00156A2E"/>
    <w:rsid w:val="00157BC9"/>
    <w:rsid w:val="00171EB9"/>
    <w:rsid w:val="001740EE"/>
    <w:rsid w:val="0017603A"/>
    <w:rsid w:val="001812E8"/>
    <w:rsid w:val="001830B7"/>
    <w:rsid w:val="00192D04"/>
    <w:rsid w:val="00194357"/>
    <w:rsid w:val="001965AE"/>
    <w:rsid w:val="001B29A4"/>
    <w:rsid w:val="001B5D91"/>
    <w:rsid w:val="001B6EEB"/>
    <w:rsid w:val="001C6618"/>
    <w:rsid w:val="001E3E05"/>
    <w:rsid w:val="001E5CEA"/>
    <w:rsid w:val="0020292C"/>
    <w:rsid w:val="002134E4"/>
    <w:rsid w:val="0023388F"/>
    <w:rsid w:val="00234112"/>
    <w:rsid w:val="00237069"/>
    <w:rsid w:val="002433E5"/>
    <w:rsid w:val="00250015"/>
    <w:rsid w:val="00260736"/>
    <w:rsid w:val="0026695A"/>
    <w:rsid w:val="00280A3B"/>
    <w:rsid w:val="002903B3"/>
    <w:rsid w:val="00294512"/>
    <w:rsid w:val="00295F23"/>
    <w:rsid w:val="002A117A"/>
    <w:rsid w:val="002C6CE0"/>
    <w:rsid w:val="002D32A4"/>
    <w:rsid w:val="002D59AF"/>
    <w:rsid w:val="002D7406"/>
    <w:rsid w:val="002E1520"/>
    <w:rsid w:val="002F0128"/>
    <w:rsid w:val="003016FF"/>
    <w:rsid w:val="00301D23"/>
    <w:rsid w:val="0030476E"/>
    <w:rsid w:val="0030627C"/>
    <w:rsid w:val="00306933"/>
    <w:rsid w:val="003077C1"/>
    <w:rsid w:val="00307F63"/>
    <w:rsid w:val="00311EB5"/>
    <w:rsid w:val="00317C7F"/>
    <w:rsid w:val="00325100"/>
    <w:rsid w:val="003363F9"/>
    <w:rsid w:val="00336C93"/>
    <w:rsid w:val="00362A22"/>
    <w:rsid w:val="00363180"/>
    <w:rsid w:val="003638A1"/>
    <w:rsid w:val="003678B6"/>
    <w:rsid w:val="003832B8"/>
    <w:rsid w:val="00385103"/>
    <w:rsid w:val="00391ACF"/>
    <w:rsid w:val="00395367"/>
    <w:rsid w:val="00395566"/>
    <w:rsid w:val="003A0DAB"/>
    <w:rsid w:val="003A1E1A"/>
    <w:rsid w:val="003A3CD9"/>
    <w:rsid w:val="003A41E7"/>
    <w:rsid w:val="003B0B0C"/>
    <w:rsid w:val="003B5652"/>
    <w:rsid w:val="003B6149"/>
    <w:rsid w:val="003C30B7"/>
    <w:rsid w:val="003C6FF8"/>
    <w:rsid w:val="003D04EF"/>
    <w:rsid w:val="003D2465"/>
    <w:rsid w:val="003F2FB8"/>
    <w:rsid w:val="0040395E"/>
    <w:rsid w:val="0041127D"/>
    <w:rsid w:val="004112A1"/>
    <w:rsid w:val="00417F82"/>
    <w:rsid w:val="0042099B"/>
    <w:rsid w:val="00430ED9"/>
    <w:rsid w:val="004357B2"/>
    <w:rsid w:val="00453D4E"/>
    <w:rsid w:val="00457CDB"/>
    <w:rsid w:val="00457DBE"/>
    <w:rsid w:val="00466C74"/>
    <w:rsid w:val="00472916"/>
    <w:rsid w:val="004758E8"/>
    <w:rsid w:val="00483A1C"/>
    <w:rsid w:val="004B0509"/>
    <w:rsid w:val="004B63F3"/>
    <w:rsid w:val="004C5C43"/>
    <w:rsid w:val="004C6EF8"/>
    <w:rsid w:val="004D0829"/>
    <w:rsid w:val="004D1B07"/>
    <w:rsid w:val="004D7B35"/>
    <w:rsid w:val="004E0E63"/>
    <w:rsid w:val="004F5C99"/>
    <w:rsid w:val="004F66E7"/>
    <w:rsid w:val="00500A69"/>
    <w:rsid w:val="005150D6"/>
    <w:rsid w:val="005247A4"/>
    <w:rsid w:val="0053688A"/>
    <w:rsid w:val="00537502"/>
    <w:rsid w:val="00550297"/>
    <w:rsid w:val="005600DD"/>
    <w:rsid w:val="00560A23"/>
    <w:rsid w:val="00562411"/>
    <w:rsid w:val="00577E9A"/>
    <w:rsid w:val="00577FCE"/>
    <w:rsid w:val="00591B74"/>
    <w:rsid w:val="00596FD5"/>
    <w:rsid w:val="005A1497"/>
    <w:rsid w:val="005A2F1E"/>
    <w:rsid w:val="005E32A9"/>
    <w:rsid w:val="005E3517"/>
    <w:rsid w:val="005E3723"/>
    <w:rsid w:val="005E68BE"/>
    <w:rsid w:val="005F1FAB"/>
    <w:rsid w:val="005F6BD9"/>
    <w:rsid w:val="00604273"/>
    <w:rsid w:val="00604C1C"/>
    <w:rsid w:val="006130D5"/>
    <w:rsid w:val="00620DCE"/>
    <w:rsid w:val="006265E5"/>
    <w:rsid w:val="00630142"/>
    <w:rsid w:val="00632927"/>
    <w:rsid w:val="00634AE4"/>
    <w:rsid w:val="00646D57"/>
    <w:rsid w:val="0065140A"/>
    <w:rsid w:val="00651A1B"/>
    <w:rsid w:val="0065701B"/>
    <w:rsid w:val="00670EDF"/>
    <w:rsid w:val="00672E9D"/>
    <w:rsid w:val="006739E3"/>
    <w:rsid w:val="0067436F"/>
    <w:rsid w:val="006746E5"/>
    <w:rsid w:val="00674C99"/>
    <w:rsid w:val="006754D8"/>
    <w:rsid w:val="00684128"/>
    <w:rsid w:val="00684660"/>
    <w:rsid w:val="00692086"/>
    <w:rsid w:val="006A4970"/>
    <w:rsid w:val="006C4186"/>
    <w:rsid w:val="006D1C62"/>
    <w:rsid w:val="006D1CB4"/>
    <w:rsid w:val="006D2175"/>
    <w:rsid w:val="006D3AC1"/>
    <w:rsid w:val="006E103D"/>
    <w:rsid w:val="006E1863"/>
    <w:rsid w:val="006E27CF"/>
    <w:rsid w:val="006E2EF9"/>
    <w:rsid w:val="006F1418"/>
    <w:rsid w:val="007009ED"/>
    <w:rsid w:val="00700D6A"/>
    <w:rsid w:val="00702435"/>
    <w:rsid w:val="00702969"/>
    <w:rsid w:val="007078FA"/>
    <w:rsid w:val="007139EF"/>
    <w:rsid w:val="00716FF2"/>
    <w:rsid w:val="0073354A"/>
    <w:rsid w:val="0074146E"/>
    <w:rsid w:val="0074222B"/>
    <w:rsid w:val="00751BF3"/>
    <w:rsid w:val="00757FB7"/>
    <w:rsid w:val="00762203"/>
    <w:rsid w:val="00764689"/>
    <w:rsid w:val="00764BFB"/>
    <w:rsid w:val="007671AD"/>
    <w:rsid w:val="00782650"/>
    <w:rsid w:val="00783426"/>
    <w:rsid w:val="007834DD"/>
    <w:rsid w:val="007A1639"/>
    <w:rsid w:val="007A22DE"/>
    <w:rsid w:val="007A4E31"/>
    <w:rsid w:val="007B568E"/>
    <w:rsid w:val="007B616F"/>
    <w:rsid w:val="007B7ACD"/>
    <w:rsid w:val="007C4786"/>
    <w:rsid w:val="007C4A46"/>
    <w:rsid w:val="007D1AE8"/>
    <w:rsid w:val="007E15B2"/>
    <w:rsid w:val="007F04B7"/>
    <w:rsid w:val="007F2970"/>
    <w:rsid w:val="007F6307"/>
    <w:rsid w:val="007F78EE"/>
    <w:rsid w:val="008104EF"/>
    <w:rsid w:val="008147F0"/>
    <w:rsid w:val="008241A4"/>
    <w:rsid w:val="00824D31"/>
    <w:rsid w:val="00826A3F"/>
    <w:rsid w:val="008447BC"/>
    <w:rsid w:val="0085085E"/>
    <w:rsid w:val="00851F8F"/>
    <w:rsid w:val="00856E06"/>
    <w:rsid w:val="00856F73"/>
    <w:rsid w:val="008639E5"/>
    <w:rsid w:val="00866B2D"/>
    <w:rsid w:val="00870B4D"/>
    <w:rsid w:val="008926F9"/>
    <w:rsid w:val="00897026"/>
    <w:rsid w:val="008A7092"/>
    <w:rsid w:val="008A75A4"/>
    <w:rsid w:val="008B21A9"/>
    <w:rsid w:val="008B7920"/>
    <w:rsid w:val="008C0827"/>
    <w:rsid w:val="008D3C92"/>
    <w:rsid w:val="008E68D5"/>
    <w:rsid w:val="008E6B20"/>
    <w:rsid w:val="008E7F7C"/>
    <w:rsid w:val="008F33BB"/>
    <w:rsid w:val="008F37A8"/>
    <w:rsid w:val="008F68BC"/>
    <w:rsid w:val="0090079E"/>
    <w:rsid w:val="00904CFF"/>
    <w:rsid w:val="009055EF"/>
    <w:rsid w:val="0090765A"/>
    <w:rsid w:val="00917C45"/>
    <w:rsid w:val="00922327"/>
    <w:rsid w:val="00932992"/>
    <w:rsid w:val="00932D1F"/>
    <w:rsid w:val="00936459"/>
    <w:rsid w:val="0094285D"/>
    <w:rsid w:val="00945C87"/>
    <w:rsid w:val="009624B4"/>
    <w:rsid w:val="00963513"/>
    <w:rsid w:val="009745B5"/>
    <w:rsid w:val="00974B53"/>
    <w:rsid w:val="009772CB"/>
    <w:rsid w:val="009829D7"/>
    <w:rsid w:val="0098606F"/>
    <w:rsid w:val="00997277"/>
    <w:rsid w:val="009A1143"/>
    <w:rsid w:val="009A6A38"/>
    <w:rsid w:val="009C0417"/>
    <w:rsid w:val="009C10D3"/>
    <w:rsid w:val="009D3CEF"/>
    <w:rsid w:val="009D5568"/>
    <w:rsid w:val="009E1949"/>
    <w:rsid w:val="009E3CB2"/>
    <w:rsid w:val="009E4A90"/>
    <w:rsid w:val="009E525B"/>
    <w:rsid w:val="009F1E49"/>
    <w:rsid w:val="00A111A0"/>
    <w:rsid w:val="00A11288"/>
    <w:rsid w:val="00A15AE4"/>
    <w:rsid w:val="00A174D0"/>
    <w:rsid w:val="00A339C6"/>
    <w:rsid w:val="00A363F3"/>
    <w:rsid w:val="00A41BB7"/>
    <w:rsid w:val="00A44F90"/>
    <w:rsid w:val="00A536CB"/>
    <w:rsid w:val="00A54486"/>
    <w:rsid w:val="00A554F8"/>
    <w:rsid w:val="00A56436"/>
    <w:rsid w:val="00A62F95"/>
    <w:rsid w:val="00A7020D"/>
    <w:rsid w:val="00A75E4E"/>
    <w:rsid w:val="00A83592"/>
    <w:rsid w:val="00A837AE"/>
    <w:rsid w:val="00A93751"/>
    <w:rsid w:val="00AA6F63"/>
    <w:rsid w:val="00AB04C8"/>
    <w:rsid w:val="00AB1EA1"/>
    <w:rsid w:val="00AB31A9"/>
    <w:rsid w:val="00AB7BE3"/>
    <w:rsid w:val="00AC12CE"/>
    <w:rsid w:val="00AC179F"/>
    <w:rsid w:val="00AC1868"/>
    <w:rsid w:val="00AC463C"/>
    <w:rsid w:val="00AC4FEA"/>
    <w:rsid w:val="00AC6936"/>
    <w:rsid w:val="00AD1F70"/>
    <w:rsid w:val="00AD23C4"/>
    <w:rsid w:val="00AD2767"/>
    <w:rsid w:val="00AD3B37"/>
    <w:rsid w:val="00AD41DC"/>
    <w:rsid w:val="00AD4E56"/>
    <w:rsid w:val="00AE3522"/>
    <w:rsid w:val="00AE584C"/>
    <w:rsid w:val="00AE6AAA"/>
    <w:rsid w:val="00AF053F"/>
    <w:rsid w:val="00AF21B8"/>
    <w:rsid w:val="00B014A1"/>
    <w:rsid w:val="00B075D3"/>
    <w:rsid w:val="00B22D65"/>
    <w:rsid w:val="00B271A8"/>
    <w:rsid w:val="00B37FBC"/>
    <w:rsid w:val="00B42EFB"/>
    <w:rsid w:val="00B438F5"/>
    <w:rsid w:val="00B44B96"/>
    <w:rsid w:val="00B45246"/>
    <w:rsid w:val="00B50CA0"/>
    <w:rsid w:val="00B56BE3"/>
    <w:rsid w:val="00B67611"/>
    <w:rsid w:val="00B81395"/>
    <w:rsid w:val="00B86171"/>
    <w:rsid w:val="00B9040D"/>
    <w:rsid w:val="00B967C7"/>
    <w:rsid w:val="00BA5F3B"/>
    <w:rsid w:val="00BB1809"/>
    <w:rsid w:val="00BC1BEB"/>
    <w:rsid w:val="00BC72CD"/>
    <w:rsid w:val="00BD4CCE"/>
    <w:rsid w:val="00BD7A00"/>
    <w:rsid w:val="00BE1BE7"/>
    <w:rsid w:val="00BF0B77"/>
    <w:rsid w:val="00BF2978"/>
    <w:rsid w:val="00C01605"/>
    <w:rsid w:val="00C02715"/>
    <w:rsid w:val="00C046FC"/>
    <w:rsid w:val="00C05D62"/>
    <w:rsid w:val="00C060E8"/>
    <w:rsid w:val="00C10623"/>
    <w:rsid w:val="00C21639"/>
    <w:rsid w:val="00C21935"/>
    <w:rsid w:val="00C27DE3"/>
    <w:rsid w:val="00C37B27"/>
    <w:rsid w:val="00C539F8"/>
    <w:rsid w:val="00C54B01"/>
    <w:rsid w:val="00C5538E"/>
    <w:rsid w:val="00C5545B"/>
    <w:rsid w:val="00C55936"/>
    <w:rsid w:val="00C56152"/>
    <w:rsid w:val="00C64BF8"/>
    <w:rsid w:val="00C679E5"/>
    <w:rsid w:val="00C7313A"/>
    <w:rsid w:val="00C7363A"/>
    <w:rsid w:val="00C774B8"/>
    <w:rsid w:val="00C81AC0"/>
    <w:rsid w:val="00C8677A"/>
    <w:rsid w:val="00C86F05"/>
    <w:rsid w:val="00C87171"/>
    <w:rsid w:val="00C94C2B"/>
    <w:rsid w:val="00C971F0"/>
    <w:rsid w:val="00CA190F"/>
    <w:rsid w:val="00CA5FA8"/>
    <w:rsid w:val="00CB3624"/>
    <w:rsid w:val="00CB3D58"/>
    <w:rsid w:val="00CB4CF7"/>
    <w:rsid w:val="00CC7AEB"/>
    <w:rsid w:val="00CD27F9"/>
    <w:rsid w:val="00CD3A08"/>
    <w:rsid w:val="00CD59DC"/>
    <w:rsid w:val="00CE781F"/>
    <w:rsid w:val="00CF2AB2"/>
    <w:rsid w:val="00CF4A65"/>
    <w:rsid w:val="00CF5A0E"/>
    <w:rsid w:val="00D04EF3"/>
    <w:rsid w:val="00D1267C"/>
    <w:rsid w:val="00D127E0"/>
    <w:rsid w:val="00D20354"/>
    <w:rsid w:val="00D23310"/>
    <w:rsid w:val="00D24460"/>
    <w:rsid w:val="00D27828"/>
    <w:rsid w:val="00D34CA4"/>
    <w:rsid w:val="00D35752"/>
    <w:rsid w:val="00D428B8"/>
    <w:rsid w:val="00D42927"/>
    <w:rsid w:val="00D42CDC"/>
    <w:rsid w:val="00D4539B"/>
    <w:rsid w:val="00D54703"/>
    <w:rsid w:val="00D55B92"/>
    <w:rsid w:val="00D714E0"/>
    <w:rsid w:val="00D7219F"/>
    <w:rsid w:val="00D745F5"/>
    <w:rsid w:val="00D804FE"/>
    <w:rsid w:val="00D864D7"/>
    <w:rsid w:val="00D937F8"/>
    <w:rsid w:val="00D94E4A"/>
    <w:rsid w:val="00D95935"/>
    <w:rsid w:val="00D961FB"/>
    <w:rsid w:val="00DA0105"/>
    <w:rsid w:val="00DA1C24"/>
    <w:rsid w:val="00DA3F86"/>
    <w:rsid w:val="00DA7243"/>
    <w:rsid w:val="00DB152A"/>
    <w:rsid w:val="00DB187A"/>
    <w:rsid w:val="00DB24DD"/>
    <w:rsid w:val="00DD56B0"/>
    <w:rsid w:val="00DE0CA2"/>
    <w:rsid w:val="00DF7107"/>
    <w:rsid w:val="00E03956"/>
    <w:rsid w:val="00E15B0A"/>
    <w:rsid w:val="00E21059"/>
    <w:rsid w:val="00E30182"/>
    <w:rsid w:val="00E30B79"/>
    <w:rsid w:val="00E40540"/>
    <w:rsid w:val="00E50EE4"/>
    <w:rsid w:val="00E50F25"/>
    <w:rsid w:val="00E620DE"/>
    <w:rsid w:val="00E657D3"/>
    <w:rsid w:val="00E80C3A"/>
    <w:rsid w:val="00E80C58"/>
    <w:rsid w:val="00EA1DD8"/>
    <w:rsid w:val="00EA4B33"/>
    <w:rsid w:val="00EB194D"/>
    <w:rsid w:val="00EC66FC"/>
    <w:rsid w:val="00ED079E"/>
    <w:rsid w:val="00ED55A1"/>
    <w:rsid w:val="00EE1E8D"/>
    <w:rsid w:val="00EE2A91"/>
    <w:rsid w:val="00EE2BB5"/>
    <w:rsid w:val="00EE35B2"/>
    <w:rsid w:val="00EF0BAE"/>
    <w:rsid w:val="00F001E7"/>
    <w:rsid w:val="00F0042C"/>
    <w:rsid w:val="00F05140"/>
    <w:rsid w:val="00F14471"/>
    <w:rsid w:val="00F22892"/>
    <w:rsid w:val="00F240FE"/>
    <w:rsid w:val="00F34B46"/>
    <w:rsid w:val="00F357ED"/>
    <w:rsid w:val="00F4092E"/>
    <w:rsid w:val="00F45610"/>
    <w:rsid w:val="00F61035"/>
    <w:rsid w:val="00F6366E"/>
    <w:rsid w:val="00F7177A"/>
    <w:rsid w:val="00F72529"/>
    <w:rsid w:val="00F730BC"/>
    <w:rsid w:val="00F73CDA"/>
    <w:rsid w:val="00F7589E"/>
    <w:rsid w:val="00F76C05"/>
    <w:rsid w:val="00F76E0C"/>
    <w:rsid w:val="00F9268B"/>
    <w:rsid w:val="00F94448"/>
    <w:rsid w:val="00F9711E"/>
    <w:rsid w:val="00F97D1F"/>
    <w:rsid w:val="00FA1BCE"/>
    <w:rsid w:val="00FA6DFB"/>
    <w:rsid w:val="00FB4164"/>
    <w:rsid w:val="00FB613E"/>
    <w:rsid w:val="00FC4915"/>
    <w:rsid w:val="00FC698A"/>
    <w:rsid w:val="00FD6BFA"/>
    <w:rsid w:val="00FE108B"/>
    <w:rsid w:val="00FE1794"/>
    <w:rsid w:val="00FE3476"/>
    <w:rsid w:val="00FF29AF"/>
    <w:rsid w:val="00FF4B5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2E2A"/>
  <w15:chartTrackingRefBased/>
  <w15:docId w15:val="{BFF6691B-9926-4EA9-B92B-31F91098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829"/>
    <w:pPr>
      <w:spacing w:after="0" w:line="240" w:lineRule="auto"/>
    </w:pPr>
    <w:rPr>
      <w:rFonts w:ascii="Arial" w:eastAsia="Times New Roman" w:hAnsi="Arial" w:cs="Times New Roman"/>
      <w:kern w:val="0"/>
      <w:sz w:val="20"/>
      <w:szCs w:val="20"/>
      <w:lang w:eastAsia="es-ES"/>
      <w14:ligatures w14:val="none"/>
    </w:rPr>
  </w:style>
  <w:style w:type="paragraph" w:styleId="Ttulo2">
    <w:name w:val="heading 2"/>
    <w:basedOn w:val="Normal"/>
    <w:next w:val="Normal"/>
    <w:link w:val="Ttulo2Car"/>
    <w:qFormat/>
    <w:rsid w:val="004D0829"/>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D0829"/>
    <w:rPr>
      <w:rFonts w:ascii="Arial" w:eastAsia="Times New Roman" w:hAnsi="Arial" w:cs="Times New Roman"/>
      <w:b/>
      <w:kern w:val="0"/>
      <w:sz w:val="20"/>
      <w:szCs w:val="20"/>
      <w:lang w:eastAsia="es-ES"/>
      <w14:ligatures w14:val="none"/>
    </w:rPr>
  </w:style>
  <w:style w:type="paragraph" w:styleId="Encabezado">
    <w:name w:val="header"/>
    <w:aliases w:val="Encabezado1,encabezado,Encabezado Car Car Car Car Car,Encabezado Car Car Car"/>
    <w:basedOn w:val="Normal"/>
    <w:link w:val="EncabezadoCar1"/>
    <w:uiPriority w:val="99"/>
    <w:rsid w:val="004D0829"/>
    <w:pPr>
      <w:tabs>
        <w:tab w:val="center" w:pos="4252"/>
        <w:tab w:val="right" w:pos="8504"/>
      </w:tabs>
    </w:pPr>
  </w:style>
  <w:style w:type="character" w:customStyle="1" w:styleId="EncabezadoCar">
    <w:name w:val="Encabezado Car"/>
    <w:basedOn w:val="Fuentedeprrafopredeter"/>
    <w:uiPriority w:val="99"/>
    <w:semiHidden/>
    <w:rsid w:val="004D0829"/>
    <w:rPr>
      <w:rFonts w:ascii="Arial" w:eastAsia="Times New Roman" w:hAnsi="Arial" w:cs="Times New Roman"/>
      <w:kern w:val="0"/>
      <w:sz w:val="20"/>
      <w:szCs w:val="20"/>
      <w:lang w:eastAsia="es-ES"/>
      <w14:ligatures w14:val="none"/>
    </w:rPr>
  </w:style>
  <w:style w:type="paragraph" w:styleId="Piedepgina">
    <w:name w:val="footer"/>
    <w:basedOn w:val="Normal"/>
    <w:link w:val="PiedepginaCar"/>
    <w:uiPriority w:val="99"/>
    <w:rsid w:val="004D0829"/>
    <w:pPr>
      <w:tabs>
        <w:tab w:val="center" w:pos="4252"/>
        <w:tab w:val="right" w:pos="8504"/>
      </w:tabs>
    </w:pPr>
  </w:style>
  <w:style w:type="character" w:customStyle="1" w:styleId="PiedepginaCar">
    <w:name w:val="Pie de página Car"/>
    <w:basedOn w:val="Fuentedeprrafopredeter"/>
    <w:link w:val="Piedepgina"/>
    <w:uiPriority w:val="99"/>
    <w:rsid w:val="004D0829"/>
    <w:rPr>
      <w:rFonts w:ascii="Arial" w:eastAsia="Times New Roman" w:hAnsi="Arial" w:cs="Times New Roman"/>
      <w:kern w:val="0"/>
      <w:sz w:val="20"/>
      <w:szCs w:val="20"/>
      <w:lang w:eastAsia="es-ES"/>
      <w14:ligatures w14:val="none"/>
    </w:rPr>
  </w:style>
  <w:style w:type="paragraph" w:customStyle="1" w:styleId="Default">
    <w:name w:val="Default"/>
    <w:rsid w:val="004D0829"/>
    <w:pPr>
      <w:autoSpaceDE w:val="0"/>
      <w:autoSpaceDN w:val="0"/>
      <w:adjustRightInd w:val="0"/>
      <w:spacing w:after="0" w:line="240" w:lineRule="auto"/>
    </w:pPr>
    <w:rPr>
      <w:rFonts w:ascii="Arial" w:eastAsia="Times New Roman" w:hAnsi="Arial" w:cs="Arial"/>
      <w:color w:val="000000"/>
      <w:kern w:val="0"/>
      <w:sz w:val="24"/>
      <w:szCs w:val="24"/>
      <w:lang w:val="es-CO" w:eastAsia="es-CO"/>
      <w14:ligatures w14:val="none"/>
    </w:rPr>
  </w:style>
  <w:style w:type="character" w:customStyle="1" w:styleId="EncabezadoCar1">
    <w:name w:val="Encabezado Car1"/>
    <w:aliases w:val="Encabezado1 Car,encabezado Car,Encabezado Car Car Car Car Car Car,Encabezado Car Car Car Car"/>
    <w:link w:val="Encabezado"/>
    <w:uiPriority w:val="99"/>
    <w:locked/>
    <w:rsid w:val="004D0829"/>
    <w:rPr>
      <w:rFonts w:ascii="Arial" w:eastAsia="Times New Roman" w:hAnsi="Arial" w:cs="Times New Roman"/>
      <w:kern w:val="0"/>
      <w:sz w:val="20"/>
      <w:szCs w:val="20"/>
      <w:lang w:eastAsia="es-ES"/>
      <w14:ligatures w14:val="none"/>
    </w:rPr>
  </w:style>
  <w:style w:type="paragraph" w:customStyle="1" w:styleId="TableParagraph">
    <w:name w:val="Table Paragraph"/>
    <w:basedOn w:val="Normal"/>
    <w:uiPriority w:val="1"/>
    <w:qFormat/>
    <w:rsid w:val="004D0829"/>
    <w:pPr>
      <w:widowControl w:val="0"/>
      <w:autoSpaceDE w:val="0"/>
      <w:autoSpaceDN w:val="0"/>
    </w:pPr>
    <w:rPr>
      <w:rFonts w:ascii="Arial MT" w:eastAsia="Arial MT" w:hAnsi="Arial MT" w:cs="Arial MT"/>
      <w:sz w:val="22"/>
      <w:szCs w:val="22"/>
      <w:lang w:eastAsia="en-US"/>
    </w:rPr>
  </w:style>
  <w:style w:type="paragraph" w:styleId="Prrafodelista">
    <w:name w:val="List Paragraph"/>
    <w:aliases w:val="List,titulo 3,Párrafo de lista1,HOJA,Bolita,Párrafo de lista3,Guión,Párrafo de lista31,BOLA,Párrafo de lista21,BOLADEF,Párrafo de lista2,Titulo 8,Párrafo de lista5,Colorful List - Accent 11,Colorful List - Accent 12,Bullets,Ha,Fluvia"/>
    <w:basedOn w:val="Normal"/>
    <w:link w:val="PrrafodelistaCar"/>
    <w:uiPriority w:val="34"/>
    <w:qFormat/>
    <w:rsid w:val="004D0829"/>
    <w:pPr>
      <w:spacing w:after="160" w:line="259" w:lineRule="auto"/>
      <w:ind w:left="720"/>
      <w:contextualSpacing/>
    </w:pPr>
    <w:rPr>
      <w:rFonts w:ascii="Calibri" w:eastAsia="Calibri" w:hAnsi="Calibri" w:cs="Calibri"/>
      <w:sz w:val="22"/>
      <w:szCs w:val="22"/>
      <w:lang w:val="es-CO" w:eastAsia="en-US"/>
    </w:rPr>
  </w:style>
  <w:style w:type="paragraph" w:styleId="Descripcin">
    <w:name w:val="caption"/>
    <w:basedOn w:val="Normal"/>
    <w:next w:val="Normal"/>
    <w:link w:val="DescripcinCar"/>
    <w:uiPriority w:val="35"/>
    <w:unhideWhenUsed/>
    <w:qFormat/>
    <w:rsid w:val="004D0829"/>
    <w:pPr>
      <w:spacing w:after="200"/>
    </w:pPr>
    <w:rPr>
      <w:rFonts w:ascii="Calibri" w:eastAsia="Calibri" w:hAnsi="Calibri" w:cs="Arial"/>
      <w:i/>
      <w:iCs/>
      <w:color w:val="44546A"/>
      <w:sz w:val="18"/>
      <w:szCs w:val="18"/>
      <w:lang w:val="es-CO" w:eastAsia="en-US"/>
    </w:rPr>
  </w:style>
  <w:style w:type="character" w:customStyle="1" w:styleId="DescripcinCar">
    <w:name w:val="Descripción Car"/>
    <w:link w:val="Descripcin"/>
    <w:uiPriority w:val="35"/>
    <w:rsid w:val="004D0829"/>
    <w:rPr>
      <w:rFonts w:ascii="Calibri" w:eastAsia="Calibri" w:hAnsi="Calibri" w:cs="Arial"/>
      <w:i/>
      <w:iCs/>
      <w:color w:val="44546A"/>
      <w:kern w:val="0"/>
      <w:sz w:val="18"/>
      <w:szCs w:val="18"/>
      <w:lang w:val="es-CO"/>
      <w14:ligatures w14:val="none"/>
    </w:rPr>
  </w:style>
  <w:style w:type="character" w:customStyle="1" w:styleId="PrrafodelistaCar">
    <w:name w:val="Párrafo de lista Car"/>
    <w:aliases w:val="List Car,titulo 3 Car,Párrafo de lista1 Car,HOJA Car,Bolita Car,Párrafo de lista3 Car,Guión Car,Párrafo de lista31 Car,BOLA Car,Párrafo de lista21 Car,BOLADEF Car,Párrafo de lista2 Car,Titulo 8 Car,Párrafo de lista5 Car,Bullets Car"/>
    <w:link w:val="Prrafodelista"/>
    <w:uiPriority w:val="34"/>
    <w:qFormat/>
    <w:locked/>
    <w:rsid w:val="004D0829"/>
    <w:rPr>
      <w:rFonts w:ascii="Calibri" w:eastAsia="Calibri" w:hAnsi="Calibri" w:cs="Calibri"/>
      <w:kern w:val="0"/>
      <w:lang w:val="es-CO"/>
      <w14:ligatures w14:val="none"/>
    </w:rPr>
  </w:style>
  <w:style w:type="character" w:customStyle="1" w:styleId="normaltextrun">
    <w:name w:val="normaltextrun"/>
    <w:basedOn w:val="Fuentedeprrafopredeter"/>
    <w:rsid w:val="004D0829"/>
  </w:style>
  <w:style w:type="paragraph" w:styleId="Textonotapie">
    <w:name w:val="footnote text"/>
    <w:basedOn w:val="Normal"/>
    <w:link w:val="TextonotapieCar"/>
    <w:uiPriority w:val="99"/>
    <w:unhideWhenUsed/>
    <w:rsid w:val="0067436F"/>
  </w:style>
  <w:style w:type="character" w:customStyle="1" w:styleId="TextonotapieCar">
    <w:name w:val="Texto nota pie Car"/>
    <w:basedOn w:val="Fuentedeprrafopredeter"/>
    <w:link w:val="Textonotapie"/>
    <w:uiPriority w:val="99"/>
    <w:rsid w:val="0067436F"/>
    <w:rPr>
      <w:rFonts w:ascii="Arial" w:eastAsia="Times New Roman" w:hAnsi="Arial" w:cs="Times New Roman"/>
      <w:kern w:val="0"/>
      <w:sz w:val="20"/>
      <w:szCs w:val="20"/>
      <w:lang w:eastAsia="es-ES"/>
      <w14:ligatures w14:val="none"/>
    </w:rPr>
  </w:style>
  <w:style w:type="character" w:styleId="Refdenotaalpie">
    <w:name w:val="footnote reference"/>
    <w:basedOn w:val="Fuentedeprrafopredeter"/>
    <w:uiPriority w:val="99"/>
    <w:semiHidden/>
    <w:unhideWhenUsed/>
    <w:rsid w:val="0067436F"/>
    <w:rPr>
      <w:vertAlign w:val="superscript"/>
    </w:rPr>
  </w:style>
  <w:style w:type="table" w:styleId="Tablaconcuadrcula">
    <w:name w:val="Table Grid"/>
    <w:basedOn w:val="Tablanormal"/>
    <w:uiPriority w:val="59"/>
    <w:rsid w:val="007A2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2992"/>
    <w:rPr>
      <w:color w:val="0563C1" w:themeColor="hyperlink"/>
      <w:u w:val="single"/>
    </w:rPr>
  </w:style>
  <w:style w:type="character" w:customStyle="1" w:styleId="Mencinsinresolver1">
    <w:name w:val="Mención sin resolver1"/>
    <w:basedOn w:val="Fuentedeprrafopredeter"/>
    <w:uiPriority w:val="99"/>
    <w:semiHidden/>
    <w:unhideWhenUsed/>
    <w:rsid w:val="00932992"/>
    <w:rPr>
      <w:color w:val="605E5C"/>
      <w:shd w:val="clear" w:color="auto" w:fill="E1DFDD"/>
    </w:rPr>
  </w:style>
  <w:style w:type="paragraph" w:customStyle="1" w:styleId="s18">
    <w:name w:val="s18"/>
    <w:basedOn w:val="Normal"/>
    <w:rsid w:val="00FE1794"/>
    <w:pPr>
      <w:spacing w:before="100" w:beforeAutospacing="1" w:after="100" w:afterAutospacing="1"/>
    </w:pPr>
    <w:rPr>
      <w:rFonts w:ascii="Times New Roman" w:hAnsi="Times New Roman"/>
      <w:sz w:val="24"/>
      <w:szCs w:val="24"/>
      <w:lang w:val="es-CO" w:eastAsia="es-ES_tradnl"/>
    </w:rPr>
  </w:style>
  <w:style w:type="character" w:customStyle="1" w:styleId="bumpedfont15">
    <w:name w:val="bumpedfont15"/>
    <w:basedOn w:val="Fuentedeprrafopredeter"/>
    <w:rsid w:val="00FE1794"/>
  </w:style>
  <w:style w:type="character" w:customStyle="1" w:styleId="apple-converted-space">
    <w:name w:val="apple-converted-space"/>
    <w:basedOn w:val="Fuentedeprrafopredeter"/>
    <w:rsid w:val="00FE1794"/>
  </w:style>
  <w:style w:type="paragraph" w:styleId="Revisin">
    <w:name w:val="Revision"/>
    <w:hidden/>
    <w:uiPriority w:val="99"/>
    <w:semiHidden/>
    <w:rsid w:val="00C046FC"/>
    <w:pPr>
      <w:spacing w:after="0" w:line="240" w:lineRule="auto"/>
    </w:pPr>
    <w:rPr>
      <w:rFonts w:ascii="Arial" w:eastAsia="Times New Roman" w:hAnsi="Arial" w:cs="Times New Roman"/>
      <w:kern w:val="0"/>
      <w:sz w:val="20"/>
      <w:szCs w:val="20"/>
      <w:lang w:eastAsia="es-ES"/>
      <w14:ligatures w14:val="none"/>
    </w:rPr>
  </w:style>
  <w:style w:type="character" w:styleId="Refdecomentario">
    <w:name w:val="annotation reference"/>
    <w:basedOn w:val="Fuentedeprrafopredeter"/>
    <w:uiPriority w:val="99"/>
    <w:semiHidden/>
    <w:unhideWhenUsed/>
    <w:rsid w:val="00D937F8"/>
    <w:rPr>
      <w:sz w:val="16"/>
      <w:szCs w:val="16"/>
    </w:rPr>
  </w:style>
  <w:style w:type="paragraph" w:styleId="Textocomentario">
    <w:name w:val="annotation text"/>
    <w:basedOn w:val="Normal"/>
    <w:link w:val="TextocomentarioCar"/>
    <w:uiPriority w:val="99"/>
    <w:unhideWhenUsed/>
    <w:rsid w:val="00D937F8"/>
  </w:style>
  <w:style w:type="character" w:customStyle="1" w:styleId="TextocomentarioCar">
    <w:name w:val="Texto comentario Car"/>
    <w:basedOn w:val="Fuentedeprrafopredeter"/>
    <w:link w:val="Textocomentario"/>
    <w:uiPriority w:val="99"/>
    <w:rsid w:val="00D937F8"/>
    <w:rPr>
      <w:rFonts w:ascii="Arial" w:eastAsia="Times New Roman" w:hAnsi="Arial"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937F8"/>
    <w:rPr>
      <w:b/>
      <w:bCs/>
    </w:rPr>
  </w:style>
  <w:style w:type="character" w:customStyle="1" w:styleId="AsuntodelcomentarioCar">
    <w:name w:val="Asunto del comentario Car"/>
    <w:basedOn w:val="TextocomentarioCar"/>
    <w:link w:val="Asuntodelcomentario"/>
    <w:uiPriority w:val="99"/>
    <w:semiHidden/>
    <w:rsid w:val="00D937F8"/>
    <w:rPr>
      <w:rFonts w:ascii="Arial" w:eastAsia="Times New Roman" w:hAnsi="Arial" w:cs="Times New Roman"/>
      <w:b/>
      <w:bCs/>
      <w:kern w:val="0"/>
      <w:sz w:val="20"/>
      <w:szCs w:val="20"/>
      <w:lang w:eastAsia="es-ES"/>
      <w14:ligatures w14:val="none"/>
    </w:rPr>
  </w:style>
  <w:style w:type="paragraph" w:styleId="NormalWeb">
    <w:name w:val="Normal (Web)"/>
    <w:basedOn w:val="Normal"/>
    <w:uiPriority w:val="99"/>
    <w:semiHidden/>
    <w:unhideWhenUsed/>
    <w:rsid w:val="00DD56B0"/>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DD5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20624">
      <w:bodyDiv w:val="1"/>
      <w:marLeft w:val="0"/>
      <w:marRight w:val="0"/>
      <w:marTop w:val="0"/>
      <w:marBottom w:val="0"/>
      <w:divBdr>
        <w:top w:val="none" w:sz="0" w:space="0" w:color="auto"/>
        <w:left w:val="none" w:sz="0" w:space="0" w:color="auto"/>
        <w:bottom w:val="none" w:sz="0" w:space="0" w:color="auto"/>
        <w:right w:val="none" w:sz="0" w:space="0" w:color="auto"/>
      </w:divBdr>
    </w:div>
    <w:div w:id="778062023">
      <w:bodyDiv w:val="1"/>
      <w:marLeft w:val="0"/>
      <w:marRight w:val="0"/>
      <w:marTop w:val="0"/>
      <w:marBottom w:val="0"/>
      <w:divBdr>
        <w:top w:val="none" w:sz="0" w:space="0" w:color="auto"/>
        <w:left w:val="none" w:sz="0" w:space="0" w:color="auto"/>
        <w:bottom w:val="none" w:sz="0" w:space="0" w:color="auto"/>
        <w:right w:val="none" w:sz="0" w:space="0" w:color="auto"/>
      </w:divBdr>
    </w:div>
    <w:div w:id="783308967">
      <w:bodyDiv w:val="1"/>
      <w:marLeft w:val="0"/>
      <w:marRight w:val="0"/>
      <w:marTop w:val="0"/>
      <w:marBottom w:val="0"/>
      <w:divBdr>
        <w:top w:val="none" w:sz="0" w:space="0" w:color="auto"/>
        <w:left w:val="none" w:sz="0" w:space="0" w:color="auto"/>
        <w:bottom w:val="none" w:sz="0" w:space="0" w:color="auto"/>
        <w:right w:val="none" w:sz="0" w:space="0" w:color="auto"/>
      </w:divBdr>
    </w:div>
    <w:div w:id="1304238879">
      <w:bodyDiv w:val="1"/>
      <w:marLeft w:val="0"/>
      <w:marRight w:val="0"/>
      <w:marTop w:val="0"/>
      <w:marBottom w:val="0"/>
      <w:divBdr>
        <w:top w:val="none" w:sz="0" w:space="0" w:color="auto"/>
        <w:left w:val="none" w:sz="0" w:space="0" w:color="auto"/>
        <w:bottom w:val="none" w:sz="0" w:space="0" w:color="auto"/>
        <w:right w:val="none" w:sz="0" w:space="0" w:color="auto"/>
      </w:divBdr>
    </w:div>
    <w:div w:id="173253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AEBA9-F7DD-4EA5-BCD8-B7FAB01E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3323</Words>
  <Characters>18281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21561</CharactersWithSpaces>
  <SharedDoc>false</SharedDoc>
  <HLinks>
    <vt:vector size="6" baseType="variant">
      <vt:variant>
        <vt:i4>6946917</vt:i4>
      </vt:variant>
      <vt:variant>
        <vt:i4>0</vt:i4>
      </vt:variant>
      <vt:variant>
        <vt:i4>0</vt:i4>
      </vt:variant>
      <vt:variant>
        <vt:i4>5</vt:i4>
      </vt:variant>
      <vt:variant>
        <vt:lpwstr>https://www.minvivienda.gov.co/publicacion/estudio-sobre-los-precios-tope-de-la-vivienda-de-interes-social-en-colombia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Diaz Mojica</dc:creator>
  <cp:keywords/>
  <dc:description/>
  <cp:lastModifiedBy>Viviana Rozo Escandon</cp:lastModifiedBy>
  <cp:revision>12</cp:revision>
  <dcterms:created xsi:type="dcterms:W3CDTF">2024-06-13T22:11:00Z</dcterms:created>
  <dcterms:modified xsi:type="dcterms:W3CDTF">2024-06-14T14:26:00Z</dcterms:modified>
</cp:coreProperties>
</file>