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30.xml" ContentType="application/vnd.openxmlformats-officedocument.drawingml.chart+xml"/>
  <Override PartName="/word/charts/chart40.xml" ContentType="application/vnd.openxmlformats-officedocument.drawingml.chart+xml"/>
  <Override PartName="/word/charts/chart50.xml" ContentType="application/vnd.openxmlformats-officedocument.drawingml.chart+xml"/>
  <Override PartName="/word/charts/chart60.xml" ContentType="application/vnd.openxmlformats-officedocument.drawingml.chart+xml"/>
  <Override PartName="/word/theme/themeOverride30.xml" ContentType="application/vnd.openxmlformats-officedocument.themeOverride+xml"/>
  <Override PartName="/word/charts/colors30.xml" ContentType="application/vnd.ms-office.chartcolorstyle+xml"/>
  <Override PartName="/word/charts/style30.xml" ContentType="application/vnd.ms-office.chartstyle+xml"/>
  <Override PartName="/word/theme/themeOverride40.xml" ContentType="application/vnd.openxmlformats-officedocument.themeOverride+xml"/>
  <Override PartName="/word/charts/colors40.xml" ContentType="application/vnd.ms-office.chartcolorstyle+xml"/>
  <Override PartName="/word/charts/style40.xml" ContentType="application/vnd.ms-office.chartstyle+xml"/>
  <Override PartName="/word/theme/themeOverride50.xml" ContentType="application/vnd.openxmlformats-officedocument.themeOverride+xml"/>
  <Override PartName="/word/charts/colors50.xml" ContentType="application/vnd.ms-office.chartcolorstyle+xml"/>
  <Override PartName="/word/charts/style50.xml" ContentType="application/vnd.ms-office.chartstyle+xml"/>
  <Override PartName="/word/theme/themeOverride60.xml" ContentType="application/vnd.openxmlformats-officedocument.themeOverride+xml"/>
  <Override PartName="/word/charts/colors60.xml" ContentType="application/vnd.ms-office.chartcolorstyle+xml"/>
  <Override PartName="/word/charts/style6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ADB6" w14:textId="77777777" w:rsidR="00245163" w:rsidRPr="00772028" w:rsidRDefault="00245163" w:rsidP="00751854">
      <w:pPr>
        <w:rPr>
          <w:rFonts w:ascii="Verdana" w:hAnsi="Verdana"/>
        </w:rPr>
      </w:pPr>
    </w:p>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245163" w:rsidRPr="00772028" w14:paraId="0101515B" w14:textId="77777777" w:rsidTr="005B3AA8">
        <w:trPr>
          <w:trHeight w:val="97"/>
        </w:trPr>
        <w:tc>
          <w:tcPr>
            <w:tcW w:w="3434" w:type="dxa"/>
            <w:tcBorders>
              <w:top w:val="single" w:sz="4" w:space="0" w:color="auto"/>
              <w:bottom w:val="single" w:sz="4" w:space="0" w:color="auto"/>
              <w:right w:val="single" w:sz="4" w:space="0" w:color="auto"/>
            </w:tcBorders>
            <w:shd w:val="clear" w:color="auto" w:fill="auto"/>
            <w:vAlign w:val="center"/>
          </w:tcPr>
          <w:p w14:paraId="2AC8E660" w14:textId="77777777" w:rsidR="00245163" w:rsidRPr="00772028" w:rsidRDefault="00245163" w:rsidP="00751854">
            <w:pPr>
              <w:pStyle w:val="Ttulo2"/>
              <w:ind w:right="72"/>
              <w:jc w:val="left"/>
              <w:rPr>
                <w:rFonts w:ascii="Verdana" w:hAnsi="Verdana" w:cs="Arial"/>
                <w:bCs/>
              </w:rPr>
            </w:pPr>
            <w:r w:rsidRPr="00772028">
              <w:rPr>
                <w:rFonts w:ascii="Verdana" w:hAnsi="Verdana" w:cs="Arial"/>
                <w:lang w:val="es-CO"/>
              </w:rPr>
              <w:t>Entidad originadora:</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83AC0BF" w14:textId="77777777" w:rsidR="00245163" w:rsidRPr="00516CA6" w:rsidRDefault="00245163" w:rsidP="00751854">
            <w:pPr>
              <w:pStyle w:val="Ttulo2"/>
              <w:ind w:left="72" w:right="72"/>
              <w:jc w:val="both"/>
              <w:rPr>
                <w:rFonts w:ascii="Verdana" w:hAnsi="Verdana" w:cs="Arial"/>
                <w:b w:val="0"/>
                <w:iCs/>
              </w:rPr>
            </w:pPr>
            <w:r w:rsidRPr="00516CA6">
              <w:rPr>
                <w:rFonts w:ascii="Verdana" w:hAnsi="Verdana" w:cs="Arial"/>
                <w:b w:val="0"/>
                <w:iCs/>
              </w:rPr>
              <w:t>Ministerio de Vivienda, Ciudad y Territorio</w:t>
            </w:r>
          </w:p>
        </w:tc>
      </w:tr>
      <w:tr w:rsidR="00245163" w:rsidRPr="00772028" w14:paraId="46FA006A" w14:textId="77777777" w:rsidTr="005B3AA8">
        <w:trPr>
          <w:trHeight w:val="97"/>
        </w:trPr>
        <w:tc>
          <w:tcPr>
            <w:tcW w:w="3434" w:type="dxa"/>
            <w:tcBorders>
              <w:top w:val="single" w:sz="4" w:space="0" w:color="auto"/>
              <w:bottom w:val="single" w:sz="4" w:space="0" w:color="auto"/>
              <w:right w:val="single" w:sz="4" w:space="0" w:color="auto"/>
            </w:tcBorders>
            <w:shd w:val="clear" w:color="auto" w:fill="auto"/>
            <w:vAlign w:val="center"/>
          </w:tcPr>
          <w:p w14:paraId="2A9ACE2D" w14:textId="77777777" w:rsidR="00245163" w:rsidRPr="00772028" w:rsidRDefault="00245163" w:rsidP="00751854">
            <w:pPr>
              <w:pStyle w:val="Ttulo2"/>
              <w:ind w:right="72"/>
              <w:jc w:val="left"/>
              <w:rPr>
                <w:rFonts w:ascii="Verdana" w:hAnsi="Verdana" w:cs="Arial"/>
                <w:bCs/>
              </w:rPr>
            </w:pPr>
            <w:r w:rsidRPr="00772028">
              <w:rPr>
                <w:rFonts w:ascii="Verdana" w:hAnsi="Verdana" w:cs="Arial"/>
                <w:bCs/>
              </w:rPr>
              <w:t>Fecha (</w:t>
            </w:r>
            <w:proofErr w:type="spellStart"/>
            <w:r w:rsidRPr="00772028">
              <w:rPr>
                <w:rFonts w:ascii="Verdana" w:hAnsi="Verdana" w:cs="Arial"/>
                <w:bCs/>
              </w:rPr>
              <w:t>dd</w:t>
            </w:r>
            <w:proofErr w:type="spellEnd"/>
            <w:r w:rsidRPr="00772028">
              <w:rPr>
                <w:rFonts w:ascii="Verdana" w:hAnsi="Verdana" w:cs="Arial"/>
                <w:bCs/>
              </w:rPr>
              <w:t>/mm/</w:t>
            </w:r>
            <w:proofErr w:type="spellStart"/>
            <w:r w:rsidRPr="00772028">
              <w:rPr>
                <w:rFonts w:ascii="Verdana" w:hAnsi="Verdana" w:cs="Arial"/>
                <w:bCs/>
              </w:rPr>
              <w:t>aa</w:t>
            </w:r>
            <w:proofErr w:type="spellEnd"/>
            <w:r w:rsidRPr="00772028">
              <w:rPr>
                <w:rFonts w:ascii="Verdana" w:hAnsi="Verdana" w:cs="Arial"/>
                <w:bCs/>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0FE45E15" w14:textId="4452A68D" w:rsidR="00245163" w:rsidRPr="00516CA6" w:rsidRDefault="008C1BAF" w:rsidP="00751854">
            <w:pPr>
              <w:pStyle w:val="Ttulo2"/>
              <w:ind w:left="72" w:right="72"/>
              <w:jc w:val="both"/>
              <w:rPr>
                <w:rFonts w:ascii="Verdana" w:hAnsi="Verdana" w:cs="Arial"/>
                <w:b w:val="0"/>
                <w:iCs/>
              </w:rPr>
            </w:pPr>
            <w:r>
              <w:rPr>
                <w:rFonts w:ascii="Verdana" w:hAnsi="Verdana" w:cs="Arial"/>
                <w:b w:val="0"/>
                <w:iCs/>
              </w:rPr>
              <w:t>30</w:t>
            </w:r>
            <w:r w:rsidR="00245163" w:rsidRPr="00516CA6">
              <w:rPr>
                <w:rFonts w:ascii="Verdana" w:hAnsi="Verdana" w:cs="Arial"/>
                <w:b w:val="0"/>
                <w:iCs/>
              </w:rPr>
              <w:t>/0</w:t>
            </w:r>
            <w:r>
              <w:rPr>
                <w:rFonts w:ascii="Verdana" w:hAnsi="Verdana" w:cs="Arial"/>
                <w:b w:val="0"/>
                <w:iCs/>
              </w:rPr>
              <w:t>5</w:t>
            </w:r>
            <w:r w:rsidR="00245163" w:rsidRPr="00516CA6">
              <w:rPr>
                <w:rFonts w:ascii="Verdana" w:hAnsi="Verdana" w:cs="Arial"/>
                <w:b w:val="0"/>
                <w:iCs/>
              </w:rPr>
              <w:t>/2</w:t>
            </w:r>
            <w:r>
              <w:rPr>
                <w:rFonts w:ascii="Verdana" w:hAnsi="Verdana" w:cs="Arial"/>
                <w:b w:val="0"/>
                <w:iCs/>
              </w:rPr>
              <w:t>4</w:t>
            </w:r>
          </w:p>
        </w:tc>
      </w:tr>
      <w:tr w:rsidR="00245163" w:rsidRPr="00772028" w14:paraId="09535AE5" w14:textId="77777777" w:rsidTr="005B3AA8">
        <w:trPr>
          <w:trHeight w:val="97"/>
        </w:trPr>
        <w:tc>
          <w:tcPr>
            <w:tcW w:w="3434" w:type="dxa"/>
            <w:tcBorders>
              <w:top w:val="single" w:sz="4" w:space="0" w:color="auto"/>
              <w:bottom w:val="single" w:sz="4" w:space="0" w:color="auto"/>
              <w:right w:val="single" w:sz="4" w:space="0" w:color="auto"/>
            </w:tcBorders>
            <w:shd w:val="clear" w:color="auto" w:fill="auto"/>
            <w:vAlign w:val="center"/>
          </w:tcPr>
          <w:p w14:paraId="7FEECE37" w14:textId="77777777" w:rsidR="00245163" w:rsidRPr="00772028" w:rsidRDefault="00245163" w:rsidP="00751854">
            <w:pPr>
              <w:pStyle w:val="Ttulo2"/>
              <w:ind w:right="72"/>
              <w:jc w:val="left"/>
              <w:rPr>
                <w:rFonts w:ascii="Verdana" w:hAnsi="Verdana" w:cs="Arial"/>
                <w:bCs/>
              </w:rPr>
            </w:pPr>
            <w:r w:rsidRPr="00772028">
              <w:rPr>
                <w:rFonts w:ascii="Verdana" w:hAnsi="Verdana" w:cs="Arial"/>
                <w:bCs/>
              </w:rPr>
              <w:t>Proyecto de Decreto/Resolución:</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5571C36F" w14:textId="77777777" w:rsidR="005C2388" w:rsidRDefault="005C2388" w:rsidP="00751854">
            <w:pPr>
              <w:pStyle w:val="Ttulo2"/>
              <w:ind w:left="72" w:right="72"/>
              <w:jc w:val="both"/>
              <w:rPr>
                <w:rFonts w:ascii="Verdana" w:hAnsi="Verdana" w:cs="Arial"/>
                <w:b w:val="0"/>
                <w:iCs/>
              </w:rPr>
            </w:pPr>
          </w:p>
          <w:p w14:paraId="3866E45F" w14:textId="5E53F1D8" w:rsidR="00245163" w:rsidRDefault="003F4DC7" w:rsidP="00751854">
            <w:pPr>
              <w:pStyle w:val="Ttulo2"/>
              <w:ind w:left="72" w:right="72"/>
              <w:jc w:val="both"/>
              <w:rPr>
                <w:rFonts w:ascii="Verdana" w:hAnsi="Verdana" w:cs="Arial"/>
                <w:b w:val="0"/>
                <w:iCs/>
              </w:rPr>
            </w:pPr>
            <w:r w:rsidRPr="003F4DC7">
              <w:rPr>
                <w:rFonts w:ascii="Verdana" w:hAnsi="Verdana" w:cs="Arial"/>
                <w:b w:val="0"/>
                <w:iCs/>
              </w:rPr>
              <w:t>“Por el cual se modifican los artículos 2.1.1.1.1.4.1.3, 2.1.1.1.1.1.8 y 2.1.10.1.2.2.2.; algunas disposiciones del Capítulo 7 del título 1 de la Parte 1 del Libro 2 y se adiciona la Sección 1 al Capítulo 7 del título 1 de la Parte 1 del Libro 2 del Decreto 1077 de 2015 Único Reglamentario del Sector Vivienda, Ciudad y Territorio, en lo relativo al subsidio familiar de vivienda en la modalidad de mejoramiento, en el marco del programa "Cambia Mi Casa"</w:t>
            </w:r>
          </w:p>
          <w:p w14:paraId="076A0520" w14:textId="61092F42" w:rsidR="005C2388" w:rsidRPr="005C2388" w:rsidRDefault="005C2388" w:rsidP="005C2388"/>
        </w:tc>
      </w:tr>
      <w:tr w:rsidR="00245163" w:rsidRPr="00772028" w14:paraId="0DC843A3" w14:textId="77777777" w:rsidTr="002F468D">
        <w:trPr>
          <w:trHeight w:val="674"/>
        </w:trPr>
        <w:tc>
          <w:tcPr>
            <w:tcW w:w="10774" w:type="dxa"/>
            <w:gridSpan w:val="3"/>
            <w:tcBorders>
              <w:top w:val="single" w:sz="4" w:space="0" w:color="auto"/>
            </w:tcBorders>
            <w:shd w:val="clear" w:color="auto" w:fill="FFFFFF"/>
            <w:vAlign w:val="center"/>
          </w:tcPr>
          <w:p w14:paraId="5DD2B47E" w14:textId="77777777" w:rsidR="00245163" w:rsidRPr="00772028" w:rsidRDefault="00245163" w:rsidP="00751854">
            <w:pPr>
              <w:autoSpaceDE w:val="0"/>
              <w:autoSpaceDN w:val="0"/>
              <w:adjustRightInd w:val="0"/>
              <w:jc w:val="both"/>
              <w:rPr>
                <w:rFonts w:ascii="Verdana" w:eastAsia="Calibri" w:hAnsi="Verdana" w:cs="Arial"/>
                <w:lang w:val="es-CO" w:eastAsia="en-US"/>
              </w:rPr>
            </w:pPr>
          </w:p>
          <w:p w14:paraId="7763338A" w14:textId="77777777" w:rsidR="00245163" w:rsidRPr="00772028" w:rsidRDefault="00245163" w:rsidP="00CF1141">
            <w:pPr>
              <w:numPr>
                <w:ilvl w:val="0"/>
                <w:numId w:val="1"/>
              </w:numPr>
              <w:ind w:left="494"/>
              <w:jc w:val="both"/>
              <w:rPr>
                <w:rFonts w:ascii="Verdana" w:hAnsi="Verdana" w:cs="Arial"/>
                <w:b/>
                <w:color w:val="000000"/>
                <w:lang w:val="es-CO"/>
              </w:rPr>
            </w:pPr>
            <w:r w:rsidRPr="00772028">
              <w:rPr>
                <w:rFonts w:ascii="Verdana" w:hAnsi="Verdana" w:cs="Arial"/>
                <w:b/>
                <w:color w:val="000000"/>
                <w:lang w:val="es-CO"/>
              </w:rPr>
              <w:t>ANTECEDENTES Y RAZONES DE OPORTUNIDAD Y CONVENIENCIA QUE JUSTIFICAN SU EXPEDICIÓN.</w:t>
            </w:r>
          </w:p>
          <w:p w14:paraId="33BD394F" w14:textId="77777777" w:rsidR="00245163" w:rsidRPr="00772028" w:rsidRDefault="00245163" w:rsidP="00751854">
            <w:pPr>
              <w:ind w:left="134"/>
              <w:jc w:val="both"/>
              <w:rPr>
                <w:rFonts w:ascii="Verdana" w:hAnsi="Verdana" w:cs="Arial"/>
                <w:i/>
                <w:color w:val="808080"/>
              </w:rPr>
            </w:pPr>
            <w:r w:rsidRPr="00772028">
              <w:rPr>
                <w:rFonts w:ascii="Verdana" w:hAnsi="Verdana" w:cs="Arial"/>
                <w:i/>
                <w:color w:val="808080"/>
              </w:rPr>
              <w:t xml:space="preserve">(Por favor explique de manera amplia y detallada: la necesidad de regulación, alcance, fin que se pretende y sus implicaciones con otras disposiciones, por favor no transcriba con considerandos) </w:t>
            </w:r>
          </w:p>
          <w:p w14:paraId="2A69CEEA" w14:textId="4BC52EBB" w:rsidR="00805903" w:rsidRDefault="00805903" w:rsidP="00751854">
            <w:pPr>
              <w:ind w:left="134"/>
              <w:jc w:val="both"/>
              <w:rPr>
                <w:rFonts w:ascii="Verdana" w:hAnsi="Verdana" w:cs="Arial"/>
                <w:i/>
                <w:color w:val="808080"/>
              </w:rPr>
            </w:pPr>
          </w:p>
          <w:p w14:paraId="669EA2F5" w14:textId="77777777" w:rsidR="00E76FC6" w:rsidRDefault="00E76FC6" w:rsidP="00751854">
            <w:pPr>
              <w:ind w:left="134"/>
              <w:jc w:val="both"/>
              <w:rPr>
                <w:rFonts w:ascii="Verdana" w:hAnsi="Verdana" w:cs="Arial"/>
                <w:i/>
                <w:color w:val="808080"/>
              </w:rPr>
            </w:pPr>
          </w:p>
          <w:p w14:paraId="539C900B" w14:textId="5E971178" w:rsidR="00290194" w:rsidRPr="00290194" w:rsidRDefault="00290194" w:rsidP="00751854">
            <w:pPr>
              <w:ind w:left="134"/>
              <w:jc w:val="both"/>
              <w:rPr>
                <w:rFonts w:ascii="Verdana" w:hAnsi="Verdana" w:cs="Arial"/>
                <w:b/>
                <w:bCs/>
                <w:i/>
                <w:color w:val="808080"/>
              </w:rPr>
            </w:pPr>
            <w:r w:rsidRPr="00290194">
              <w:rPr>
                <w:rFonts w:ascii="Verdana" w:hAnsi="Verdana" w:cs="Arial"/>
                <w:b/>
                <w:bCs/>
                <w:i/>
                <w:color w:val="808080"/>
              </w:rPr>
              <w:t>1.1.</w:t>
            </w:r>
            <w:r w:rsidRPr="00290194">
              <w:rPr>
                <w:rFonts w:ascii="Verdana" w:hAnsi="Verdana" w:cs="Arial"/>
                <w:b/>
                <w:bCs/>
                <w:i/>
                <w:color w:val="808080"/>
              </w:rPr>
              <w:tab/>
              <w:t xml:space="preserve">Déficit </w:t>
            </w:r>
            <w:r w:rsidR="005B27B2">
              <w:rPr>
                <w:rFonts w:ascii="Verdana" w:hAnsi="Verdana" w:cs="Arial"/>
                <w:b/>
                <w:bCs/>
                <w:i/>
                <w:color w:val="808080"/>
              </w:rPr>
              <w:t>h</w:t>
            </w:r>
            <w:r w:rsidRPr="00290194">
              <w:rPr>
                <w:rFonts w:ascii="Verdana" w:hAnsi="Verdana" w:cs="Arial"/>
                <w:b/>
                <w:bCs/>
                <w:i/>
                <w:color w:val="808080"/>
              </w:rPr>
              <w:t>abitacional</w:t>
            </w:r>
          </w:p>
          <w:p w14:paraId="443D02C2" w14:textId="6EDE87D6" w:rsidR="00290194" w:rsidRDefault="00290194" w:rsidP="00751854">
            <w:pPr>
              <w:ind w:left="134"/>
              <w:jc w:val="both"/>
              <w:rPr>
                <w:rFonts w:ascii="Verdana" w:hAnsi="Verdana" w:cs="Arial"/>
                <w:i/>
                <w:color w:val="808080"/>
              </w:rPr>
            </w:pPr>
          </w:p>
          <w:p w14:paraId="1A429D7B" w14:textId="77777777" w:rsidR="004E0794" w:rsidRPr="004E0794" w:rsidRDefault="00245163" w:rsidP="004E0794">
            <w:pPr>
              <w:autoSpaceDE w:val="0"/>
              <w:autoSpaceDN w:val="0"/>
              <w:adjustRightInd w:val="0"/>
              <w:jc w:val="both"/>
              <w:rPr>
                <w:rFonts w:ascii="Verdana" w:eastAsia="Calibri" w:hAnsi="Verdana" w:cs="Arial"/>
                <w:lang w:val="es-CO" w:eastAsia="en-US"/>
              </w:rPr>
            </w:pPr>
            <w:r w:rsidRPr="00772028">
              <w:rPr>
                <w:rFonts w:ascii="Verdana" w:eastAsia="Calibri" w:hAnsi="Verdana" w:cs="Arial"/>
                <w:lang w:val="es-CO" w:eastAsia="en-US"/>
              </w:rPr>
              <w:t xml:space="preserve">De acuerdo con cifras del Departamento Administrativo Nacional de Estadística (DANE), a partir de la Encuesta Nacional de Calidad de Vida (ENCV), para el 2019 el 32,8% de los hogares </w:t>
            </w:r>
            <w:r w:rsidR="00CF1141">
              <w:rPr>
                <w:rFonts w:ascii="Verdana" w:eastAsia="Calibri" w:hAnsi="Verdana" w:cs="Arial"/>
                <w:lang w:val="es-CO" w:eastAsia="en-US"/>
              </w:rPr>
              <w:t>se encontraban</w:t>
            </w:r>
            <w:r w:rsidRPr="00772028">
              <w:rPr>
                <w:rFonts w:ascii="Verdana" w:eastAsia="Calibri" w:hAnsi="Verdana" w:cs="Arial"/>
                <w:lang w:val="es-CO" w:eastAsia="en-US"/>
              </w:rPr>
              <w:t xml:space="preserve"> en déficit habitacional. Para el 202</w:t>
            </w:r>
            <w:r w:rsidR="004E0794">
              <w:rPr>
                <w:rFonts w:ascii="Verdana" w:eastAsia="Calibri" w:hAnsi="Verdana" w:cs="Arial"/>
                <w:lang w:val="es-CO" w:eastAsia="en-US"/>
              </w:rPr>
              <w:t>3</w:t>
            </w:r>
            <w:r w:rsidRPr="00772028">
              <w:rPr>
                <w:rFonts w:ascii="Verdana" w:eastAsia="Calibri" w:hAnsi="Verdana" w:cs="Arial"/>
                <w:lang w:val="es-CO" w:eastAsia="en-US"/>
              </w:rPr>
              <w:t xml:space="preserve">, este porcentaje se redujo a </w:t>
            </w:r>
            <w:r w:rsidR="004E0794">
              <w:rPr>
                <w:rFonts w:ascii="Verdana" w:eastAsia="Calibri" w:hAnsi="Verdana" w:cs="Arial"/>
                <w:lang w:val="es-CO" w:eastAsia="en-US"/>
              </w:rPr>
              <w:t>28</w:t>
            </w:r>
            <w:r w:rsidRPr="00772028">
              <w:rPr>
                <w:rFonts w:ascii="Verdana" w:eastAsia="Calibri" w:hAnsi="Verdana" w:cs="Arial"/>
                <w:lang w:val="es-CO" w:eastAsia="en-US"/>
              </w:rPr>
              <w:t>,</w:t>
            </w:r>
            <w:r w:rsidR="004E0794">
              <w:rPr>
                <w:rFonts w:ascii="Verdana" w:eastAsia="Calibri" w:hAnsi="Verdana" w:cs="Arial"/>
                <w:lang w:val="es-CO" w:eastAsia="en-US"/>
              </w:rPr>
              <w:t>9</w:t>
            </w:r>
            <w:r w:rsidRPr="00772028">
              <w:rPr>
                <w:rFonts w:ascii="Verdana" w:eastAsia="Calibri" w:hAnsi="Verdana" w:cs="Arial"/>
                <w:lang w:val="es-CO" w:eastAsia="en-US"/>
              </w:rPr>
              <w:t>%</w:t>
            </w:r>
            <w:r w:rsidR="004E0794">
              <w:rPr>
                <w:rFonts w:ascii="Verdana" w:eastAsia="Calibri" w:hAnsi="Verdana" w:cs="Arial"/>
                <w:lang w:val="es-CO" w:eastAsia="en-US"/>
              </w:rPr>
              <w:t xml:space="preserve"> </w:t>
            </w:r>
            <w:r w:rsidR="004E0794" w:rsidRPr="002E4AC8">
              <w:t>(5,</w:t>
            </w:r>
            <w:r w:rsidR="004E0794">
              <w:t>15</w:t>
            </w:r>
            <w:r w:rsidR="004E0794" w:rsidRPr="002E4AC8">
              <w:t xml:space="preserve"> millones)</w:t>
            </w:r>
            <w:r w:rsidRPr="00772028">
              <w:rPr>
                <w:rFonts w:ascii="Verdana" w:eastAsia="Calibri" w:hAnsi="Verdana" w:cs="Arial"/>
                <w:lang w:val="es-CO" w:eastAsia="en-US"/>
              </w:rPr>
              <w:t xml:space="preserve">, </w:t>
            </w:r>
            <w:r w:rsidR="004E0794">
              <w:rPr>
                <w:rFonts w:ascii="Verdana" w:eastAsia="Calibri" w:hAnsi="Verdana" w:cs="Arial"/>
                <w:lang w:val="es-CO" w:eastAsia="en-US"/>
              </w:rPr>
              <w:t>que</w:t>
            </w:r>
            <w:r w:rsidRPr="00772028">
              <w:rPr>
                <w:rFonts w:ascii="Verdana" w:eastAsia="Calibri" w:hAnsi="Verdana" w:cs="Arial"/>
                <w:lang w:val="es-CO" w:eastAsia="en-US"/>
              </w:rPr>
              <w:t xml:space="preserve"> significa una disminución de </w:t>
            </w:r>
            <w:r w:rsidR="004E0794">
              <w:rPr>
                <w:rFonts w:ascii="Verdana" w:eastAsia="Calibri" w:hAnsi="Verdana" w:cs="Arial"/>
                <w:lang w:val="es-CO" w:eastAsia="en-US"/>
              </w:rPr>
              <w:t>3</w:t>
            </w:r>
            <w:r w:rsidRPr="00772028">
              <w:rPr>
                <w:rFonts w:ascii="Verdana" w:eastAsia="Calibri" w:hAnsi="Verdana" w:cs="Arial"/>
                <w:lang w:val="es-CO" w:eastAsia="en-US"/>
              </w:rPr>
              <w:t>,</w:t>
            </w:r>
            <w:r w:rsidR="004E0794">
              <w:rPr>
                <w:rFonts w:ascii="Verdana" w:eastAsia="Calibri" w:hAnsi="Verdana" w:cs="Arial"/>
                <w:lang w:val="es-CO" w:eastAsia="en-US"/>
              </w:rPr>
              <w:t>9</w:t>
            </w:r>
            <w:r w:rsidRPr="00772028">
              <w:rPr>
                <w:rFonts w:ascii="Verdana" w:eastAsia="Calibri" w:hAnsi="Verdana" w:cs="Arial"/>
                <w:lang w:val="es-CO" w:eastAsia="en-US"/>
              </w:rPr>
              <w:t xml:space="preserve"> puntos porcentuales (p</w:t>
            </w:r>
            <w:r w:rsidR="004E0794">
              <w:rPr>
                <w:rFonts w:ascii="Verdana" w:eastAsia="Calibri" w:hAnsi="Verdana" w:cs="Arial"/>
                <w:lang w:val="es-CO" w:eastAsia="en-US"/>
              </w:rPr>
              <w:t>.</w:t>
            </w:r>
            <w:r w:rsidRPr="00772028">
              <w:rPr>
                <w:rFonts w:ascii="Verdana" w:eastAsia="Calibri" w:hAnsi="Verdana" w:cs="Arial"/>
                <w:lang w:val="es-CO" w:eastAsia="en-US"/>
              </w:rPr>
              <w:t>p</w:t>
            </w:r>
            <w:r w:rsidR="004E0794">
              <w:rPr>
                <w:rFonts w:ascii="Verdana" w:eastAsia="Calibri" w:hAnsi="Verdana" w:cs="Arial"/>
                <w:lang w:val="es-CO" w:eastAsia="en-US"/>
              </w:rPr>
              <w:t>.</w:t>
            </w:r>
            <w:r w:rsidRPr="00772028">
              <w:rPr>
                <w:rFonts w:ascii="Verdana" w:eastAsia="Calibri" w:hAnsi="Verdana" w:cs="Arial"/>
                <w:lang w:val="es-CO" w:eastAsia="en-US"/>
              </w:rPr>
              <w:t xml:space="preserve">), </w:t>
            </w:r>
            <w:r w:rsidR="004E0794" w:rsidRPr="004E0794">
              <w:rPr>
                <w:rFonts w:ascii="Verdana" w:eastAsia="Calibri" w:hAnsi="Verdana" w:cs="Arial"/>
                <w:lang w:val="es-CO" w:eastAsia="en-US"/>
              </w:rPr>
              <w:t>dando continuidad a la tendencia a la baja registrada en los últimos años.</w:t>
            </w:r>
          </w:p>
          <w:p w14:paraId="08A024B8" w14:textId="77777777" w:rsidR="004E0794" w:rsidRPr="004E0794" w:rsidRDefault="004E0794" w:rsidP="004E0794">
            <w:pPr>
              <w:autoSpaceDE w:val="0"/>
              <w:autoSpaceDN w:val="0"/>
              <w:adjustRightInd w:val="0"/>
              <w:jc w:val="both"/>
              <w:rPr>
                <w:rFonts w:ascii="Verdana" w:eastAsia="Calibri" w:hAnsi="Verdana" w:cs="Arial"/>
                <w:lang w:val="es-CO" w:eastAsia="en-US"/>
              </w:rPr>
            </w:pPr>
          </w:p>
          <w:p w14:paraId="7D4C4F0E" w14:textId="6024E55F" w:rsidR="00245163" w:rsidRPr="00772028" w:rsidRDefault="004E0794" w:rsidP="004E0794">
            <w:pPr>
              <w:autoSpaceDE w:val="0"/>
              <w:autoSpaceDN w:val="0"/>
              <w:adjustRightInd w:val="0"/>
              <w:jc w:val="both"/>
              <w:rPr>
                <w:rFonts w:ascii="Verdana" w:eastAsia="Calibri" w:hAnsi="Verdana" w:cs="Arial"/>
                <w:lang w:val="es-CO" w:eastAsia="en-US"/>
              </w:rPr>
            </w:pPr>
            <w:r w:rsidRPr="004E0794">
              <w:rPr>
                <w:rFonts w:ascii="Verdana" w:eastAsia="Calibri" w:hAnsi="Verdana" w:cs="Arial"/>
                <w:lang w:val="es-CO" w:eastAsia="en-US"/>
              </w:rPr>
              <w:t>Del total de hogares para 2023</w:t>
            </w:r>
            <w:r>
              <w:rPr>
                <w:rStyle w:val="Refdenotaalpie"/>
                <w:rFonts w:ascii="Verdana" w:eastAsia="Calibri" w:hAnsi="Verdana" w:cs="Arial"/>
                <w:lang w:val="es-CO" w:eastAsia="en-US"/>
              </w:rPr>
              <w:footnoteReference w:id="1"/>
            </w:r>
            <w:r w:rsidRPr="004E0794">
              <w:rPr>
                <w:rFonts w:ascii="Verdana" w:eastAsia="Calibri" w:hAnsi="Verdana" w:cs="Arial"/>
                <w:lang w:val="es-CO" w:eastAsia="en-US"/>
              </w:rPr>
              <w:t>, 1,21 millones (6,8%) presentaban déficit cuantitativo asociado principalmente al uso de materiales inadecuados en las paredes o la carencia de estas, seguido del hacinamiento no mitigable. Además, otros 3,94 millones de hogares (22,1%) presentaban deficiencias cualitativas, siendo la falta de alcantarillado, el hacinamiento mitigable y el uso de agua para cocinar proveniente de fuentes inadecuadas</w:t>
            </w:r>
            <w:r>
              <w:rPr>
                <w:rStyle w:val="Refdenotaalpie"/>
                <w:rFonts w:ascii="Verdana" w:eastAsia="Calibri" w:hAnsi="Verdana" w:cs="Arial"/>
                <w:lang w:val="es-CO" w:eastAsia="en-US"/>
              </w:rPr>
              <w:footnoteReference w:id="2"/>
            </w:r>
            <w:r w:rsidRPr="004E0794">
              <w:rPr>
                <w:rFonts w:ascii="Verdana" w:eastAsia="Calibri" w:hAnsi="Verdana" w:cs="Arial"/>
                <w:lang w:val="es-CO" w:eastAsia="en-US"/>
              </w:rPr>
              <w:t xml:space="preserve"> aquellas que los afectaban en mayor medida (Gráfico 1). Además, existen otras barreras que dificultan el acceso de las familias a una vivienda digna, entre las cuales se destacan los bajos ingresos, la informalidad laboral y la falta de acceso a financiación formal, entre otras (Organización para la Cooperación y el Desarrollo Económico (OCDE), 2022</w:t>
            </w:r>
            <w:r w:rsidR="001B621A">
              <w:rPr>
                <w:rStyle w:val="Refdenotaalpie"/>
                <w:rFonts w:ascii="Verdana" w:eastAsia="Calibri" w:hAnsi="Verdana" w:cs="Arial"/>
                <w:lang w:val="es-CO" w:eastAsia="en-US"/>
              </w:rPr>
              <w:footnoteReference w:id="3"/>
            </w:r>
            <w:r w:rsidRPr="004E0794">
              <w:rPr>
                <w:rFonts w:ascii="Verdana" w:eastAsia="Calibri" w:hAnsi="Verdana" w:cs="Arial"/>
                <w:lang w:val="es-CO" w:eastAsia="en-US"/>
              </w:rPr>
              <w:t>; Banco Mundial, 2021</w:t>
            </w:r>
            <w:r w:rsidR="001B621A">
              <w:rPr>
                <w:rStyle w:val="Refdenotaalpie"/>
                <w:rFonts w:ascii="Verdana" w:eastAsia="Calibri" w:hAnsi="Verdana" w:cs="Arial"/>
                <w:lang w:val="es-CO" w:eastAsia="en-US"/>
              </w:rPr>
              <w:footnoteReference w:id="4"/>
            </w:r>
            <w:r w:rsidRPr="004E0794">
              <w:rPr>
                <w:rFonts w:ascii="Verdana" w:eastAsia="Calibri" w:hAnsi="Verdana" w:cs="Arial"/>
                <w:lang w:val="es-CO" w:eastAsia="en-US"/>
              </w:rPr>
              <w:t>).</w:t>
            </w:r>
          </w:p>
          <w:p w14:paraId="7381D799" w14:textId="77777777" w:rsidR="00245163" w:rsidRPr="00772028" w:rsidRDefault="00245163" w:rsidP="00751854">
            <w:pPr>
              <w:autoSpaceDE w:val="0"/>
              <w:autoSpaceDN w:val="0"/>
              <w:adjustRightInd w:val="0"/>
              <w:jc w:val="both"/>
              <w:rPr>
                <w:rFonts w:ascii="Verdana" w:eastAsia="Calibri" w:hAnsi="Verdana" w:cs="Arial"/>
                <w:lang w:val="es-CO" w:eastAsia="en-US"/>
              </w:rPr>
            </w:pPr>
          </w:p>
          <w:p w14:paraId="07B5C7CC" w14:textId="59AA7C3C" w:rsidR="005F4A9C" w:rsidRDefault="00245163" w:rsidP="005F4A9C">
            <w:pPr>
              <w:pStyle w:val="Descripcin"/>
              <w:jc w:val="center"/>
              <w:rPr>
                <w:rFonts w:ascii="Verdana" w:hAnsi="Verdana"/>
                <w:sz w:val="20"/>
                <w:szCs w:val="20"/>
              </w:rPr>
            </w:pPr>
            <w:r w:rsidRPr="00772028">
              <w:rPr>
                <w:rFonts w:ascii="Verdana" w:hAnsi="Verdana"/>
                <w:sz w:val="20"/>
                <w:szCs w:val="20"/>
              </w:rPr>
              <w:t xml:space="preserve">Gráfica 1. Déficit habitacional </w:t>
            </w:r>
            <w:r w:rsidR="005F4A9C" w:rsidRPr="005F4A9C">
              <w:rPr>
                <w:rFonts w:ascii="Verdana" w:hAnsi="Verdana"/>
                <w:sz w:val="20"/>
                <w:szCs w:val="20"/>
              </w:rPr>
              <w:t>en Colombia entre 2019 y 2023</w:t>
            </w:r>
          </w:p>
          <w:tbl>
            <w:tblPr>
              <w:tblW w:w="0" w:type="auto"/>
              <w:jc w:val="center"/>
              <w:tblLayout w:type="fixed"/>
              <w:tblLook w:val="04A0" w:firstRow="1" w:lastRow="0" w:firstColumn="1" w:lastColumn="0" w:noHBand="0" w:noVBand="1"/>
            </w:tblPr>
            <w:tblGrid>
              <w:gridCol w:w="4647"/>
              <w:gridCol w:w="4807"/>
            </w:tblGrid>
            <w:tr w:rsidR="005F4A9C" w:rsidRPr="002260D0" w14:paraId="666D99FF" w14:textId="77777777" w:rsidTr="005C5323">
              <w:trPr>
                <w:jc w:val="center"/>
              </w:trPr>
              <w:tc>
                <w:tcPr>
                  <w:tcW w:w="4647" w:type="dxa"/>
                  <w:shd w:val="clear" w:color="auto" w:fill="auto"/>
                </w:tcPr>
                <w:p w14:paraId="63BE8352" w14:textId="7DA589A7" w:rsidR="005C5323" w:rsidRPr="00101F25" w:rsidRDefault="005F4A9C" w:rsidP="005C5323">
                  <w:pPr>
                    <w:pStyle w:val="Prrafodelista"/>
                    <w:numPr>
                      <w:ilvl w:val="0"/>
                      <w:numId w:val="5"/>
                    </w:numPr>
                    <w:autoSpaceDE w:val="0"/>
                    <w:autoSpaceDN w:val="0"/>
                    <w:adjustRightInd w:val="0"/>
                    <w:jc w:val="center"/>
                    <w:rPr>
                      <w:rFonts w:ascii="Verdana" w:hAnsi="Verdana"/>
                      <w:sz w:val="20"/>
                      <w:szCs w:val="20"/>
                    </w:rPr>
                  </w:pPr>
                  <w:r w:rsidRPr="00101F25">
                    <w:rPr>
                      <w:rFonts w:ascii="Verdana" w:hAnsi="Verdana"/>
                      <w:sz w:val="20"/>
                      <w:szCs w:val="20"/>
                    </w:rPr>
                    <w:t>Porcentaje de hogares</w:t>
                  </w:r>
                </w:p>
              </w:tc>
              <w:tc>
                <w:tcPr>
                  <w:tcW w:w="4807" w:type="dxa"/>
                  <w:shd w:val="clear" w:color="auto" w:fill="auto"/>
                </w:tcPr>
                <w:p w14:paraId="1EC0D30F" w14:textId="27C5C112" w:rsidR="005F4A9C" w:rsidRPr="00101F25" w:rsidRDefault="005C5323" w:rsidP="005C5323">
                  <w:pPr>
                    <w:autoSpaceDE w:val="0"/>
                    <w:autoSpaceDN w:val="0"/>
                    <w:adjustRightInd w:val="0"/>
                    <w:rPr>
                      <w:rFonts w:ascii="Verdana" w:eastAsia="Calibri" w:hAnsi="Verdana" w:cs="Arial"/>
                      <w:lang w:val="es-CO" w:eastAsia="en-US"/>
                    </w:rPr>
                  </w:pPr>
                  <w:r w:rsidRPr="00101F25">
                    <w:rPr>
                      <w:rFonts w:ascii="Verdana" w:hAnsi="Verdana"/>
                    </w:rPr>
                    <w:t xml:space="preserve">       </w:t>
                  </w:r>
                  <w:r w:rsidR="005F4A9C" w:rsidRPr="00101F25">
                    <w:rPr>
                      <w:rFonts w:ascii="Verdana" w:hAnsi="Verdana"/>
                    </w:rPr>
                    <w:t>B. Número de hogares (en miles)</w:t>
                  </w:r>
                </w:p>
              </w:tc>
            </w:tr>
            <w:tr w:rsidR="005F4A9C" w:rsidRPr="002260D0" w14:paraId="7435B56E" w14:textId="77777777" w:rsidTr="005C5323">
              <w:trPr>
                <w:jc w:val="center"/>
              </w:trPr>
              <w:tc>
                <w:tcPr>
                  <w:tcW w:w="4647" w:type="dxa"/>
                  <w:shd w:val="clear" w:color="auto" w:fill="auto"/>
                </w:tcPr>
                <w:p w14:paraId="15B9CAA5" w14:textId="515E60B6" w:rsidR="005F4A9C" w:rsidRPr="002260D0" w:rsidRDefault="005C5323" w:rsidP="005C5323">
                  <w:pPr>
                    <w:autoSpaceDE w:val="0"/>
                    <w:autoSpaceDN w:val="0"/>
                    <w:adjustRightInd w:val="0"/>
                    <w:ind w:left="-702"/>
                    <w:jc w:val="center"/>
                    <w:rPr>
                      <w:rFonts w:ascii="Verdana" w:eastAsia="Calibri" w:hAnsi="Verdana" w:cs="Arial"/>
                      <w:lang w:val="es-CO" w:eastAsia="en-US"/>
                    </w:rPr>
                  </w:pPr>
                  <w:r>
                    <w:rPr>
                      <w:rFonts w:ascii="Verdana" w:eastAsia="Calibri" w:hAnsi="Verdana" w:cs="Arial"/>
                      <w:lang w:val="es-CO" w:eastAsia="en-US"/>
                    </w:rPr>
                    <w:t xml:space="preserve">              </w:t>
                  </w:r>
                  <w:r w:rsidR="005F4A9C" w:rsidRPr="00360875">
                    <w:rPr>
                      <w:noProof/>
                    </w:rPr>
                    <w:drawing>
                      <wp:inline distT="0" distB="0" distL="0" distR="0" wp14:anchorId="535A30F7" wp14:editId="6740C303">
                        <wp:extent cx="2593340" cy="1749425"/>
                        <wp:effectExtent l="0" t="0" r="0" b="3175"/>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807" w:type="dxa"/>
                  <w:shd w:val="clear" w:color="auto" w:fill="auto"/>
                </w:tcPr>
                <w:p w14:paraId="139FCAD9" w14:textId="55DAC334" w:rsidR="005F4A9C" w:rsidRPr="002260D0" w:rsidRDefault="005F4A9C" w:rsidP="005C5323">
                  <w:pPr>
                    <w:autoSpaceDE w:val="0"/>
                    <w:autoSpaceDN w:val="0"/>
                    <w:adjustRightInd w:val="0"/>
                    <w:ind w:right="-692"/>
                    <w:rPr>
                      <w:rFonts w:ascii="Verdana" w:eastAsia="Calibri" w:hAnsi="Verdana" w:cs="Arial"/>
                      <w:lang w:val="es-CO" w:eastAsia="en-US"/>
                    </w:rPr>
                  </w:pPr>
                  <w:r w:rsidRPr="00360875">
                    <w:rPr>
                      <w:noProof/>
                    </w:rPr>
                    <w:drawing>
                      <wp:inline distT="0" distB="0" distL="0" distR="0" wp14:anchorId="461554EA" wp14:editId="5F9EBD0C">
                        <wp:extent cx="2520950" cy="1741170"/>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6E8870CE" w14:textId="77777777" w:rsidR="005C5323" w:rsidRDefault="005C5323" w:rsidP="005F4A9C">
            <w:pPr>
              <w:autoSpaceDE w:val="0"/>
              <w:autoSpaceDN w:val="0"/>
              <w:adjustRightInd w:val="0"/>
              <w:jc w:val="center"/>
              <w:rPr>
                <w:rFonts w:ascii="Verdana" w:hAnsi="Verdana" w:cs="Arial"/>
                <w:bCs/>
                <w:sz w:val="16"/>
                <w:szCs w:val="16"/>
              </w:rPr>
            </w:pPr>
          </w:p>
          <w:p w14:paraId="4B7E2B8E" w14:textId="47E31AD0" w:rsidR="005F4A9C" w:rsidRPr="00101F25" w:rsidRDefault="005F4A9C" w:rsidP="005F4A9C">
            <w:pPr>
              <w:autoSpaceDE w:val="0"/>
              <w:autoSpaceDN w:val="0"/>
              <w:adjustRightInd w:val="0"/>
              <w:jc w:val="center"/>
              <w:rPr>
                <w:rFonts w:ascii="Verdana" w:hAnsi="Verdana" w:cs="Arial"/>
                <w:bCs/>
                <w:sz w:val="18"/>
                <w:szCs w:val="18"/>
              </w:rPr>
            </w:pPr>
            <w:r w:rsidRPr="00101F25">
              <w:rPr>
                <w:rFonts w:ascii="Verdana" w:hAnsi="Verdana" w:cs="Arial"/>
                <w:bCs/>
                <w:sz w:val="18"/>
                <w:szCs w:val="18"/>
              </w:rPr>
              <w:t>Fuente: Cálculos MVCT con base en la ECV-DANE (2023).</w:t>
            </w:r>
          </w:p>
          <w:p w14:paraId="241D4122" w14:textId="3AF1FC3B" w:rsidR="005F4A9C" w:rsidRDefault="005F4A9C" w:rsidP="005F4A9C">
            <w:pPr>
              <w:rPr>
                <w:rFonts w:ascii="Verdana" w:eastAsia="Calibri" w:hAnsi="Verdana" w:cs="Arial"/>
                <w:lang w:eastAsia="en-US"/>
              </w:rPr>
            </w:pPr>
          </w:p>
          <w:p w14:paraId="70663028" w14:textId="77777777" w:rsidR="00E76FC6" w:rsidRPr="005F4A9C" w:rsidRDefault="00E76FC6" w:rsidP="005F4A9C">
            <w:pPr>
              <w:rPr>
                <w:rFonts w:ascii="Verdana" w:eastAsia="Calibri" w:hAnsi="Verdana" w:cs="Arial"/>
                <w:lang w:eastAsia="en-US"/>
              </w:rPr>
            </w:pPr>
          </w:p>
          <w:p w14:paraId="69F68541" w14:textId="77777777" w:rsidR="00290194" w:rsidRDefault="00290194" w:rsidP="005C5323">
            <w:pPr>
              <w:autoSpaceDE w:val="0"/>
              <w:autoSpaceDN w:val="0"/>
              <w:adjustRightInd w:val="0"/>
              <w:jc w:val="both"/>
              <w:rPr>
                <w:rFonts w:ascii="Verdana" w:eastAsia="Calibri" w:hAnsi="Verdana" w:cs="Arial"/>
                <w:lang w:val="es-CO" w:eastAsia="en-US"/>
              </w:rPr>
            </w:pPr>
          </w:p>
          <w:p w14:paraId="288A2964" w14:textId="0690918C" w:rsidR="00290194" w:rsidRPr="00290194" w:rsidRDefault="00290194" w:rsidP="00290194">
            <w:pPr>
              <w:ind w:left="134"/>
              <w:jc w:val="both"/>
              <w:rPr>
                <w:rFonts w:ascii="Verdana" w:hAnsi="Verdana" w:cs="Arial"/>
                <w:b/>
                <w:bCs/>
                <w:i/>
                <w:color w:val="808080"/>
              </w:rPr>
            </w:pPr>
            <w:r w:rsidRPr="00290194">
              <w:rPr>
                <w:rFonts w:ascii="Verdana" w:hAnsi="Verdana" w:cs="Arial"/>
                <w:b/>
                <w:bCs/>
                <w:i/>
                <w:color w:val="808080"/>
              </w:rPr>
              <w:t>1.1.</w:t>
            </w:r>
            <w:r>
              <w:rPr>
                <w:rFonts w:ascii="Verdana" w:hAnsi="Verdana" w:cs="Arial"/>
                <w:b/>
                <w:bCs/>
                <w:i/>
                <w:color w:val="808080"/>
              </w:rPr>
              <w:t>1.</w:t>
            </w:r>
            <w:r w:rsidRPr="00290194">
              <w:rPr>
                <w:rFonts w:ascii="Verdana" w:hAnsi="Verdana" w:cs="Arial"/>
                <w:b/>
                <w:bCs/>
                <w:i/>
                <w:color w:val="808080"/>
              </w:rPr>
              <w:tab/>
              <w:t xml:space="preserve">Déficit </w:t>
            </w:r>
            <w:r w:rsidR="005B27B2">
              <w:rPr>
                <w:rFonts w:ascii="Verdana" w:hAnsi="Verdana" w:cs="Arial"/>
                <w:b/>
                <w:bCs/>
                <w:i/>
                <w:color w:val="808080"/>
              </w:rPr>
              <w:t>h</w:t>
            </w:r>
            <w:r w:rsidRPr="00290194">
              <w:rPr>
                <w:rFonts w:ascii="Verdana" w:hAnsi="Verdana" w:cs="Arial"/>
                <w:b/>
                <w:bCs/>
                <w:i/>
                <w:color w:val="808080"/>
              </w:rPr>
              <w:t>abitacional</w:t>
            </w:r>
            <w:r>
              <w:rPr>
                <w:rFonts w:ascii="Verdana" w:hAnsi="Verdana" w:cs="Arial"/>
                <w:b/>
                <w:bCs/>
                <w:i/>
                <w:color w:val="808080"/>
              </w:rPr>
              <w:t xml:space="preserve"> </w:t>
            </w:r>
            <w:r w:rsidR="006F1D06">
              <w:rPr>
                <w:rFonts w:ascii="Verdana" w:hAnsi="Verdana" w:cs="Arial"/>
                <w:b/>
                <w:bCs/>
                <w:i/>
                <w:color w:val="808080"/>
              </w:rPr>
              <w:t>por área y dimensiones</w:t>
            </w:r>
          </w:p>
          <w:p w14:paraId="3AF54D62" w14:textId="77777777" w:rsidR="00290194" w:rsidRDefault="00290194" w:rsidP="005C5323">
            <w:pPr>
              <w:autoSpaceDE w:val="0"/>
              <w:autoSpaceDN w:val="0"/>
              <w:adjustRightInd w:val="0"/>
              <w:jc w:val="both"/>
              <w:rPr>
                <w:rFonts w:ascii="Verdana" w:eastAsia="Calibri" w:hAnsi="Verdana" w:cs="Arial"/>
                <w:lang w:val="es-CO" w:eastAsia="en-US"/>
              </w:rPr>
            </w:pPr>
          </w:p>
          <w:p w14:paraId="020EA798" w14:textId="71024538" w:rsidR="005C5323" w:rsidRPr="005C5323" w:rsidRDefault="005C5323" w:rsidP="005C5323">
            <w:pPr>
              <w:autoSpaceDE w:val="0"/>
              <w:autoSpaceDN w:val="0"/>
              <w:adjustRightInd w:val="0"/>
              <w:jc w:val="both"/>
              <w:rPr>
                <w:rFonts w:ascii="Verdana" w:eastAsia="Calibri" w:hAnsi="Verdana" w:cs="Arial"/>
                <w:lang w:val="es-CO" w:eastAsia="en-US"/>
              </w:rPr>
            </w:pPr>
            <w:r w:rsidRPr="005C5323">
              <w:rPr>
                <w:rFonts w:ascii="Verdana" w:eastAsia="Calibri" w:hAnsi="Verdana" w:cs="Arial"/>
                <w:lang w:val="es-CO" w:eastAsia="en-US"/>
              </w:rPr>
              <w:t>Los hogares en déficit habitacional en 2023 (5,15 millones) se distribuyen casi equitativamente tanto en áreas urbanas (2,7 millones) como rurales (2,4 millones), si bien en términos porcentuales existen brechas importantes (19,6% de los hogares urbanos están en déficit, porcentaje que alcanza el 62,1% entre los hogares rurales). En ambas zonas se redujo el déficit total desde 2019, al pasar de 21,6% a 19,6% (2 p.p.) en las áreas urbanas, y de 70,2% a 62,1% (8,1 p.p.) en la ruralidad.</w:t>
            </w:r>
          </w:p>
          <w:p w14:paraId="0740173D" w14:textId="77777777" w:rsidR="005C5323" w:rsidRPr="005C5323" w:rsidRDefault="005C5323" w:rsidP="005C5323">
            <w:pPr>
              <w:autoSpaceDE w:val="0"/>
              <w:autoSpaceDN w:val="0"/>
              <w:adjustRightInd w:val="0"/>
              <w:jc w:val="both"/>
              <w:rPr>
                <w:rFonts w:ascii="Verdana" w:eastAsia="Calibri" w:hAnsi="Verdana" w:cs="Arial"/>
                <w:lang w:val="es-CO" w:eastAsia="en-US"/>
              </w:rPr>
            </w:pPr>
          </w:p>
          <w:p w14:paraId="3D604727" w14:textId="3DABF792" w:rsidR="00CF1141" w:rsidRDefault="005C5323" w:rsidP="005C5323">
            <w:pPr>
              <w:autoSpaceDE w:val="0"/>
              <w:autoSpaceDN w:val="0"/>
              <w:adjustRightInd w:val="0"/>
              <w:jc w:val="both"/>
              <w:rPr>
                <w:rFonts w:ascii="Verdana" w:eastAsia="Calibri" w:hAnsi="Verdana" w:cs="Arial"/>
                <w:lang w:val="es-CO" w:eastAsia="en-US"/>
              </w:rPr>
            </w:pPr>
            <w:r w:rsidRPr="005C5323">
              <w:rPr>
                <w:rFonts w:ascii="Verdana" w:eastAsia="Calibri" w:hAnsi="Verdana" w:cs="Arial"/>
                <w:lang w:val="es-CO" w:eastAsia="en-US"/>
              </w:rPr>
              <w:t>Por componentes, en 2023 predominaron las deficiencias de las viviendas relacionadas con aspectos cualitativos, afectando al 16,5% y 42,1% de los hogares urbanos y rurales, respectivamente, mientras que el déficit cuantitativo afectó a 3,1% de los hogares urbanos y al 19,9% de las familias rurales. Esto significa que hay cerca de tres hogares rurales por cada hogar urbano que presentan deficiencias cualitativas, mientras que, en cuanto al déficit cuantitativo la relación es de seis a uno (Gráfico 2).</w:t>
            </w:r>
          </w:p>
          <w:p w14:paraId="446EF40B" w14:textId="77777777" w:rsidR="00E76FC6" w:rsidRDefault="00E76FC6" w:rsidP="00101F25">
            <w:pPr>
              <w:autoSpaceDE w:val="0"/>
              <w:autoSpaceDN w:val="0"/>
              <w:adjustRightInd w:val="0"/>
              <w:jc w:val="both"/>
              <w:rPr>
                <w:rFonts w:ascii="Verdana" w:eastAsia="Calibri" w:hAnsi="Verdana" w:cs="Arial"/>
                <w:lang w:val="es-CO" w:eastAsia="en-US"/>
              </w:rPr>
            </w:pPr>
          </w:p>
          <w:p w14:paraId="156110A3" w14:textId="678D4FAD" w:rsidR="00101F25" w:rsidRPr="00101F25" w:rsidRDefault="00101F25" w:rsidP="00101F25">
            <w:pPr>
              <w:autoSpaceDE w:val="0"/>
              <w:autoSpaceDN w:val="0"/>
              <w:adjustRightInd w:val="0"/>
              <w:jc w:val="center"/>
              <w:rPr>
                <w:rFonts w:ascii="Verdana" w:eastAsia="Calibri" w:hAnsi="Verdana" w:cs="Arial"/>
                <w:i/>
                <w:iCs/>
                <w:color w:val="44546A"/>
                <w:lang w:val="es-CO" w:eastAsia="en-US"/>
              </w:rPr>
            </w:pPr>
            <w:r w:rsidRPr="00101F25">
              <w:rPr>
                <w:rFonts w:ascii="Verdana" w:eastAsia="Calibri" w:hAnsi="Verdana" w:cs="Arial"/>
                <w:i/>
                <w:iCs/>
                <w:color w:val="44546A"/>
                <w:lang w:val="es-CO" w:eastAsia="en-US"/>
              </w:rPr>
              <w:t xml:space="preserve">Gráfico 2. Déficit habitacional por </w:t>
            </w:r>
            <w:r w:rsidR="006F1D06">
              <w:rPr>
                <w:rFonts w:ascii="Verdana" w:eastAsia="Calibri" w:hAnsi="Verdana" w:cs="Arial"/>
                <w:i/>
                <w:iCs/>
                <w:color w:val="44546A"/>
                <w:lang w:val="es-CO" w:eastAsia="en-US"/>
              </w:rPr>
              <w:t>área</w:t>
            </w:r>
            <w:r w:rsidRPr="00101F25">
              <w:rPr>
                <w:rFonts w:ascii="Verdana" w:eastAsia="Calibri" w:hAnsi="Verdana" w:cs="Arial"/>
                <w:i/>
                <w:iCs/>
                <w:color w:val="44546A"/>
                <w:lang w:val="es-CO" w:eastAsia="en-US"/>
              </w:rPr>
              <w:t xml:space="preserve"> en Colombia entre 2019 y 2023</w:t>
            </w:r>
          </w:p>
          <w:p w14:paraId="47C7EC92" w14:textId="3BF8E342" w:rsidR="00101F25" w:rsidRDefault="009E109C" w:rsidP="00101F25">
            <w:pPr>
              <w:autoSpaceDE w:val="0"/>
              <w:autoSpaceDN w:val="0"/>
              <w:adjustRightInd w:val="0"/>
              <w:jc w:val="center"/>
              <w:rPr>
                <w:rFonts w:ascii="Verdana" w:eastAsia="Calibri" w:hAnsi="Verdana" w:cs="Arial"/>
                <w:b/>
                <w:bCs/>
                <w:i/>
                <w:iCs/>
                <w:lang w:val="es-CO" w:eastAsia="en-US"/>
              </w:rPr>
            </w:pPr>
            <w:r>
              <w:rPr>
                <w:rFonts w:ascii="Verdana" w:eastAsia="Calibri" w:hAnsi="Verdana" w:cs="Arial"/>
                <w:noProof/>
                <w:lang w:val="es-CO" w:eastAsia="en-US"/>
              </w:rPr>
              <mc:AlternateContent>
                <mc:Choice Requires="wps">
                  <w:drawing>
                    <wp:anchor distT="0" distB="0" distL="114300" distR="114300" simplePos="0" relativeHeight="251660288" behindDoc="0" locked="0" layoutInCell="1" allowOverlap="1" wp14:anchorId="5836FC35" wp14:editId="3A77DD2A">
                      <wp:simplePos x="0" y="0"/>
                      <wp:positionH relativeFrom="column">
                        <wp:posOffset>3355975</wp:posOffset>
                      </wp:positionH>
                      <wp:positionV relativeFrom="paragraph">
                        <wp:posOffset>59690</wp:posOffset>
                      </wp:positionV>
                      <wp:extent cx="3394710" cy="297815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97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57DF4" w14:textId="77777777" w:rsidR="00101F25" w:rsidRPr="00101F25" w:rsidRDefault="00101F25" w:rsidP="00101F25">
                                  <w:pPr>
                                    <w:jc w:val="center"/>
                                    <w:rPr>
                                      <w:rFonts w:ascii="Verdana" w:hAnsi="Verdana"/>
                                    </w:rPr>
                                  </w:pPr>
                                  <w:r w:rsidRPr="00101F25">
                                    <w:rPr>
                                      <w:rFonts w:ascii="Verdana" w:hAnsi="Verdana"/>
                                    </w:rPr>
                                    <w:t>B. Porcentaje de hogares</w:t>
                                  </w:r>
                                </w:p>
                                <w:p w14:paraId="028DFA72" w14:textId="0A7B51D3" w:rsidR="00101F25" w:rsidRDefault="00101F25" w:rsidP="00101F25">
                                  <w:pPr>
                                    <w:autoSpaceDE w:val="0"/>
                                    <w:autoSpaceDN w:val="0"/>
                                    <w:adjustRightInd w:val="0"/>
                                    <w:jc w:val="center"/>
                                    <w:rPr>
                                      <w:rFonts w:ascii="Verdana" w:hAnsi="Verdana"/>
                                      <w:noProof/>
                                    </w:rPr>
                                  </w:pPr>
                                  <w:r w:rsidRPr="00360875">
                                    <w:rPr>
                                      <w:noProof/>
                                    </w:rPr>
                                    <w:drawing>
                                      <wp:inline distT="0" distB="0" distL="0" distR="0" wp14:anchorId="687C13EE" wp14:editId="2652B4E4">
                                        <wp:extent cx="2969895" cy="2656490"/>
                                        <wp:effectExtent l="0" t="0" r="1905" b="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CDA42F" w14:textId="77777777" w:rsidR="00101F25" w:rsidRDefault="00101F25" w:rsidP="00101F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836FC35" id="_x0000_t202" coordsize="21600,21600" o:spt="202" path="m,l,21600r21600,l21600,xe">
                      <v:stroke joinstyle="miter"/>
                      <v:path gradientshapeok="t" o:connecttype="rect"/>
                    </v:shapetype>
                    <v:shape id="Cuadro de texto 14" o:spid="_x0000_s1026" type="#_x0000_t202" style="position:absolute;left:0;text-align:left;margin-left:264.25pt;margin-top:4.7pt;width:267.3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" stroked="f">
                      <v:textbox>
                        <w:txbxContent>
                          <w:p w14:paraId="7B157DF4" w14:textId="77777777" w:rsidR="00101F25" w:rsidRPr="00101F25" w:rsidRDefault="00101F25" w:rsidP="00101F25">
                            <w:pPr>
                              <w:jc w:val="center"/>
                              <w:rPr>
                                <w:rFonts w:ascii="Verdana" w:hAnsi="Verdana"/>
                              </w:rPr>
                            </w:pPr>
                            <w:r w:rsidRPr="00101F25">
                              <w:rPr>
                                <w:rFonts w:ascii="Verdana" w:hAnsi="Verdana"/>
                              </w:rPr>
                              <w:t>B. Porcentaje de hogares</w:t>
                            </w:r>
                          </w:p>
                          <w:p w14:paraId="028DFA72" w14:textId="0A7B51D3" w:rsidR="00101F25" w:rsidRDefault="00101F25" w:rsidP="00101F25">
                            <w:pPr>
                              <w:autoSpaceDE w:val="0"/>
                              <w:autoSpaceDN w:val="0"/>
                              <w:adjustRightInd w:val="0"/>
                              <w:jc w:val="center"/>
                              <w:rPr>
                                <w:rFonts w:ascii="Verdana" w:hAnsi="Verdana"/>
                                <w:noProof/>
                              </w:rPr>
                            </w:pPr>
                            <w:r w:rsidRPr="00360875">
                              <w:rPr>
                                <w:noProof/>
                              </w:rPr>
                              <w:drawing>
                                <wp:inline distT="0" distB="0" distL="0" distR="0" wp14:anchorId="687C13EE" wp14:editId="2652B4E4">
                                  <wp:extent cx="2969895" cy="2656490"/>
                                  <wp:effectExtent l="0" t="0" r="1905" b="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CDA42F" w14:textId="77777777" w:rsidR="00101F25" w:rsidRDefault="00101F25" w:rsidP="00101F25"/>
                        </w:txbxContent>
                      </v:textbox>
                    </v:shape>
                  </w:pict>
                </mc:Fallback>
              </mc:AlternateContent>
            </w:r>
            <w:r>
              <w:rPr>
                <w:rFonts w:ascii="Verdana" w:eastAsia="Calibri" w:hAnsi="Verdana" w:cs="Arial"/>
                <w:b/>
                <w:bCs/>
                <w:i/>
                <w:iCs/>
                <w:noProof/>
                <w:lang w:val="es-CO" w:eastAsia="en-US"/>
              </w:rPr>
              <mc:AlternateContent>
                <mc:Choice Requires="wps">
                  <w:drawing>
                    <wp:anchor distT="0" distB="0" distL="114300" distR="114300" simplePos="0" relativeHeight="251659264" behindDoc="0" locked="0" layoutInCell="1" allowOverlap="1" wp14:anchorId="50766135" wp14:editId="17482B93">
                      <wp:simplePos x="0" y="0"/>
                      <wp:positionH relativeFrom="column">
                        <wp:posOffset>-17780</wp:posOffset>
                      </wp:positionH>
                      <wp:positionV relativeFrom="paragraph">
                        <wp:posOffset>60960</wp:posOffset>
                      </wp:positionV>
                      <wp:extent cx="3347085" cy="2978150"/>
                      <wp:effectExtent l="0" t="0" r="571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297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4DF55" w14:textId="77777777" w:rsidR="00101F25" w:rsidRPr="00101F25" w:rsidRDefault="00101F25" w:rsidP="00101F25">
                                  <w:pPr>
                                    <w:jc w:val="center"/>
                                    <w:rPr>
                                      <w:rFonts w:ascii="Verdana" w:hAnsi="Verdana"/>
                                    </w:rPr>
                                  </w:pPr>
                                  <w:r w:rsidRPr="00101F25">
                                    <w:rPr>
                                      <w:rFonts w:ascii="Verdana" w:hAnsi="Verdana"/>
                                    </w:rPr>
                                    <w:t>A. Número de hogares (en miles)</w:t>
                                  </w:r>
                                </w:p>
                                <w:p w14:paraId="7888B37D" w14:textId="4B311D65" w:rsidR="00101F25" w:rsidRDefault="00101F25" w:rsidP="00101F25">
                                  <w:pPr>
                                    <w:autoSpaceDE w:val="0"/>
                                    <w:autoSpaceDN w:val="0"/>
                                    <w:adjustRightInd w:val="0"/>
                                    <w:jc w:val="center"/>
                                    <w:rPr>
                                      <w:noProof/>
                                    </w:rPr>
                                  </w:pPr>
                                  <w:r w:rsidRPr="00360875">
                                    <w:rPr>
                                      <w:noProof/>
                                    </w:rPr>
                                    <w:drawing>
                                      <wp:inline distT="0" distB="0" distL="0" distR="0" wp14:anchorId="3B205E77" wp14:editId="25E9C427">
                                        <wp:extent cx="2800350" cy="2688020"/>
                                        <wp:effectExtent l="0" t="0" r="0" b="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5ACD07" w14:textId="77777777" w:rsidR="00101F25" w:rsidRDefault="00101F25" w:rsidP="00101F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766135" id="Cuadro de texto 12" o:spid="_x0000_s1027" type="#_x0000_t202" style="position:absolute;left:0;text-align:left;margin-left:-1.4pt;margin-top:4.8pt;width:263.5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" stroked="f">
                      <v:textbox>
                        <w:txbxContent>
                          <w:p w14:paraId="63D4DF55" w14:textId="77777777" w:rsidR="00101F25" w:rsidRPr="00101F25" w:rsidRDefault="00101F25" w:rsidP="00101F25">
                            <w:pPr>
                              <w:jc w:val="center"/>
                              <w:rPr>
                                <w:rFonts w:ascii="Verdana" w:hAnsi="Verdana"/>
                              </w:rPr>
                            </w:pPr>
                            <w:r w:rsidRPr="00101F25">
                              <w:rPr>
                                <w:rFonts w:ascii="Verdana" w:hAnsi="Verdana"/>
                              </w:rPr>
                              <w:t>A. Número de hogares (en miles)</w:t>
                            </w:r>
                          </w:p>
                          <w:p w14:paraId="7888B37D" w14:textId="4B311D65" w:rsidR="00101F25" w:rsidRDefault="00101F25" w:rsidP="00101F25">
                            <w:pPr>
                              <w:autoSpaceDE w:val="0"/>
                              <w:autoSpaceDN w:val="0"/>
                              <w:adjustRightInd w:val="0"/>
                              <w:jc w:val="center"/>
                              <w:rPr>
                                <w:noProof/>
                              </w:rPr>
                            </w:pPr>
                            <w:r w:rsidRPr="00360875">
                              <w:rPr>
                                <w:noProof/>
                              </w:rPr>
                              <w:drawing>
                                <wp:inline distT="0" distB="0" distL="0" distR="0" wp14:anchorId="3B205E77" wp14:editId="25E9C427">
                                  <wp:extent cx="2800350" cy="2688020"/>
                                  <wp:effectExtent l="0" t="0" r="0" b="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5ACD07" w14:textId="77777777" w:rsidR="00101F25" w:rsidRDefault="00101F25" w:rsidP="00101F25"/>
                        </w:txbxContent>
                      </v:textbox>
                    </v:shape>
                  </w:pict>
                </mc:Fallback>
              </mc:AlternateContent>
            </w:r>
          </w:p>
          <w:p w14:paraId="5BCB6F16" w14:textId="77777777" w:rsidR="00101F25" w:rsidRDefault="00101F25" w:rsidP="00101F25">
            <w:pPr>
              <w:autoSpaceDE w:val="0"/>
              <w:autoSpaceDN w:val="0"/>
              <w:adjustRightInd w:val="0"/>
              <w:jc w:val="center"/>
              <w:rPr>
                <w:rFonts w:ascii="Verdana" w:eastAsia="Calibri" w:hAnsi="Verdana" w:cs="Arial"/>
                <w:b/>
                <w:bCs/>
                <w:i/>
                <w:iCs/>
                <w:lang w:val="es-CO" w:eastAsia="en-US"/>
              </w:rPr>
            </w:pPr>
          </w:p>
          <w:p w14:paraId="267174DD" w14:textId="77777777" w:rsidR="00101F25" w:rsidRDefault="00101F25" w:rsidP="00101F25">
            <w:pPr>
              <w:autoSpaceDE w:val="0"/>
              <w:autoSpaceDN w:val="0"/>
              <w:adjustRightInd w:val="0"/>
              <w:jc w:val="center"/>
              <w:rPr>
                <w:rFonts w:ascii="Verdana" w:eastAsia="Calibri" w:hAnsi="Verdana" w:cs="Arial"/>
                <w:b/>
                <w:bCs/>
                <w:i/>
                <w:iCs/>
                <w:lang w:val="es-CO" w:eastAsia="en-US"/>
              </w:rPr>
            </w:pPr>
          </w:p>
          <w:p w14:paraId="699CFBE7" w14:textId="77777777" w:rsidR="00101F25" w:rsidRDefault="00101F25" w:rsidP="00101F25">
            <w:pPr>
              <w:autoSpaceDE w:val="0"/>
              <w:autoSpaceDN w:val="0"/>
              <w:adjustRightInd w:val="0"/>
              <w:jc w:val="center"/>
              <w:rPr>
                <w:rFonts w:ascii="Verdana" w:eastAsia="Calibri" w:hAnsi="Verdana" w:cs="Arial"/>
                <w:b/>
                <w:bCs/>
                <w:i/>
                <w:iCs/>
                <w:lang w:val="es-CO" w:eastAsia="en-US"/>
              </w:rPr>
            </w:pPr>
          </w:p>
          <w:p w14:paraId="4678C0E8" w14:textId="77777777" w:rsidR="00101F25" w:rsidRDefault="00101F25" w:rsidP="00101F25">
            <w:pPr>
              <w:autoSpaceDE w:val="0"/>
              <w:autoSpaceDN w:val="0"/>
              <w:adjustRightInd w:val="0"/>
              <w:jc w:val="center"/>
              <w:rPr>
                <w:rFonts w:ascii="Verdana" w:eastAsia="Calibri" w:hAnsi="Verdana" w:cs="Arial"/>
                <w:b/>
                <w:bCs/>
                <w:i/>
                <w:iCs/>
                <w:lang w:val="es-CO" w:eastAsia="en-US"/>
              </w:rPr>
            </w:pPr>
          </w:p>
          <w:p w14:paraId="218D6504" w14:textId="77777777" w:rsidR="00101F25" w:rsidRDefault="00101F25" w:rsidP="00101F25">
            <w:pPr>
              <w:autoSpaceDE w:val="0"/>
              <w:autoSpaceDN w:val="0"/>
              <w:adjustRightInd w:val="0"/>
              <w:jc w:val="center"/>
              <w:rPr>
                <w:rFonts w:ascii="Verdana" w:eastAsia="Calibri" w:hAnsi="Verdana" w:cs="Arial"/>
                <w:b/>
                <w:bCs/>
                <w:i/>
                <w:iCs/>
                <w:lang w:val="es-CO" w:eastAsia="en-US"/>
              </w:rPr>
            </w:pPr>
          </w:p>
          <w:p w14:paraId="48691109" w14:textId="77777777" w:rsidR="00101F25" w:rsidRDefault="00101F25" w:rsidP="00101F25">
            <w:pPr>
              <w:autoSpaceDE w:val="0"/>
              <w:autoSpaceDN w:val="0"/>
              <w:adjustRightInd w:val="0"/>
              <w:jc w:val="both"/>
              <w:rPr>
                <w:rFonts w:ascii="Verdana" w:eastAsia="Calibri" w:hAnsi="Verdana" w:cs="Arial"/>
                <w:lang w:eastAsia="en-US"/>
              </w:rPr>
            </w:pPr>
          </w:p>
          <w:p w14:paraId="01BF6429" w14:textId="77777777" w:rsidR="00101F25" w:rsidRDefault="00101F25" w:rsidP="00101F25">
            <w:pPr>
              <w:autoSpaceDE w:val="0"/>
              <w:autoSpaceDN w:val="0"/>
              <w:adjustRightInd w:val="0"/>
              <w:jc w:val="both"/>
              <w:rPr>
                <w:rFonts w:ascii="Verdana" w:eastAsia="Calibri" w:hAnsi="Verdana" w:cs="Arial"/>
                <w:lang w:eastAsia="en-US"/>
              </w:rPr>
            </w:pPr>
          </w:p>
          <w:p w14:paraId="26721CDD" w14:textId="77777777" w:rsidR="00101F25" w:rsidRDefault="00101F25" w:rsidP="00101F25">
            <w:pPr>
              <w:autoSpaceDE w:val="0"/>
              <w:autoSpaceDN w:val="0"/>
              <w:adjustRightInd w:val="0"/>
              <w:jc w:val="both"/>
              <w:rPr>
                <w:rFonts w:ascii="Verdana" w:eastAsia="Calibri" w:hAnsi="Verdana" w:cs="Arial"/>
                <w:lang w:eastAsia="en-US"/>
              </w:rPr>
            </w:pPr>
          </w:p>
          <w:p w14:paraId="02CA04F6" w14:textId="77777777" w:rsidR="00101F25" w:rsidRDefault="00101F25" w:rsidP="00101F25">
            <w:pPr>
              <w:autoSpaceDE w:val="0"/>
              <w:autoSpaceDN w:val="0"/>
              <w:adjustRightInd w:val="0"/>
              <w:jc w:val="both"/>
              <w:rPr>
                <w:rFonts w:ascii="Verdana" w:eastAsia="Calibri" w:hAnsi="Verdana" w:cs="Arial"/>
                <w:lang w:eastAsia="en-US"/>
              </w:rPr>
            </w:pPr>
          </w:p>
          <w:p w14:paraId="1B2CFE1A" w14:textId="77777777" w:rsidR="00101F25" w:rsidRDefault="00101F25" w:rsidP="00101F25">
            <w:pPr>
              <w:autoSpaceDE w:val="0"/>
              <w:autoSpaceDN w:val="0"/>
              <w:adjustRightInd w:val="0"/>
              <w:jc w:val="both"/>
              <w:rPr>
                <w:rFonts w:ascii="Verdana" w:eastAsia="Calibri" w:hAnsi="Verdana" w:cs="Arial"/>
                <w:lang w:eastAsia="en-US"/>
              </w:rPr>
            </w:pPr>
          </w:p>
          <w:p w14:paraId="281CEFC9" w14:textId="77777777" w:rsidR="00101F25" w:rsidRDefault="00101F25" w:rsidP="00101F25">
            <w:pPr>
              <w:autoSpaceDE w:val="0"/>
              <w:autoSpaceDN w:val="0"/>
              <w:adjustRightInd w:val="0"/>
              <w:jc w:val="both"/>
              <w:rPr>
                <w:rFonts w:ascii="Verdana" w:eastAsia="Calibri" w:hAnsi="Verdana" w:cs="Arial"/>
                <w:lang w:eastAsia="en-US"/>
              </w:rPr>
            </w:pPr>
          </w:p>
          <w:p w14:paraId="7927AF4F" w14:textId="77777777" w:rsidR="00101F25" w:rsidRDefault="00101F25" w:rsidP="00101F25">
            <w:pPr>
              <w:autoSpaceDE w:val="0"/>
              <w:autoSpaceDN w:val="0"/>
              <w:adjustRightInd w:val="0"/>
              <w:jc w:val="both"/>
              <w:rPr>
                <w:rFonts w:ascii="Verdana" w:eastAsia="Calibri" w:hAnsi="Verdana" w:cs="Arial"/>
                <w:lang w:eastAsia="en-US"/>
              </w:rPr>
            </w:pPr>
          </w:p>
          <w:p w14:paraId="027D59DF" w14:textId="77777777" w:rsidR="00101F25" w:rsidRDefault="00101F25" w:rsidP="00101F25">
            <w:pPr>
              <w:autoSpaceDE w:val="0"/>
              <w:autoSpaceDN w:val="0"/>
              <w:adjustRightInd w:val="0"/>
              <w:jc w:val="both"/>
              <w:rPr>
                <w:rFonts w:ascii="Verdana" w:eastAsia="Calibri" w:hAnsi="Verdana" w:cs="Arial"/>
                <w:lang w:eastAsia="en-US"/>
              </w:rPr>
            </w:pPr>
          </w:p>
          <w:p w14:paraId="1DED7058" w14:textId="77777777" w:rsidR="00101F25" w:rsidRDefault="00101F25" w:rsidP="00101F25">
            <w:pPr>
              <w:autoSpaceDE w:val="0"/>
              <w:autoSpaceDN w:val="0"/>
              <w:adjustRightInd w:val="0"/>
              <w:jc w:val="both"/>
              <w:rPr>
                <w:rFonts w:ascii="Verdana" w:eastAsia="Calibri" w:hAnsi="Verdana" w:cs="Arial"/>
                <w:lang w:eastAsia="en-US"/>
              </w:rPr>
            </w:pPr>
          </w:p>
          <w:p w14:paraId="38FB9984" w14:textId="77777777" w:rsidR="00101F25" w:rsidRDefault="00101F25" w:rsidP="00101F25">
            <w:pPr>
              <w:autoSpaceDE w:val="0"/>
              <w:autoSpaceDN w:val="0"/>
              <w:adjustRightInd w:val="0"/>
              <w:jc w:val="both"/>
              <w:rPr>
                <w:rFonts w:ascii="Verdana" w:eastAsia="Calibri" w:hAnsi="Verdana" w:cs="Arial"/>
                <w:lang w:eastAsia="en-US"/>
              </w:rPr>
            </w:pPr>
          </w:p>
          <w:p w14:paraId="273D3A9E" w14:textId="77777777" w:rsidR="00101F25" w:rsidRDefault="00101F25" w:rsidP="00101F25">
            <w:pPr>
              <w:autoSpaceDE w:val="0"/>
              <w:autoSpaceDN w:val="0"/>
              <w:adjustRightInd w:val="0"/>
              <w:jc w:val="both"/>
              <w:rPr>
                <w:rFonts w:ascii="Verdana" w:eastAsia="Calibri" w:hAnsi="Verdana" w:cs="Arial"/>
                <w:lang w:eastAsia="en-US"/>
              </w:rPr>
            </w:pPr>
          </w:p>
          <w:p w14:paraId="72FE74D2" w14:textId="77777777" w:rsidR="00101F25" w:rsidRDefault="00101F25" w:rsidP="00101F25">
            <w:pPr>
              <w:autoSpaceDE w:val="0"/>
              <w:autoSpaceDN w:val="0"/>
              <w:adjustRightInd w:val="0"/>
              <w:jc w:val="both"/>
              <w:rPr>
                <w:rFonts w:ascii="Verdana" w:eastAsia="Calibri" w:hAnsi="Verdana" w:cs="Arial"/>
                <w:lang w:eastAsia="en-US"/>
              </w:rPr>
            </w:pPr>
          </w:p>
          <w:p w14:paraId="26D489B0" w14:textId="77777777" w:rsidR="00101F25" w:rsidRDefault="00101F25" w:rsidP="00101F25">
            <w:pPr>
              <w:autoSpaceDE w:val="0"/>
              <w:autoSpaceDN w:val="0"/>
              <w:adjustRightInd w:val="0"/>
              <w:jc w:val="both"/>
              <w:rPr>
                <w:rFonts w:ascii="Verdana" w:eastAsia="Calibri" w:hAnsi="Verdana" w:cs="Arial"/>
                <w:lang w:eastAsia="en-US"/>
              </w:rPr>
            </w:pPr>
          </w:p>
          <w:p w14:paraId="42B2DFE8" w14:textId="77777777" w:rsidR="00101F25" w:rsidRDefault="00101F25" w:rsidP="00101F25">
            <w:pPr>
              <w:autoSpaceDE w:val="0"/>
              <w:autoSpaceDN w:val="0"/>
              <w:adjustRightInd w:val="0"/>
              <w:ind w:left="720"/>
              <w:jc w:val="center"/>
              <w:rPr>
                <w:rFonts w:ascii="Verdana" w:hAnsi="Verdana"/>
                <w:noProof/>
                <w:sz w:val="16"/>
                <w:szCs w:val="16"/>
              </w:rPr>
            </w:pPr>
          </w:p>
          <w:p w14:paraId="5A9E172A" w14:textId="7A3787BE" w:rsidR="00101F25" w:rsidRPr="00101F25" w:rsidRDefault="00101F25" w:rsidP="00101F25">
            <w:pPr>
              <w:autoSpaceDE w:val="0"/>
              <w:autoSpaceDN w:val="0"/>
              <w:adjustRightInd w:val="0"/>
              <w:ind w:left="720"/>
              <w:jc w:val="center"/>
              <w:rPr>
                <w:rFonts w:ascii="Verdana" w:hAnsi="Verdana"/>
                <w:noProof/>
                <w:sz w:val="18"/>
                <w:szCs w:val="18"/>
              </w:rPr>
            </w:pPr>
            <w:r w:rsidRPr="00101F25">
              <w:rPr>
                <w:rFonts w:ascii="Verdana" w:hAnsi="Verdana"/>
                <w:noProof/>
                <w:sz w:val="18"/>
                <w:szCs w:val="18"/>
              </w:rPr>
              <w:t>Fuente: Cálculos MVCT con base en la ECV-DANE (2023).</w:t>
            </w:r>
          </w:p>
          <w:p w14:paraId="5CC759B8" w14:textId="38CCF694" w:rsidR="006F1D06" w:rsidRDefault="006F1D06" w:rsidP="00101F25">
            <w:pPr>
              <w:autoSpaceDE w:val="0"/>
              <w:autoSpaceDN w:val="0"/>
              <w:adjustRightInd w:val="0"/>
              <w:jc w:val="both"/>
              <w:rPr>
                <w:rFonts w:ascii="Verdana" w:eastAsia="Calibri" w:hAnsi="Verdana" w:cs="Arial"/>
                <w:lang w:eastAsia="en-US"/>
              </w:rPr>
            </w:pPr>
          </w:p>
          <w:p w14:paraId="2A1C6FF2" w14:textId="77777777" w:rsidR="006F1D06" w:rsidRDefault="006F1D06" w:rsidP="00101F25">
            <w:pPr>
              <w:autoSpaceDE w:val="0"/>
              <w:autoSpaceDN w:val="0"/>
              <w:adjustRightInd w:val="0"/>
              <w:jc w:val="both"/>
              <w:rPr>
                <w:rFonts w:ascii="Verdana" w:eastAsia="Calibri" w:hAnsi="Verdana" w:cs="Arial"/>
                <w:lang w:eastAsia="en-US"/>
              </w:rPr>
            </w:pPr>
          </w:p>
          <w:p w14:paraId="527DC423" w14:textId="22008B9D" w:rsidR="00101F25" w:rsidRDefault="00101F25" w:rsidP="00101F25">
            <w:pPr>
              <w:autoSpaceDE w:val="0"/>
              <w:autoSpaceDN w:val="0"/>
              <w:adjustRightInd w:val="0"/>
              <w:jc w:val="both"/>
              <w:rPr>
                <w:rFonts w:ascii="Verdana" w:eastAsia="Calibri" w:hAnsi="Verdana" w:cs="Arial"/>
                <w:lang w:val="es-CO" w:eastAsia="en-US"/>
              </w:rPr>
            </w:pPr>
            <w:r w:rsidRPr="009350B5">
              <w:rPr>
                <w:rFonts w:ascii="Verdana" w:eastAsia="Calibri" w:hAnsi="Verdana" w:cs="Arial"/>
                <w:lang w:val="es-CO" w:eastAsia="en-US"/>
              </w:rPr>
              <w:t xml:space="preserve">A diferencia de los hogares en déficit cuantitativo, las necesidades de los hogares en déficit cualitativo pueden ser atendidas a través de intervenciones locativas o ajustes no estructurales a las viviendas que habitan. Como se observa en el Gráfico 3, en 2023 el hacinamiento mitigable fue la problemática que más afectó a los hogares urbanos (1,43 millones) que representaron el 10,3% y la tercera en el caso de las familias rurales con 19% (740 mil), después del uso de agua para cocinar proveniente de fuentes inadecuadas (32,3%) y de la carencia de alcantarillado (19,1%). </w:t>
            </w:r>
          </w:p>
          <w:p w14:paraId="09F8B82A" w14:textId="25BDEA97" w:rsidR="006F1D06" w:rsidRDefault="006F1D06" w:rsidP="00101F25">
            <w:pPr>
              <w:autoSpaceDE w:val="0"/>
              <w:autoSpaceDN w:val="0"/>
              <w:adjustRightInd w:val="0"/>
              <w:jc w:val="both"/>
              <w:rPr>
                <w:rFonts w:ascii="Verdana" w:eastAsia="Calibri" w:hAnsi="Verdana" w:cs="Arial"/>
                <w:lang w:val="es-CO" w:eastAsia="en-US"/>
              </w:rPr>
            </w:pPr>
          </w:p>
          <w:p w14:paraId="01DD79B4" w14:textId="28928F83" w:rsidR="006F1D06" w:rsidRDefault="006F1D06" w:rsidP="00101F25">
            <w:pPr>
              <w:autoSpaceDE w:val="0"/>
              <w:autoSpaceDN w:val="0"/>
              <w:adjustRightInd w:val="0"/>
              <w:jc w:val="both"/>
              <w:rPr>
                <w:rFonts w:ascii="Verdana" w:eastAsia="Calibri" w:hAnsi="Verdana" w:cs="Arial"/>
                <w:lang w:val="es-CO" w:eastAsia="en-US"/>
              </w:rPr>
            </w:pPr>
          </w:p>
          <w:p w14:paraId="19985303" w14:textId="03B549F9" w:rsidR="006F1D06" w:rsidRDefault="006F1D06" w:rsidP="00101F25">
            <w:pPr>
              <w:autoSpaceDE w:val="0"/>
              <w:autoSpaceDN w:val="0"/>
              <w:adjustRightInd w:val="0"/>
              <w:jc w:val="both"/>
              <w:rPr>
                <w:rFonts w:ascii="Verdana" w:eastAsia="Calibri" w:hAnsi="Verdana" w:cs="Arial"/>
                <w:lang w:val="es-CO" w:eastAsia="en-US"/>
              </w:rPr>
            </w:pPr>
          </w:p>
          <w:p w14:paraId="5CE38B8E" w14:textId="206DA5F9" w:rsidR="006F1D06" w:rsidRDefault="006F1D06" w:rsidP="00101F25">
            <w:pPr>
              <w:autoSpaceDE w:val="0"/>
              <w:autoSpaceDN w:val="0"/>
              <w:adjustRightInd w:val="0"/>
              <w:jc w:val="both"/>
              <w:rPr>
                <w:rFonts w:ascii="Verdana" w:eastAsia="Calibri" w:hAnsi="Verdana" w:cs="Arial"/>
                <w:lang w:val="es-CO" w:eastAsia="en-US"/>
              </w:rPr>
            </w:pPr>
          </w:p>
          <w:p w14:paraId="2984FDB3" w14:textId="6E05975D" w:rsidR="006F1D06" w:rsidRDefault="006F1D06" w:rsidP="00101F25">
            <w:pPr>
              <w:autoSpaceDE w:val="0"/>
              <w:autoSpaceDN w:val="0"/>
              <w:adjustRightInd w:val="0"/>
              <w:jc w:val="both"/>
              <w:rPr>
                <w:rFonts w:ascii="Verdana" w:eastAsia="Calibri" w:hAnsi="Verdana" w:cs="Arial"/>
                <w:lang w:val="es-CO" w:eastAsia="en-US"/>
              </w:rPr>
            </w:pPr>
          </w:p>
          <w:p w14:paraId="678CB4BB" w14:textId="1BFE6425" w:rsidR="006F1D06" w:rsidRDefault="006F1D06" w:rsidP="00101F25">
            <w:pPr>
              <w:autoSpaceDE w:val="0"/>
              <w:autoSpaceDN w:val="0"/>
              <w:adjustRightInd w:val="0"/>
              <w:jc w:val="both"/>
              <w:rPr>
                <w:rFonts w:ascii="Verdana" w:eastAsia="Calibri" w:hAnsi="Verdana" w:cs="Arial"/>
                <w:lang w:val="es-CO" w:eastAsia="en-US"/>
              </w:rPr>
            </w:pPr>
          </w:p>
          <w:p w14:paraId="09549CBD" w14:textId="0E0DA21B" w:rsidR="006F1D06" w:rsidRDefault="006F1D06" w:rsidP="00101F25">
            <w:pPr>
              <w:autoSpaceDE w:val="0"/>
              <w:autoSpaceDN w:val="0"/>
              <w:adjustRightInd w:val="0"/>
              <w:jc w:val="both"/>
              <w:rPr>
                <w:rFonts w:ascii="Verdana" w:eastAsia="Calibri" w:hAnsi="Verdana" w:cs="Arial"/>
                <w:lang w:val="es-CO" w:eastAsia="en-US"/>
              </w:rPr>
            </w:pPr>
          </w:p>
          <w:p w14:paraId="3C109610" w14:textId="6359BCC0" w:rsidR="006F1D06" w:rsidRDefault="006F1D06" w:rsidP="00101F25">
            <w:pPr>
              <w:autoSpaceDE w:val="0"/>
              <w:autoSpaceDN w:val="0"/>
              <w:adjustRightInd w:val="0"/>
              <w:jc w:val="both"/>
              <w:rPr>
                <w:rFonts w:ascii="Verdana" w:eastAsia="Calibri" w:hAnsi="Verdana" w:cs="Arial"/>
                <w:lang w:val="es-CO" w:eastAsia="en-US"/>
              </w:rPr>
            </w:pPr>
          </w:p>
          <w:p w14:paraId="04AB02E5" w14:textId="2F9AC94F" w:rsidR="006F1D06" w:rsidRDefault="006F1D06" w:rsidP="00101F25">
            <w:pPr>
              <w:autoSpaceDE w:val="0"/>
              <w:autoSpaceDN w:val="0"/>
              <w:adjustRightInd w:val="0"/>
              <w:jc w:val="both"/>
              <w:rPr>
                <w:rFonts w:ascii="Verdana" w:eastAsia="Calibri" w:hAnsi="Verdana" w:cs="Arial"/>
                <w:lang w:val="es-CO" w:eastAsia="en-US"/>
              </w:rPr>
            </w:pPr>
          </w:p>
          <w:p w14:paraId="6029A56D" w14:textId="38BC3C9C" w:rsidR="006F1D06" w:rsidRDefault="006F1D06" w:rsidP="00101F25">
            <w:pPr>
              <w:autoSpaceDE w:val="0"/>
              <w:autoSpaceDN w:val="0"/>
              <w:adjustRightInd w:val="0"/>
              <w:jc w:val="both"/>
              <w:rPr>
                <w:rFonts w:ascii="Verdana" w:eastAsia="Calibri" w:hAnsi="Verdana" w:cs="Arial"/>
                <w:lang w:val="es-CO" w:eastAsia="en-US"/>
              </w:rPr>
            </w:pPr>
          </w:p>
          <w:p w14:paraId="286E09BC" w14:textId="20783BB4" w:rsidR="006F1D06" w:rsidRDefault="006F1D06" w:rsidP="00101F25">
            <w:pPr>
              <w:autoSpaceDE w:val="0"/>
              <w:autoSpaceDN w:val="0"/>
              <w:adjustRightInd w:val="0"/>
              <w:jc w:val="both"/>
              <w:rPr>
                <w:rFonts w:ascii="Verdana" w:eastAsia="Calibri" w:hAnsi="Verdana" w:cs="Arial"/>
                <w:lang w:val="es-CO" w:eastAsia="en-US"/>
              </w:rPr>
            </w:pPr>
          </w:p>
          <w:p w14:paraId="3F972A07" w14:textId="25342CE1" w:rsidR="006F1D06" w:rsidRDefault="006F1D06" w:rsidP="00101F25">
            <w:pPr>
              <w:autoSpaceDE w:val="0"/>
              <w:autoSpaceDN w:val="0"/>
              <w:adjustRightInd w:val="0"/>
              <w:jc w:val="both"/>
              <w:rPr>
                <w:rFonts w:ascii="Verdana" w:eastAsia="Calibri" w:hAnsi="Verdana" w:cs="Arial"/>
                <w:lang w:val="es-CO" w:eastAsia="en-US"/>
              </w:rPr>
            </w:pPr>
          </w:p>
          <w:p w14:paraId="5DAA8183" w14:textId="71376D42" w:rsidR="006F1D06" w:rsidRDefault="006F1D06" w:rsidP="00101F25">
            <w:pPr>
              <w:autoSpaceDE w:val="0"/>
              <w:autoSpaceDN w:val="0"/>
              <w:adjustRightInd w:val="0"/>
              <w:jc w:val="both"/>
              <w:rPr>
                <w:rFonts w:ascii="Verdana" w:eastAsia="Calibri" w:hAnsi="Verdana" w:cs="Arial"/>
                <w:lang w:val="es-CO" w:eastAsia="en-US"/>
              </w:rPr>
            </w:pPr>
          </w:p>
          <w:p w14:paraId="766761AD" w14:textId="771B2ED8" w:rsidR="006F1D06" w:rsidRDefault="006F1D06" w:rsidP="00101F25">
            <w:pPr>
              <w:autoSpaceDE w:val="0"/>
              <w:autoSpaceDN w:val="0"/>
              <w:adjustRightInd w:val="0"/>
              <w:jc w:val="both"/>
              <w:rPr>
                <w:rFonts w:ascii="Verdana" w:eastAsia="Calibri" w:hAnsi="Verdana" w:cs="Arial"/>
                <w:lang w:val="es-CO" w:eastAsia="en-US"/>
              </w:rPr>
            </w:pPr>
          </w:p>
          <w:p w14:paraId="68E0FE31" w14:textId="1A848308" w:rsidR="006F1D06" w:rsidRDefault="006F1D06" w:rsidP="00101F25">
            <w:pPr>
              <w:autoSpaceDE w:val="0"/>
              <w:autoSpaceDN w:val="0"/>
              <w:adjustRightInd w:val="0"/>
              <w:jc w:val="both"/>
              <w:rPr>
                <w:rFonts w:ascii="Verdana" w:eastAsia="Calibri" w:hAnsi="Verdana" w:cs="Arial"/>
                <w:lang w:val="es-CO" w:eastAsia="en-US"/>
              </w:rPr>
            </w:pPr>
          </w:p>
          <w:p w14:paraId="68A38C97" w14:textId="77777777" w:rsidR="006F1D06" w:rsidRDefault="006F1D06" w:rsidP="00101F25">
            <w:pPr>
              <w:autoSpaceDE w:val="0"/>
              <w:autoSpaceDN w:val="0"/>
              <w:adjustRightInd w:val="0"/>
              <w:jc w:val="both"/>
              <w:rPr>
                <w:rFonts w:ascii="Verdana" w:eastAsia="Calibri" w:hAnsi="Verdana" w:cs="Arial"/>
                <w:lang w:val="es-CO" w:eastAsia="en-US"/>
              </w:rPr>
            </w:pPr>
          </w:p>
          <w:p w14:paraId="24BDD77D" w14:textId="77777777" w:rsidR="006F1D06" w:rsidRDefault="006F1D06" w:rsidP="006F1D06">
            <w:pPr>
              <w:autoSpaceDE w:val="0"/>
              <w:autoSpaceDN w:val="0"/>
              <w:adjustRightInd w:val="0"/>
              <w:rPr>
                <w:rFonts w:ascii="Verdana" w:eastAsia="Calibri" w:hAnsi="Verdana" w:cs="Arial"/>
                <w:i/>
                <w:iCs/>
                <w:color w:val="44546A"/>
                <w:lang w:val="es-CO" w:eastAsia="en-US"/>
              </w:rPr>
            </w:pPr>
          </w:p>
          <w:p w14:paraId="60E408E0" w14:textId="1FFF6B23" w:rsidR="009E109C" w:rsidRPr="009E109C" w:rsidRDefault="009E109C" w:rsidP="009E109C">
            <w:pPr>
              <w:autoSpaceDE w:val="0"/>
              <w:autoSpaceDN w:val="0"/>
              <w:adjustRightInd w:val="0"/>
              <w:jc w:val="center"/>
              <w:rPr>
                <w:rFonts w:ascii="Verdana" w:eastAsia="Calibri" w:hAnsi="Verdana" w:cs="Arial"/>
                <w:i/>
                <w:iCs/>
                <w:color w:val="44546A"/>
                <w:lang w:val="es-CO" w:eastAsia="en-US"/>
              </w:rPr>
            </w:pPr>
            <w:r w:rsidRPr="009E109C">
              <w:rPr>
                <w:rFonts w:ascii="Verdana" w:eastAsia="Calibri" w:hAnsi="Verdana" w:cs="Arial"/>
                <w:i/>
                <w:iCs/>
                <w:color w:val="44546A"/>
                <w:lang w:val="es-CO" w:eastAsia="en-US"/>
              </w:rPr>
              <w:t>Gráfico 3. Déficit cualitativo por zona según dimensiones en 2023</w:t>
            </w:r>
          </w:p>
          <w:p w14:paraId="273556E3" w14:textId="42650C50" w:rsidR="009E109C" w:rsidRDefault="009E109C" w:rsidP="009E109C">
            <w:pPr>
              <w:autoSpaceDE w:val="0"/>
              <w:autoSpaceDN w:val="0"/>
              <w:adjustRightInd w:val="0"/>
              <w:jc w:val="center"/>
              <w:rPr>
                <w:rFonts w:ascii="Verdana" w:eastAsia="Calibri" w:hAnsi="Verdana" w:cs="Arial"/>
                <w:b/>
                <w:bCs/>
                <w:i/>
                <w:iCs/>
                <w:lang w:val="es-CO" w:eastAsia="en-US"/>
              </w:rPr>
            </w:pPr>
            <w:r>
              <w:rPr>
                <w:rFonts w:ascii="Verdana" w:eastAsia="Calibri" w:hAnsi="Verdana" w:cs="Arial"/>
                <w:b/>
                <w:bCs/>
                <w:i/>
                <w:iCs/>
                <w:noProof/>
                <w:lang w:val="es-CO" w:eastAsia="en-US"/>
              </w:rPr>
              <mc:AlternateContent>
                <mc:Choice Requires="wps">
                  <w:drawing>
                    <wp:anchor distT="0" distB="0" distL="114300" distR="114300" simplePos="0" relativeHeight="251662336" behindDoc="0" locked="0" layoutInCell="1" allowOverlap="1" wp14:anchorId="6019AABC" wp14:editId="2409F72E">
                      <wp:simplePos x="0" y="0"/>
                      <wp:positionH relativeFrom="column">
                        <wp:posOffset>-17780</wp:posOffset>
                      </wp:positionH>
                      <wp:positionV relativeFrom="paragraph">
                        <wp:posOffset>61595</wp:posOffset>
                      </wp:positionV>
                      <wp:extent cx="3347085" cy="2939415"/>
                      <wp:effectExtent l="1270" t="4445" r="4445"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293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40745" w14:textId="77777777" w:rsidR="009E109C" w:rsidRPr="009E109C" w:rsidRDefault="009E109C" w:rsidP="009E109C">
                                  <w:pPr>
                                    <w:jc w:val="center"/>
                                    <w:rPr>
                                      <w:rFonts w:ascii="Verdana" w:hAnsi="Verdana"/>
                                    </w:rPr>
                                  </w:pPr>
                                  <w:r w:rsidRPr="009E109C">
                                    <w:rPr>
                                      <w:rFonts w:ascii="Verdana" w:hAnsi="Verdana"/>
                                    </w:rPr>
                                    <w:t>A. Número de hogares (en miles)</w:t>
                                  </w:r>
                                </w:p>
                                <w:p w14:paraId="6657DF32" w14:textId="231ACE3E" w:rsidR="009E109C" w:rsidRDefault="009E109C" w:rsidP="009E109C">
                                  <w:pPr>
                                    <w:autoSpaceDE w:val="0"/>
                                    <w:autoSpaceDN w:val="0"/>
                                    <w:adjustRightInd w:val="0"/>
                                    <w:jc w:val="center"/>
                                    <w:rPr>
                                      <w:noProof/>
                                    </w:rPr>
                                  </w:pPr>
                                  <w:r w:rsidRPr="00360875">
                                    <w:rPr>
                                      <w:noProof/>
                                    </w:rPr>
                                    <w:drawing>
                                      <wp:inline distT="0" distB="0" distL="0" distR="0" wp14:anchorId="503A4DB5" wp14:editId="47EDE02C">
                                        <wp:extent cx="3200400" cy="2743200"/>
                                        <wp:effectExtent l="0" t="0" r="0" b="4445"/>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19AABC" id="Cuadro de texto 18" o:spid="_x0000_s1028" type="#_x0000_t202" style="position:absolute;left:0;text-align:left;margin-left:-1.4pt;margin-top:4.85pt;width:263.55pt;height:23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" stroked="f">
                      <v:textbox>
                        <w:txbxContent>
                          <w:p w14:paraId="67C40745" w14:textId="77777777" w:rsidR="009E109C" w:rsidRPr="009E109C" w:rsidRDefault="009E109C" w:rsidP="009E109C">
                            <w:pPr>
                              <w:jc w:val="center"/>
                              <w:rPr>
                                <w:rFonts w:ascii="Verdana" w:hAnsi="Verdana"/>
                              </w:rPr>
                            </w:pPr>
                            <w:r w:rsidRPr="009E109C">
                              <w:rPr>
                                <w:rFonts w:ascii="Verdana" w:hAnsi="Verdana"/>
                              </w:rPr>
                              <w:t>A. Número de hogares (en miles)</w:t>
                            </w:r>
                          </w:p>
                          <w:p w14:paraId="6657DF32" w14:textId="231ACE3E" w:rsidR="009E109C" w:rsidRDefault="009E109C" w:rsidP="009E109C">
                            <w:pPr>
                              <w:autoSpaceDE w:val="0"/>
                              <w:autoSpaceDN w:val="0"/>
                              <w:adjustRightInd w:val="0"/>
                              <w:jc w:val="center"/>
                              <w:rPr>
                                <w:noProof/>
                              </w:rPr>
                            </w:pPr>
                            <w:r w:rsidRPr="00360875">
                              <w:rPr>
                                <w:noProof/>
                              </w:rPr>
                              <w:drawing>
                                <wp:inline distT="0" distB="0" distL="0" distR="0" wp14:anchorId="503A4DB5" wp14:editId="47EDE02C">
                                  <wp:extent cx="3200400" cy="2743200"/>
                                  <wp:effectExtent l="0" t="0" r="0" b="4445"/>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mc:Fallback>
              </mc:AlternateContent>
            </w:r>
            <w:r>
              <w:rPr>
                <w:rFonts w:ascii="Verdana" w:eastAsia="Calibri" w:hAnsi="Verdana" w:cs="Arial"/>
                <w:noProof/>
                <w:lang w:val="es-CO" w:eastAsia="en-US"/>
              </w:rPr>
              <mc:AlternateContent>
                <mc:Choice Requires="wps">
                  <w:drawing>
                    <wp:anchor distT="0" distB="0" distL="114300" distR="114300" simplePos="0" relativeHeight="251663360" behindDoc="0" locked="0" layoutInCell="1" allowOverlap="1" wp14:anchorId="53B7E0DD" wp14:editId="1072B740">
                      <wp:simplePos x="0" y="0"/>
                      <wp:positionH relativeFrom="column">
                        <wp:posOffset>3352165</wp:posOffset>
                      </wp:positionH>
                      <wp:positionV relativeFrom="paragraph">
                        <wp:posOffset>64770</wp:posOffset>
                      </wp:positionV>
                      <wp:extent cx="3394710" cy="3030220"/>
                      <wp:effectExtent l="0" t="0" r="0" b="63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03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0B6A3" w14:textId="77777777" w:rsidR="009E109C" w:rsidRPr="009E109C" w:rsidRDefault="009E109C" w:rsidP="009E109C">
                                  <w:pPr>
                                    <w:jc w:val="center"/>
                                    <w:rPr>
                                      <w:rFonts w:ascii="Verdana" w:hAnsi="Verdana"/>
                                    </w:rPr>
                                  </w:pPr>
                                  <w:r w:rsidRPr="009E109C">
                                    <w:rPr>
                                      <w:rFonts w:ascii="Verdana" w:hAnsi="Verdana"/>
                                    </w:rPr>
                                    <w:t>B. Porcentaje de hogares</w:t>
                                  </w:r>
                                </w:p>
                                <w:p w14:paraId="5D7B4DE6" w14:textId="56B3FA6B" w:rsidR="009E109C" w:rsidRDefault="009E109C" w:rsidP="009E109C">
                                  <w:pPr>
                                    <w:autoSpaceDE w:val="0"/>
                                    <w:autoSpaceDN w:val="0"/>
                                    <w:adjustRightInd w:val="0"/>
                                    <w:jc w:val="center"/>
                                    <w:rPr>
                                      <w:rFonts w:ascii="Verdana" w:hAnsi="Verdana"/>
                                      <w:noProof/>
                                    </w:rPr>
                                  </w:pPr>
                                  <w:r w:rsidRPr="00360875">
                                    <w:rPr>
                                      <w:noProof/>
                                    </w:rPr>
                                    <w:drawing>
                                      <wp:inline distT="0" distB="0" distL="0" distR="0" wp14:anchorId="14163089" wp14:editId="17B2F857">
                                        <wp:extent cx="3017520" cy="2743200"/>
                                        <wp:effectExtent l="0" t="0" r="0" b="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6863B8" w14:textId="77777777" w:rsidR="009E109C" w:rsidRDefault="009E109C" w:rsidP="009E1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B7E0DD" id="Cuadro de texto 16" o:spid="_x0000_s1029" type="#_x0000_t202" style="position:absolute;left:0;text-align:left;margin-left:263.95pt;margin-top:5.1pt;width:267.3pt;height:23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" stroked="f">
                      <v:textbox>
                        <w:txbxContent>
                          <w:p w14:paraId="3250B6A3" w14:textId="77777777" w:rsidR="009E109C" w:rsidRPr="009E109C" w:rsidRDefault="009E109C" w:rsidP="009E109C">
                            <w:pPr>
                              <w:jc w:val="center"/>
                              <w:rPr>
                                <w:rFonts w:ascii="Verdana" w:hAnsi="Verdana"/>
                              </w:rPr>
                            </w:pPr>
                            <w:r w:rsidRPr="009E109C">
                              <w:rPr>
                                <w:rFonts w:ascii="Verdana" w:hAnsi="Verdana"/>
                              </w:rPr>
                              <w:t>B. Porcentaje de hogares</w:t>
                            </w:r>
                          </w:p>
                          <w:p w14:paraId="5D7B4DE6" w14:textId="56B3FA6B" w:rsidR="009E109C" w:rsidRDefault="009E109C" w:rsidP="009E109C">
                            <w:pPr>
                              <w:autoSpaceDE w:val="0"/>
                              <w:autoSpaceDN w:val="0"/>
                              <w:adjustRightInd w:val="0"/>
                              <w:jc w:val="center"/>
                              <w:rPr>
                                <w:rFonts w:ascii="Verdana" w:hAnsi="Verdana"/>
                                <w:noProof/>
                              </w:rPr>
                            </w:pPr>
                            <w:r w:rsidRPr="00360875">
                              <w:rPr>
                                <w:noProof/>
                              </w:rPr>
                              <w:drawing>
                                <wp:inline distT="0" distB="0" distL="0" distR="0" wp14:anchorId="14163089" wp14:editId="17B2F857">
                                  <wp:extent cx="3017520" cy="2743200"/>
                                  <wp:effectExtent l="0" t="0" r="0" b="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6863B8" w14:textId="77777777" w:rsidR="009E109C" w:rsidRDefault="009E109C" w:rsidP="009E109C"/>
                        </w:txbxContent>
                      </v:textbox>
                    </v:shape>
                  </w:pict>
                </mc:Fallback>
              </mc:AlternateContent>
            </w:r>
          </w:p>
          <w:p w14:paraId="44531051" w14:textId="77777777" w:rsidR="009E109C" w:rsidRDefault="009E109C" w:rsidP="009E109C">
            <w:pPr>
              <w:autoSpaceDE w:val="0"/>
              <w:autoSpaceDN w:val="0"/>
              <w:adjustRightInd w:val="0"/>
              <w:jc w:val="center"/>
              <w:rPr>
                <w:rFonts w:ascii="Verdana" w:eastAsia="Calibri" w:hAnsi="Verdana" w:cs="Arial"/>
                <w:b/>
                <w:bCs/>
                <w:i/>
                <w:iCs/>
                <w:lang w:val="es-CO" w:eastAsia="en-US"/>
              </w:rPr>
            </w:pPr>
          </w:p>
          <w:p w14:paraId="41A5C2B3" w14:textId="77777777" w:rsidR="009E109C" w:rsidRDefault="009E109C" w:rsidP="009E109C">
            <w:pPr>
              <w:autoSpaceDE w:val="0"/>
              <w:autoSpaceDN w:val="0"/>
              <w:adjustRightInd w:val="0"/>
              <w:jc w:val="center"/>
              <w:rPr>
                <w:rFonts w:ascii="Verdana" w:eastAsia="Calibri" w:hAnsi="Verdana" w:cs="Arial"/>
                <w:b/>
                <w:bCs/>
                <w:i/>
                <w:iCs/>
                <w:lang w:val="es-CO" w:eastAsia="en-US"/>
              </w:rPr>
            </w:pPr>
          </w:p>
          <w:p w14:paraId="0F2B2D9D" w14:textId="77777777" w:rsidR="009E109C" w:rsidRDefault="009E109C" w:rsidP="009E109C">
            <w:pPr>
              <w:autoSpaceDE w:val="0"/>
              <w:autoSpaceDN w:val="0"/>
              <w:adjustRightInd w:val="0"/>
              <w:jc w:val="center"/>
              <w:rPr>
                <w:rFonts w:ascii="Verdana" w:eastAsia="Calibri" w:hAnsi="Verdana" w:cs="Arial"/>
                <w:b/>
                <w:bCs/>
                <w:i/>
                <w:iCs/>
                <w:lang w:val="es-CO" w:eastAsia="en-US"/>
              </w:rPr>
            </w:pPr>
          </w:p>
          <w:p w14:paraId="068198AF" w14:textId="77777777" w:rsidR="009E109C" w:rsidRDefault="009E109C" w:rsidP="009E109C">
            <w:pPr>
              <w:autoSpaceDE w:val="0"/>
              <w:autoSpaceDN w:val="0"/>
              <w:adjustRightInd w:val="0"/>
              <w:jc w:val="center"/>
              <w:rPr>
                <w:rFonts w:ascii="Verdana" w:eastAsia="Calibri" w:hAnsi="Verdana" w:cs="Arial"/>
                <w:b/>
                <w:bCs/>
                <w:i/>
                <w:iCs/>
                <w:lang w:val="es-CO" w:eastAsia="en-US"/>
              </w:rPr>
            </w:pPr>
          </w:p>
          <w:p w14:paraId="34CB3157" w14:textId="77777777" w:rsidR="009E109C" w:rsidRDefault="009E109C" w:rsidP="009E109C">
            <w:pPr>
              <w:autoSpaceDE w:val="0"/>
              <w:autoSpaceDN w:val="0"/>
              <w:adjustRightInd w:val="0"/>
              <w:jc w:val="center"/>
              <w:rPr>
                <w:rFonts w:ascii="Verdana" w:eastAsia="Calibri" w:hAnsi="Verdana" w:cs="Arial"/>
                <w:b/>
                <w:bCs/>
                <w:i/>
                <w:iCs/>
                <w:lang w:val="es-CO" w:eastAsia="en-US"/>
              </w:rPr>
            </w:pPr>
          </w:p>
          <w:p w14:paraId="7230A02F" w14:textId="77777777" w:rsidR="009E109C" w:rsidRDefault="009E109C" w:rsidP="009E109C">
            <w:pPr>
              <w:autoSpaceDE w:val="0"/>
              <w:autoSpaceDN w:val="0"/>
              <w:adjustRightInd w:val="0"/>
              <w:jc w:val="both"/>
              <w:rPr>
                <w:rFonts w:ascii="Verdana" w:eastAsia="Calibri" w:hAnsi="Verdana" w:cs="Arial"/>
                <w:lang w:eastAsia="en-US"/>
              </w:rPr>
            </w:pPr>
          </w:p>
          <w:p w14:paraId="4E7E1326" w14:textId="77777777" w:rsidR="009E109C" w:rsidRDefault="009E109C" w:rsidP="009E109C">
            <w:pPr>
              <w:autoSpaceDE w:val="0"/>
              <w:autoSpaceDN w:val="0"/>
              <w:adjustRightInd w:val="0"/>
              <w:jc w:val="both"/>
              <w:rPr>
                <w:rFonts w:ascii="Verdana" w:eastAsia="Calibri" w:hAnsi="Verdana" w:cs="Arial"/>
                <w:lang w:eastAsia="en-US"/>
              </w:rPr>
            </w:pPr>
          </w:p>
          <w:p w14:paraId="55B17E2F" w14:textId="77777777" w:rsidR="009E109C" w:rsidRDefault="009E109C" w:rsidP="009E109C">
            <w:pPr>
              <w:autoSpaceDE w:val="0"/>
              <w:autoSpaceDN w:val="0"/>
              <w:adjustRightInd w:val="0"/>
              <w:jc w:val="both"/>
              <w:rPr>
                <w:rFonts w:ascii="Verdana" w:eastAsia="Calibri" w:hAnsi="Verdana" w:cs="Arial"/>
                <w:lang w:eastAsia="en-US"/>
              </w:rPr>
            </w:pPr>
          </w:p>
          <w:p w14:paraId="1542A1B3" w14:textId="77777777" w:rsidR="009E109C" w:rsidRDefault="009E109C" w:rsidP="009E109C">
            <w:pPr>
              <w:autoSpaceDE w:val="0"/>
              <w:autoSpaceDN w:val="0"/>
              <w:adjustRightInd w:val="0"/>
              <w:jc w:val="both"/>
              <w:rPr>
                <w:rFonts w:ascii="Verdana" w:eastAsia="Calibri" w:hAnsi="Verdana" w:cs="Arial"/>
                <w:lang w:eastAsia="en-US"/>
              </w:rPr>
            </w:pPr>
          </w:p>
          <w:p w14:paraId="38421496" w14:textId="77777777" w:rsidR="009E109C" w:rsidRDefault="009E109C" w:rsidP="009E109C">
            <w:pPr>
              <w:autoSpaceDE w:val="0"/>
              <w:autoSpaceDN w:val="0"/>
              <w:adjustRightInd w:val="0"/>
              <w:jc w:val="both"/>
              <w:rPr>
                <w:rFonts w:ascii="Verdana" w:eastAsia="Calibri" w:hAnsi="Verdana" w:cs="Arial"/>
                <w:lang w:eastAsia="en-US"/>
              </w:rPr>
            </w:pPr>
          </w:p>
          <w:p w14:paraId="5A1CA00C" w14:textId="77777777" w:rsidR="009E109C" w:rsidRDefault="009E109C" w:rsidP="009E109C">
            <w:pPr>
              <w:autoSpaceDE w:val="0"/>
              <w:autoSpaceDN w:val="0"/>
              <w:adjustRightInd w:val="0"/>
              <w:jc w:val="both"/>
              <w:rPr>
                <w:rFonts w:ascii="Verdana" w:eastAsia="Calibri" w:hAnsi="Verdana" w:cs="Arial"/>
                <w:lang w:eastAsia="en-US"/>
              </w:rPr>
            </w:pPr>
          </w:p>
          <w:p w14:paraId="1734D93C" w14:textId="77777777" w:rsidR="009E109C" w:rsidRDefault="009E109C" w:rsidP="009E109C">
            <w:pPr>
              <w:autoSpaceDE w:val="0"/>
              <w:autoSpaceDN w:val="0"/>
              <w:adjustRightInd w:val="0"/>
              <w:jc w:val="both"/>
              <w:rPr>
                <w:rFonts w:ascii="Verdana" w:eastAsia="Calibri" w:hAnsi="Verdana" w:cs="Arial"/>
                <w:lang w:eastAsia="en-US"/>
              </w:rPr>
            </w:pPr>
          </w:p>
          <w:p w14:paraId="617E8359" w14:textId="77777777" w:rsidR="009E109C" w:rsidRDefault="009E109C" w:rsidP="009E109C">
            <w:pPr>
              <w:autoSpaceDE w:val="0"/>
              <w:autoSpaceDN w:val="0"/>
              <w:adjustRightInd w:val="0"/>
              <w:jc w:val="both"/>
              <w:rPr>
                <w:rFonts w:ascii="Verdana" w:eastAsia="Calibri" w:hAnsi="Verdana" w:cs="Arial"/>
                <w:lang w:eastAsia="en-US"/>
              </w:rPr>
            </w:pPr>
          </w:p>
          <w:p w14:paraId="4D81E225" w14:textId="77777777" w:rsidR="009E109C" w:rsidRDefault="009E109C" w:rsidP="009E109C">
            <w:pPr>
              <w:autoSpaceDE w:val="0"/>
              <w:autoSpaceDN w:val="0"/>
              <w:adjustRightInd w:val="0"/>
              <w:jc w:val="both"/>
              <w:rPr>
                <w:rFonts w:ascii="Verdana" w:eastAsia="Calibri" w:hAnsi="Verdana" w:cs="Arial"/>
                <w:lang w:eastAsia="en-US"/>
              </w:rPr>
            </w:pPr>
          </w:p>
          <w:p w14:paraId="4E5D7325" w14:textId="77777777" w:rsidR="009E109C" w:rsidRDefault="009E109C" w:rsidP="009E109C">
            <w:pPr>
              <w:autoSpaceDE w:val="0"/>
              <w:autoSpaceDN w:val="0"/>
              <w:adjustRightInd w:val="0"/>
              <w:ind w:left="720"/>
              <w:jc w:val="center"/>
              <w:rPr>
                <w:rFonts w:ascii="Verdana" w:hAnsi="Verdana"/>
                <w:noProof/>
                <w:sz w:val="16"/>
                <w:szCs w:val="16"/>
              </w:rPr>
            </w:pPr>
          </w:p>
          <w:p w14:paraId="72174454" w14:textId="77777777" w:rsidR="009E109C" w:rsidRPr="009E109C" w:rsidRDefault="009E109C" w:rsidP="009E109C">
            <w:pPr>
              <w:autoSpaceDE w:val="0"/>
              <w:autoSpaceDN w:val="0"/>
              <w:adjustRightInd w:val="0"/>
              <w:ind w:left="720"/>
              <w:jc w:val="center"/>
              <w:rPr>
                <w:rFonts w:ascii="Verdana" w:hAnsi="Verdana"/>
                <w:noProof/>
                <w:sz w:val="18"/>
                <w:szCs w:val="18"/>
              </w:rPr>
            </w:pPr>
            <w:r w:rsidRPr="009E109C">
              <w:rPr>
                <w:rFonts w:ascii="Verdana" w:hAnsi="Verdana"/>
                <w:noProof/>
                <w:sz w:val="18"/>
                <w:szCs w:val="18"/>
              </w:rPr>
              <w:t>Fuente: Cálculos MVCT con base en la ECV-DANE (2023)</w:t>
            </w:r>
          </w:p>
          <w:p w14:paraId="01A54E52" w14:textId="77777777" w:rsidR="009E109C" w:rsidRPr="009E109C" w:rsidRDefault="009E109C" w:rsidP="009E109C">
            <w:pPr>
              <w:spacing w:line="276" w:lineRule="auto"/>
              <w:jc w:val="center"/>
              <w:rPr>
                <w:rFonts w:ascii="Verdana" w:hAnsi="Verdana"/>
                <w:sz w:val="18"/>
                <w:szCs w:val="18"/>
              </w:rPr>
            </w:pPr>
            <w:r w:rsidRPr="009E109C">
              <w:rPr>
                <w:rFonts w:ascii="Verdana" w:hAnsi="Verdana"/>
                <w:b/>
                <w:bCs/>
                <w:sz w:val="18"/>
                <w:szCs w:val="18"/>
              </w:rPr>
              <w:t>Nota:</w:t>
            </w:r>
            <w:r w:rsidRPr="009E109C">
              <w:rPr>
                <w:rFonts w:ascii="Verdana" w:hAnsi="Verdana"/>
                <w:sz w:val="18"/>
                <w:szCs w:val="18"/>
              </w:rPr>
              <w:t xml:space="preserve"> las cifras corresponden a los componentes jerarquizados por lo que únicamente se presentan los hogares que se encuentran en déficit cualitativo. </w:t>
            </w:r>
          </w:p>
          <w:p w14:paraId="5309F6FC" w14:textId="06E789B2" w:rsidR="00123458" w:rsidRDefault="00123458" w:rsidP="00101F25">
            <w:pPr>
              <w:autoSpaceDE w:val="0"/>
              <w:autoSpaceDN w:val="0"/>
              <w:adjustRightInd w:val="0"/>
              <w:jc w:val="both"/>
              <w:rPr>
                <w:rFonts w:ascii="Verdana" w:eastAsia="Calibri" w:hAnsi="Verdana" w:cs="Arial"/>
                <w:lang w:eastAsia="en-US"/>
              </w:rPr>
            </w:pPr>
          </w:p>
          <w:p w14:paraId="2F7CD58C" w14:textId="33368E98" w:rsidR="003C55EB" w:rsidRDefault="003C55EB" w:rsidP="003C55EB">
            <w:pPr>
              <w:autoSpaceDE w:val="0"/>
              <w:autoSpaceDN w:val="0"/>
              <w:adjustRightInd w:val="0"/>
              <w:jc w:val="both"/>
              <w:rPr>
                <w:rFonts w:ascii="Verdana" w:eastAsia="Calibri" w:hAnsi="Verdana" w:cs="Arial"/>
                <w:lang w:eastAsia="en-US"/>
              </w:rPr>
            </w:pPr>
            <w:r>
              <w:rPr>
                <w:rFonts w:ascii="Verdana" w:eastAsia="Calibri" w:hAnsi="Verdana" w:cs="Arial"/>
                <w:lang w:eastAsia="en-US"/>
              </w:rPr>
              <w:t>Aunque es importante realizar intervenciones que permitan eliminar todas las deficiencia</w:t>
            </w:r>
            <w:r w:rsidR="00A779E2">
              <w:rPr>
                <w:rFonts w:ascii="Verdana" w:eastAsia="Calibri" w:hAnsi="Verdana" w:cs="Arial"/>
                <w:lang w:eastAsia="en-US"/>
              </w:rPr>
              <w:t>s</w:t>
            </w:r>
            <w:r>
              <w:rPr>
                <w:rFonts w:ascii="Verdana" w:eastAsia="Calibri" w:hAnsi="Verdana" w:cs="Arial"/>
                <w:lang w:eastAsia="en-US"/>
              </w:rPr>
              <w:t xml:space="preserve"> de tipo cualitativo que enfrentan los hogares, se requiere priorizar aquellas orientadas a la generación o ampliación de espacios</w:t>
            </w:r>
            <w:r w:rsidR="008F66D9">
              <w:rPr>
                <w:rFonts w:ascii="Verdana" w:eastAsia="Calibri" w:hAnsi="Verdana" w:cs="Arial"/>
                <w:lang w:eastAsia="en-US"/>
              </w:rPr>
              <w:t xml:space="preserve">, disposición de </w:t>
            </w:r>
            <w:r>
              <w:rPr>
                <w:rFonts w:ascii="Verdana" w:eastAsia="Calibri" w:hAnsi="Verdana" w:cs="Arial"/>
                <w:lang w:eastAsia="en-US"/>
              </w:rPr>
              <w:t>conexiones intradomiciliarias  y saneamiento básico, debido a que contribuyen a la reducción del número de hogares que presentan hacinamiento mitigable, que carecen de acceso al agua proveniente de fuentes hídricas apta</w:t>
            </w:r>
            <w:r w:rsidR="008F66D9">
              <w:rPr>
                <w:rFonts w:ascii="Verdana" w:eastAsia="Calibri" w:hAnsi="Verdana" w:cs="Arial"/>
                <w:lang w:eastAsia="en-US"/>
              </w:rPr>
              <w:t>s</w:t>
            </w:r>
            <w:r>
              <w:rPr>
                <w:rFonts w:ascii="Verdana" w:eastAsia="Calibri" w:hAnsi="Verdana" w:cs="Arial"/>
                <w:lang w:eastAsia="en-US"/>
              </w:rPr>
              <w:t xml:space="preserve"> para el consumo humano y que realizan procesos inadecuados de manejo y desecho de aguas residuales, al ser las dimensiones que más afectan a los hogares con deficiencia</w:t>
            </w:r>
            <w:r w:rsidR="006F1D06">
              <w:rPr>
                <w:rFonts w:ascii="Verdana" w:eastAsia="Calibri" w:hAnsi="Verdana" w:cs="Arial"/>
                <w:lang w:eastAsia="en-US"/>
              </w:rPr>
              <w:t>s</w:t>
            </w:r>
            <w:r>
              <w:rPr>
                <w:rFonts w:ascii="Verdana" w:eastAsia="Calibri" w:hAnsi="Verdana" w:cs="Arial"/>
                <w:lang w:eastAsia="en-US"/>
              </w:rPr>
              <w:t xml:space="preserve"> cualitativas.</w:t>
            </w:r>
          </w:p>
          <w:p w14:paraId="3F1A1E24" w14:textId="379E4160" w:rsidR="00A779E2" w:rsidRDefault="00A779E2" w:rsidP="003C55EB">
            <w:pPr>
              <w:autoSpaceDE w:val="0"/>
              <w:autoSpaceDN w:val="0"/>
              <w:adjustRightInd w:val="0"/>
              <w:jc w:val="both"/>
              <w:rPr>
                <w:rFonts w:ascii="Verdana" w:eastAsia="Calibri" w:hAnsi="Verdana" w:cs="Arial"/>
                <w:lang w:eastAsia="en-US"/>
              </w:rPr>
            </w:pPr>
          </w:p>
          <w:p w14:paraId="2A4C3F01" w14:textId="4AC145E8" w:rsidR="00A779E2" w:rsidRDefault="00A779E2" w:rsidP="003C55EB">
            <w:pPr>
              <w:autoSpaceDE w:val="0"/>
              <w:autoSpaceDN w:val="0"/>
              <w:adjustRightInd w:val="0"/>
              <w:jc w:val="both"/>
              <w:rPr>
                <w:rFonts w:ascii="Verdana" w:eastAsia="Calibri" w:hAnsi="Verdana" w:cs="Arial"/>
                <w:lang w:eastAsia="en-US"/>
              </w:rPr>
            </w:pPr>
            <w:r>
              <w:rPr>
                <w:rFonts w:ascii="Verdana" w:eastAsia="Calibri" w:hAnsi="Verdana" w:cs="Arial"/>
                <w:lang w:eastAsia="en-US"/>
              </w:rPr>
              <w:t>Del mismo modo, las afectaciones causadas a los hogares por las anteriores dimensiones se acentúan en algunos territorios</w:t>
            </w:r>
            <w:r w:rsidR="00816AE2">
              <w:rPr>
                <w:rFonts w:ascii="Verdana" w:eastAsia="Calibri" w:hAnsi="Verdana" w:cs="Arial"/>
                <w:lang w:eastAsia="en-US"/>
              </w:rPr>
              <w:t xml:space="preserve">. San Andrés </w:t>
            </w:r>
            <w:r w:rsidR="00FD2549">
              <w:rPr>
                <w:rFonts w:ascii="Verdana" w:eastAsia="Calibri" w:hAnsi="Verdana" w:cs="Arial"/>
                <w:lang w:eastAsia="en-US"/>
              </w:rPr>
              <w:t xml:space="preserve">registra </w:t>
            </w:r>
            <w:r w:rsidR="006F6C16">
              <w:rPr>
                <w:rFonts w:ascii="Verdana" w:eastAsia="Calibri" w:hAnsi="Verdana" w:cs="Arial"/>
                <w:lang w:eastAsia="en-US"/>
              </w:rPr>
              <w:t xml:space="preserve">los mayores porcentajes de hogares con </w:t>
            </w:r>
            <w:r w:rsidR="00FD2549">
              <w:rPr>
                <w:rFonts w:ascii="Verdana" w:eastAsia="Calibri" w:hAnsi="Verdana" w:cs="Arial"/>
                <w:lang w:eastAsia="en-US"/>
              </w:rPr>
              <w:t xml:space="preserve">problemáticas </w:t>
            </w:r>
            <w:r w:rsidR="006F6C16">
              <w:rPr>
                <w:rFonts w:ascii="Verdana" w:eastAsia="Calibri" w:hAnsi="Verdana" w:cs="Arial"/>
                <w:lang w:eastAsia="en-US"/>
              </w:rPr>
              <w:t>asociadas a la falta de acc</w:t>
            </w:r>
            <w:r w:rsidR="00FD2549">
              <w:rPr>
                <w:rFonts w:ascii="Verdana" w:eastAsia="Calibri" w:hAnsi="Verdana" w:cs="Arial"/>
                <w:lang w:eastAsia="en-US"/>
              </w:rPr>
              <w:t xml:space="preserve">eso al servicio de alcantarillado </w:t>
            </w:r>
            <w:r w:rsidR="006F6C16">
              <w:rPr>
                <w:rFonts w:ascii="Verdana" w:eastAsia="Calibri" w:hAnsi="Verdana" w:cs="Arial"/>
                <w:lang w:eastAsia="en-US"/>
              </w:rPr>
              <w:t xml:space="preserve">(57,9%) </w:t>
            </w:r>
            <w:r w:rsidR="00FD2549">
              <w:rPr>
                <w:rFonts w:ascii="Verdana" w:eastAsia="Calibri" w:hAnsi="Verdana" w:cs="Arial"/>
                <w:lang w:eastAsia="en-US"/>
              </w:rPr>
              <w:t>y disponibilidad de agua para el consumo</w:t>
            </w:r>
            <w:r w:rsidR="006F6C16">
              <w:rPr>
                <w:rFonts w:ascii="Verdana" w:eastAsia="Calibri" w:hAnsi="Verdana" w:cs="Arial"/>
                <w:lang w:eastAsia="en-US"/>
              </w:rPr>
              <w:t xml:space="preserve"> </w:t>
            </w:r>
            <w:r w:rsidR="00451610">
              <w:rPr>
                <w:rFonts w:ascii="Verdana" w:eastAsia="Calibri" w:hAnsi="Verdana" w:cs="Arial"/>
                <w:lang w:eastAsia="en-US"/>
              </w:rPr>
              <w:t xml:space="preserve">humano </w:t>
            </w:r>
            <w:r w:rsidR="006F6C16">
              <w:rPr>
                <w:rFonts w:ascii="Verdana" w:eastAsia="Calibri" w:hAnsi="Verdana" w:cs="Arial"/>
                <w:lang w:eastAsia="en-US"/>
              </w:rPr>
              <w:t>(40,9%)</w:t>
            </w:r>
            <w:r w:rsidR="00451610">
              <w:rPr>
                <w:rFonts w:ascii="Verdana" w:eastAsia="Calibri" w:hAnsi="Verdana" w:cs="Arial"/>
                <w:lang w:eastAsia="en-US"/>
              </w:rPr>
              <w:t>;</w:t>
            </w:r>
            <w:r w:rsidR="006F6C16">
              <w:rPr>
                <w:rFonts w:ascii="Verdana" w:eastAsia="Calibri" w:hAnsi="Verdana" w:cs="Arial"/>
                <w:lang w:eastAsia="en-US"/>
              </w:rPr>
              <w:t xml:space="preserve"> seguido de Vichada con la mayoría de hogares afectados por la carencia de alcantarillados (38,6%)</w:t>
            </w:r>
            <w:r w:rsidR="00451610">
              <w:rPr>
                <w:rFonts w:ascii="Verdana" w:eastAsia="Calibri" w:hAnsi="Verdana" w:cs="Arial"/>
                <w:lang w:eastAsia="en-US"/>
              </w:rPr>
              <w:t>;</w:t>
            </w:r>
            <w:r w:rsidR="006F6C16">
              <w:rPr>
                <w:rFonts w:ascii="Verdana" w:eastAsia="Calibri" w:hAnsi="Verdana" w:cs="Arial"/>
                <w:lang w:eastAsia="en-US"/>
              </w:rPr>
              <w:t xml:space="preserve"> Chocó que </w:t>
            </w:r>
            <w:r w:rsidR="00451610">
              <w:rPr>
                <w:rFonts w:ascii="Verdana" w:eastAsia="Calibri" w:hAnsi="Verdana" w:cs="Arial"/>
                <w:lang w:eastAsia="en-US"/>
              </w:rPr>
              <w:t xml:space="preserve">cuenta con similar porcentaje de hogares con dificultades en materia de manejo y desecho de aguas residuales (30,8%) y de acceso a agua potable (30%); y La Guajira, que </w:t>
            </w:r>
            <w:r w:rsidR="00B90FD3">
              <w:rPr>
                <w:rFonts w:ascii="Verdana" w:eastAsia="Calibri" w:hAnsi="Verdana" w:cs="Arial"/>
                <w:lang w:eastAsia="en-US"/>
              </w:rPr>
              <w:t xml:space="preserve">evidencia una proporción casi igual de hogares que enfrentan dificultades relacionadas con hacinamiento mitigable (22,9%), servicios de alcantarillado (19,3%) y agua para cocinar (16,5%). (Gráfico 4) </w:t>
            </w:r>
            <w:r w:rsidR="00451610">
              <w:rPr>
                <w:rFonts w:ascii="Verdana" w:eastAsia="Calibri" w:hAnsi="Verdana" w:cs="Arial"/>
                <w:lang w:eastAsia="en-US"/>
              </w:rPr>
              <w:t xml:space="preserve"> </w:t>
            </w:r>
          </w:p>
          <w:p w14:paraId="31964966" w14:textId="4A19DD95" w:rsidR="004D5EDD" w:rsidRDefault="00A779E2" w:rsidP="003C55EB">
            <w:pPr>
              <w:autoSpaceDE w:val="0"/>
              <w:autoSpaceDN w:val="0"/>
              <w:adjustRightInd w:val="0"/>
              <w:jc w:val="both"/>
              <w:rPr>
                <w:rFonts w:ascii="Verdana" w:eastAsia="Calibri" w:hAnsi="Verdana" w:cs="Arial"/>
                <w:lang w:eastAsia="en-US"/>
              </w:rPr>
            </w:pPr>
            <w:r>
              <w:rPr>
                <w:rFonts w:ascii="Verdana" w:eastAsia="Calibri" w:hAnsi="Verdana" w:cs="Arial"/>
                <w:lang w:eastAsia="en-US"/>
              </w:rPr>
              <w:t xml:space="preserve"> </w:t>
            </w:r>
          </w:p>
          <w:p w14:paraId="02D945CE" w14:textId="624D9E30" w:rsidR="004D5EDD" w:rsidRPr="009E109C" w:rsidRDefault="004D5EDD" w:rsidP="004D5EDD">
            <w:pPr>
              <w:autoSpaceDE w:val="0"/>
              <w:autoSpaceDN w:val="0"/>
              <w:adjustRightInd w:val="0"/>
              <w:jc w:val="center"/>
              <w:rPr>
                <w:rFonts w:ascii="Verdana" w:eastAsia="Calibri" w:hAnsi="Verdana" w:cs="Arial"/>
                <w:i/>
                <w:iCs/>
                <w:color w:val="44546A"/>
                <w:lang w:val="es-CO" w:eastAsia="en-US"/>
              </w:rPr>
            </w:pPr>
            <w:r w:rsidRPr="009E109C">
              <w:rPr>
                <w:rFonts w:ascii="Verdana" w:eastAsia="Calibri" w:hAnsi="Verdana" w:cs="Arial"/>
                <w:i/>
                <w:iCs/>
                <w:color w:val="44546A"/>
                <w:lang w:val="es-CO" w:eastAsia="en-US"/>
              </w:rPr>
              <w:t xml:space="preserve">Gráfico </w:t>
            </w:r>
            <w:r>
              <w:rPr>
                <w:rFonts w:ascii="Verdana" w:eastAsia="Calibri" w:hAnsi="Verdana" w:cs="Arial"/>
                <w:i/>
                <w:iCs/>
                <w:color w:val="44546A"/>
                <w:lang w:val="es-CO" w:eastAsia="en-US"/>
              </w:rPr>
              <w:t>4</w:t>
            </w:r>
            <w:r w:rsidRPr="009E109C">
              <w:rPr>
                <w:rFonts w:ascii="Verdana" w:eastAsia="Calibri" w:hAnsi="Verdana" w:cs="Arial"/>
                <w:i/>
                <w:iCs/>
                <w:color w:val="44546A"/>
                <w:lang w:val="es-CO" w:eastAsia="en-US"/>
              </w:rPr>
              <w:t xml:space="preserve">. Déficit cualitativo por </w:t>
            </w:r>
            <w:r>
              <w:rPr>
                <w:rFonts w:ascii="Verdana" w:eastAsia="Calibri" w:hAnsi="Verdana" w:cs="Arial"/>
                <w:i/>
                <w:iCs/>
                <w:color w:val="44546A"/>
                <w:lang w:val="es-CO" w:eastAsia="en-US"/>
              </w:rPr>
              <w:t>departamentos</w:t>
            </w:r>
            <w:r w:rsidRPr="009E109C">
              <w:rPr>
                <w:rFonts w:ascii="Verdana" w:eastAsia="Calibri" w:hAnsi="Verdana" w:cs="Arial"/>
                <w:i/>
                <w:iCs/>
                <w:color w:val="44546A"/>
                <w:lang w:val="es-CO" w:eastAsia="en-US"/>
              </w:rPr>
              <w:t xml:space="preserve"> según dimensiones en 2023</w:t>
            </w:r>
            <w:r w:rsidR="002F468D">
              <w:rPr>
                <w:rFonts w:ascii="Verdana" w:eastAsia="Calibri" w:hAnsi="Verdana" w:cs="Arial"/>
                <w:i/>
                <w:iCs/>
                <w:color w:val="44546A"/>
                <w:lang w:val="es-CO" w:eastAsia="en-US"/>
              </w:rPr>
              <w:t xml:space="preserve"> (%)</w:t>
            </w:r>
          </w:p>
          <w:p w14:paraId="7780BA17" w14:textId="7CB4B668" w:rsidR="004D5EDD" w:rsidRPr="004D5EDD" w:rsidRDefault="00A779E2" w:rsidP="003C55EB">
            <w:pPr>
              <w:autoSpaceDE w:val="0"/>
              <w:autoSpaceDN w:val="0"/>
              <w:adjustRightInd w:val="0"/>
              <w:jc w:val="both"/>
              <w:rPr>
                <w:rFonts w:ascii="Verdana" w:eastAsia="Calibri" w:hAnsi="Verdana" w:cs="Arial"/>
                <w:lang w:val="es-CO" w:eastAsia="en-US"/>
              </w:rPr>
            </w:pPr>
            <w:r>
              <w:rPr>
                <w:noProof/>
                <w14:ligatures w14:val="standardContextual"/>
              </w:rPr>
              <w:drawing>
                <wp:inline distT="0" distB="0" distL="0" distR="0" wp14:anchorId="3BC6AFA3" wp14:editId="504CE3CB">
                  <wp:extent cx="6715125" cy="2743200"/>
                  <wp:effectExtent l="0" t="0" r="0" b="0"/>
                  <wp:docPr id="1" name="Gráfico 1">
                    <a:extLst xmlns:a="http://schemas.openxmlformats.org/drawingml/2006/main">
                      <a:ext uri="{FF2B5EF4-FFF2-40B4-BE49-F238E27FC236}">
                        <a16:creationId xmlns:a16="http://schemas.microsoft.com/office/drawing/2014/main" id="{C9BA512A-20CD-4ABB-AEB3-0CE34FFC3E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2CA17F" w14:textId="77777777" w:rsidR="00272CE3" w:rsidRPr="009E109C" w:rsidRDefault="00272CE3" w:rsidP="00272CE3">
            <w:pPr>
              <w:autoSpaceDE w:val="0"/>
              <w:autoSpaceDN w:val="0"/>
              <w:adjustRightInd w:val="0"/>
              <w:ind w:left="720"/>
              <w:jc w:val="center"/>
              <w:rPr>
                <w:rFonts w:ascii="Verdana" w:hAnsi="Verdana"/>
                <w:noProof/>
                <w:sz w:val="18"/>
                <w:szCs w:val="18"/>
              </w:rPr>
            </w:pPr>
            <w:r w:rsidRPr="009E109C">
              <w:rPr>
                <w:rFonts w:ascii="Verdana" w:hAnsi="Verdana"/>
                <w:noProof/>
                <w:sz w:val="18"/>
                <w:szCs w:val="18"/>
              </w:rPr>
              <w:t>Fuente: Cálculos MVCT con base en la ECV-DANE (2023)</w:t>
            </w:r>
          </w:p>
          <w:p w14:paraId="683C6DE2" w14:textId="77777777" w:rsidR="00272CE3" w:rsidRPr="009E109C" w:rsidRDefault="00272CE3" w:rsidP="00272CE3">
            <w:pPr>
              <w:spacing w:line="276" w:lineRule="auto"/>
              <w:jc w:val="center"/>
              <w:rPr>
                <w:rFonts w:ascii="Verdana" w:hAnsi="Verdana"/>
                <w:sz w:val="18"/>
                <w:szCs w:val="18"/>
              </w:rPr>
            </w:pPr>
            <w:r w:rsidRPr="009E109C">
              <w:rPr>
                <w:rFonts w:ascii="Verdana" w:hAnsi="Verdana"/>
                <w:b/>
                <w:bCs/>
                <w:sz w:val="18"/>
                <w:szCs w:val="18"/>
              </w:rPr>
              <w:t>Nota:</w:t>
            </w:r>
            <w:r w:rsidRPr="009E109C">
              <w:rPr>
                <w:rFonts w:ascii="Verdana" w:hAnsi="Verdana"/>
                <w:sz w:val="18"/>
                <w:szCs w:val="18"/>
              </w:rPr>
              <w:t xml:space="preserve"> las cifras corresponden a los componentes jerarquizados por lo que únicamente se presentan los hogares que se encuentran en déficit cualitativo. </w:t>
            </w:r>
          </w:p>
          <w:p w14:paraId="7B9A37F2" w14:textId="3B231E8F" w:rsidR="002631AD" w:rsidRDefault="002631AD" w:rsidP="00101F25">
            <w:pPr>
              <w:autoSpaceDE w:val="0"/>
              <w:autoSpaceDN w:val="0"/>
              <w:adjustRightInd w:val="0"/>
              <w:jc w:val="both"/>
              <w:rPr>
                <w:rFonts w:ascii="Verdana" w:eastAsia="Calibri" w:hAnsi="Verdana" w:cs="Arial"/>
                <w:lang w:eastAsia="en-US"/>
              </w:rPr>
            </w:pPr>
          </w:p>
          <w:p w14:paraId="16ED16EA" w14:textId="2906DDA9" w:rsidR="002F468D" w:rsidRDefault="002F468D" w:rsidP="00101F25">
            <w:pPr>
              <w:autoSpaceDE w:val="0"/>
              <w:autoSpaceDN w:val="0"/>
              <w:adjustRightInd w:val="0"/>
              <w:jc w:val="both"/>
              <w:rPr>
                <w:rFonts w:ascii="Verdana" w:eastAsia="Calibri" w:hAnsi="Verdana" w:cs="Arial"/>
                <w:lang w:eastAsia="en-US"/>
              </w:rPr>
            </w:pPr>
            <w:r>
              <w:rPr>
                <w:rFonts w:ascii="Verdana" w:eastAsia="Calibri" w:hAnsi="Verdana" w:cs="Arial"/>
                <w:lang w:eastAsia="en-US"/>
              </w:rPr>
              <w:t xml:space="preserve">Si bien algunos territorios registran mayores deficiencias, cuando se compara con la territorialización de las asignaciones históricas de mejoramientos de vivienda, se observa un comportamiento contrario en el que los lugares con mayores necesidades no son necesariamente los que han recibido la mayor cantidad de subsidios para aliviar esta problemática. Un ejemplo de esto es </w:t>
            </w:r>
            <w:r w:rsidR="00687CE9">
              <w:rPr>
                <w:rFonts w:ascii="Verdana" w:eastAsia="Calibri" w:hAnsi="Verdana" w:cs="Arial"/>
                <w:lang w:eastAsia="en-US"/>
              </w:rPr>
              <w:t>San Andrés que registra el mayor déficit cualitativo (68,7%) y las asignaciones sólo alcanzan el 0,9%</w:t>
            </w:r>
            <w:r w:rsidR="00424162">
              <w:rPr>
                <w:rFonts w:ascii="Verdana" w:eastAsia="Calibri" w:hAnsi="Verdana" w:cs="Arial"/>
                <w:lang w:eastAsia="en-US"/>
              </w:rPr>
              <w:t xml:space="preserve">. Casos similares se presentan en otros departamentos como Sucre (48,7%), Magdalena (48%), La Guajira (46,2%) y </w:t>
            </w:r>
            <w:r w:rsidR="00F07921">
              <w:rPr>
                <w:rFonts w:ascii="Verdana" w:eastAsia="Calibri" w:hAnsi="Verdana" w:cs="Arial"/>
                <w:lang w:eastAsia="en-US"/>
              </w:rPr>
              <w:t>C</w:t>
            </w:r>
            <w:r w:rsidR="00424162">
              <w:rPr>
                <w:rFonts w:ascii="Verdana" w:eastAsia="Calibri" w:hAnsi="Verdana" w:cs="Arial"/>
                <w:lang w:eastAsia="en-US"/>
              </w:rPr>
              <w:t xml:space="preserve">hocó (41,5%) </w:t>
            </w:r>
            <w:r>
              <w:rPr>
                <w:rFonts w:ascii="Verdana" w:eastAsia="Calibri" w:hAnsi="Verdana" w:cs="Arial"/>
                <w:lang w:eastAsia="en-US"/>
              </w:rPr>
              <w:t xml:space="preserve">donde </w:t>
            </w:r>
            <w:r w:rsidR="00424162">
              <w:rPr>
                <w:rFonts w:ascii="Verdana" w:eastAsia="Calibri" w:hAnsi="Verdana" w:cs="Arial"/>
                <w:lang w:eastAsia="en-US"/>
              </w:rPr>
              <w:t>las afectaciones de ti</w:t>
            </w:r>
            <w:r w:rsidR="00F07921">
              <w:rPr>
                <w:rFonts w:ascii="Verdana" w:eastAsia="Calibri" w:hAnsi="Verdana" w:cs="Arial"/>
                <w:lang w:eastAsia="en-US"/>
              </w:rPr>
              <w:t>p</w:t>
            </w:r>
            <w:r w:rsidR="00424162">
              <w:rPr>
                <w:rFonts w:ascii="Verdana" w:eastAsia="Calibri" w:hAnsi="Verdana" w:cs="Arial"/>
                <w:lang w:eastAsia="en-US"/>
              </w:rPr>
              <w:t>o cualitativo son altas y las asignaciones para mejoramientos de vivienda no superan el 5%. Además, para departamentos como Vichada (49,1%), Guainía (32,5%) y Amazonas (31,5%)</w:t>
            </w:r>
            <w:r w:rsidR="009062B2">
              <w:rPr>
                <w:rFonts w:ascii="Verdana" w:eastAsia="Calibri" w:hAnsi="Verdana" w:cs="Arial"/>
                <w:lang w:eastAsia="en-US"/>
              </w:rPr>
              <w:t xml:space="preserve"> que enfrentan grandes desafíos en materia de alcantarillado, acceso a agua potable y hacinamiento mitigable no se han asignado subsidios que mejoren sus condiciones habitacionales. Esto deja en evidencia la necesidad de realizar i</w:t>
            </w:r>
            <w:r>
              <w:rPr>
                <w:rFonts w:ascii="Verdana" w:eastAsia="Calibri" w:hAnsi="Verdana" w:cs="Arial"/>
                <w:lang w:eastAsia="en-US"/>
              </w:rPr>
              <w:t xml:space="preserve">ntervenciones más ambiciosas </w:t>
            </w:r>
            <w:r w:rsidR="009062B2">
              <w:rPr>
                <w:rFonts w:ascii="Verdana" w:eastAsia="Calibri" w:hAnsi="Verdana" w:cs="Arial"/>
                <w:lang w:eastAsia="en-US"/>
              </w:rPr>
              <w:t>frente a estos componentes en particular (Gráfico 5)</w:t>
            </w:r>
            <w:r w:rsidR="00F07921">
              <w:rPr>
                <w:rFonts w:ascii="Verdana" w:eastAsia="Calibri" w:hAnsi="Verdana" w:cs="Arial"/>
                <w:lang w:eastAsia="en-US"/>
              </w:rPr>
              <w:t>.</w:t>
            </w:r>
          </w:p>
          <w:p w14:paraId="49EAF6F8" w14:textId="77777777" w:rsidR="002F468D" w:rsidRDefault="002F468D" w:rsidP="00101F25">
            <w:pPr>
              <w:autoSpaceDE w:val="0"/>
              <w:autoSpaceDN w:val="0"/>
              <w:adjustRightInd w:val="0"/>
              <w:jc w:val="both"/>
              <w:rPr>
                <w:rFonts w:ascii="Verdana" w:eastAsia="Calibri" w:hAnsi="Verdana" w:cs="Arial"/>
                <w:lang w:eastAsia="en-US"/>
              </w:rPr>
            </w:pPr>
          </w:p>
          <w:p w14:paraId="35B9231B" w14:textId="0A74BA7E" w:rsidR="002F468D" w:rsidRPr="009E109C" w:rsidRDefault="002F468D" w:rsidP="002F468D">
            <w:pPr>
              <w:autoSpaceDE w:val="0"/>
              <w:autoSpaceDN w:val="0"/>
              <w:adjustRightInd w:val="0"/>
              <w:jc w:val="center"/>
              <w:rPr>
                <w:rFonts w:ascii="Verdana" w:eastAsia="Calibri" w:hAnsi="Verdana" w:cs="Arial"/>
                <w:i/>
                <w:iCs/>
                <w:color w:val="44546A"/>
                <w:lang w:val="es-CO" w:eastAsia="en-US"/>
              </w:rPr>
            </w:pPr>
            <w:r w:rsidRPr="009E109C">
              <w:rPr>
                <w:rFonts w:ascii="Verdana" w:eastAsia="Calibri" w:hAnsi="Verdana" w:cs="Arial"/>
                <w:i/>
                <w:iCs/>
                <w:color w:val="44546A"/>
                <w:lang w:val="es-CO" w:eastAsia="en-US"/>
              </w:rPr>
              <w:t xml:space="preserve">Gráfico </w:t>
            </w:r>
            <w:r>
              <w:rPr>
                <w:rFonts w:ascii="Verdana" w:eastAsia="Calibri" w:hAnsi="Verdana" w:cs="Arial"/>
                <w:i/>
                <w:iCs/>
                <w:color w:val="44546A"/>
                <w:lang w:val="es-CO" w:eastAsia="en-US"/>
              </w:rPr>
              <w:t>5</w:t>
            </w:r>
            <w:r w:rsidRPr="009E109C">
              <w:rPr>
                <w:rFonts w:ascii="Verdana" w:eastAsia="Calibri" w:hAnsi="Verdana" w:cs="Arial"/>
                <w:i/>
                <w:iCs/>
                <w:color w:val="44546A"/>
                <w:lang w:val="es-CO" w:eastAsia="en-US"/>
              </w:rPr>
              <w:t xml:space="preserve">. Déficit cualitativo </w:t>
            </w:r>
            <w:r>
              <w:rPr>
                <w:rFonts w:ascii="Verdana" w:eastAsia="Calibri" w:hAnsi="Verdana" w:cs="Arial"/>
                <w:i/>
                <w:iCs/>
                <w:color w:val="44546A"/>
                <w:lang w:val="es-CO" w:eastAsia="en-US"/>
              </w:rPr>
              <w:t xml:space="preserve">y asignaciones históricas de subsidios de mejoramiento de vivienda </w:t>
            </w:r>
            <w:r w:rsidRPr="009E109C">
              <w:rPr>
                <w:rFonts w:ascii="Verdana" w:eastAsia="Calibri" w:hAnsi="Verdana" w:cs="Arial"/>
                <w:i/>
                <w:iCs/>
                <w:color w:val="44546A"/>
                <w:lang w:val="es-CO" w:eastAsia="en-US"/>
              </w:rPr>
              <w:t xml:space="preserve">por </w:t>
            </w:r>
            <w:r>
              <w:rPr>
                <w:rFonts w:ascii="Verdana" w:eastAsia="Calibri" w:hAnsi="Verdana" w:cs="Arial"/>
                <w:i/>
                <w:iCs/>
                <w:color w:val="44546A"/>
                <w:lang w:val="es-CO" w:eastAsia="en-US"/>
              </w:rPr>
              <w:t xml:space="preserve">departamentos </w:t>
            </w:r>
            <w:r w:rsidRPr="009E109C">
              <w:rPr>
                <w:rFonts w:ascii="Verdana" w:eastAsia="Calibri" w:hAnsi="Verdana" w:cs="Arial"/>
                <w:i/>
                <w:iCs/>
                <w:color w:val="44546A"/>
                <w:lang w:val="es-CO" w:eastAsia="en-US"/>
              </w:rPr>
              <w:t>en 2023</w:t>
            </w:r>
            <w:r>
              <w:rPr>
                <w:rFonts w:ascii="Verdana" w:eastAsia="Calibri" w:hAnsi="Verdana" w:cs="Arial"/>
                <w:i/>
                <w:iCs/>
                <w:color w:val="44546A"/>
                <w:lang w:val="es-CO" w:eastAsia="en-US"/>
              </w:rPr>
              <w:t xml:space="preserve"> (%)</w:t>
            </w:r>
          </w:p>
          <w:p w14:paraId="14F6235B" w14:textId="3736E5FD" w:rsidR="00387E73" w:rsidRDefault="002F468D" w:rsidP="00101F25">
            <w:pPr>
              <w:autoSpaceDE w:val="0"/>
              <w:autoSpaceDN w:val="0"/>
              <w:adjustRightInd w:val="0"/>
              <w:jc w:val="both"/>
              <w:rPr>
                <w:rFonts w:ascii="Verdana" w:eastAsia="Calibri" w:hAnsi="Verdana" w:cs="Arial"/>
                <w:lang w:eastAsia="en-US"/>
              </w:rPr>
            </w:pPr>
            <w:r>
              <w:rPr>
                <w:noProof/>
                <w14:ligatures w14:val="standardContextual"/>
              </w:rPr>
              <w:drawing>
                <wp:inline distT="0" distB="0" distL="0" distR="0" wp14:anchorId="5021E5EA" wp14:editId="3F7E1507">
                  <wp:extent cx="6677019" cy="3038469"/>
                  <wp:effectExtent l="0" t="0" r="0" b="0"/>
                  <wp:docPr id="13" name="Gráfico 13">
                    <a:extLst xmlns:a="http://schemas.openxmlformats.org/drawingml/2006/main">
                      <a:ext uri="{FF2B5EF4-FFF2-40B4-BE49-F238E27FC236}">
                        <a16:creationId xmlns:a16="http://schemas.microsoft.com/office/drawing/2014/main" id="{89B7E7C7-338B-499A-AEE0-A8D3453CB0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273484" w14:textId="0CEADF05" w:rsidR="002F468D" w:rsidRPr="009E109C" w:rsidRDefault="002F468D" w:rsidP="002F468D">
            <w:pPr>
              <w:autoSpaceDE w:val="0"/>
              <w:autoSpaceDN w:val="0"/>
              <w:adjustRightInd w:val="0"/>
              <w:ind w:left="720"/>
              <w:jc w:val="center"/>
              <w:rPr>
                <w:rFonts w:ascii="Verdana" w:hAnsi="Verdana"/>
                <w:noProof/>
                <w:sz w:val="18"/>
                <w:szCs w:val="18"/>
              </w:rPr>
            </w:pPr>
            <w:r w:rsidRPr="009E109C">
              <w:rPr>
                <w:rFonts w:ascii="Verdana" w:hAnsi="Verdana"/>
                <w:noProof/>
                <w:sz w:val="18"/>
                <w:szCs w:val="18"/>
              </w:rPr>
              <w:t>Fuente: Cálculos MVCT con base en la ECV-DANE</w:t>
            </w:r>
            <w:r w:rsidR="00D04B8E">
              <w:rPr>
                <w:rFonts w:ascii="Verdana" w:hAnsi="Verdana"/>
                <w:noProof/>
                <w:sz w:val="18"/>
                <w:szCs w:val="18"/>
              </w:rPr>
              <w:t xml:space="preserve"> </w:t>
            </w:r>
            <w:r w:rsidRPr="009E109C">
              <w:rPr>
                <w:rFonts w:ascii="Verdana" w:hAnsi="Verdana"/>
                <w:noProof/>
                <w:sz w:val="18"/>
                <w:szCs w:val="18"/>
              </w:rPr>
              <w:t>(2023)</w:t>
            </w:r>
            <w:r w:rsidR="00B20C4C">
              <w:rPr>
                <w:rFonts w:ascii="Verdana" w:hAnsi="Verdana"/>
                <w:noProof/>
                <w:sz w:val="18"/>
                <w:szCs w:val="18"/>
              </w:rPr>
              <w:t xml:space="preserve"> y Subdirección del Subsidio Familiar de Vivienda.</w:t>
            </w:r>
          </w:p>
          <w:p w14:paraId="18403352" w14:textId="507E0EBD" w:rsidR="000C0344" w:rsidRDefault="000C0344" w:rsidP="00101F25">
            <w:pPr>
              <w:autoSpaceDE w:val="0"/>
              <w:autoSpaceDN w:val="0"/>
              <w:adjustRightInd w:val="0"/>
              <w:jc w:val="both"/>
              <w:rPr>
                <w:rFonts w:ascii="Verdana" w:eastAsia="Calibri" w:hAnsi="Verdana" w:cs="Arial"/>
                <w:lang w:eastAsia="en-US"/>
              </w:rPr>
            </w:pPr>
          </w:p>
          <w:p w14:paraId="0F08462D" w14:textId="77777777" w:rsidR="006F1D06" w:rsidRDefault="006F1D06" w:rsidP="00101F25">
            <w:pPr>
              <w:autoSpaceDE w:val="0"/>
              <w:autoSpaceDN w:val="0"/>
              <w:adjustRightInd w:val="0"/>
              <w:jc w:val="both"/>
              <w:rPr>
                <w:rFonts w:ascii="Verdana" w:eastAsia="Calibri" w:hAnsi="Verdana" w:cs="Arial"/>
                <w:lang w:eastAsia="en-US"/>
              </w:rPr>
            </w:pPr>
          </w:p>
          <w:p w14:paraId="240AE19D" w14:textId="387A2539" w:rsidR="006F1D06" w:rsidRPr="00290194" w:rsidRDefault="006F1D06" w:rsidP="006F1D06">
            <w:pPr>
              <w:ind w:left="134"/>
              <w:jc w:val="both"/>
              <w:rPr>
                <w:rFonts w:ascii="Verdana" w:hAnsi="Verdana" w:cs="Arial"/>
                <w:b/>
                <w:bCs/>
                <w:i/>
                <w:color w:val="808080"/>
              </w:rPr>
            </w:pPr>
            <w:r w:rsidRPr="006F1D06">
              <w:rPr>
                <w:rFonts w:ascii="Verdana" w:hAnsi="Verdana" w:cs="Arial"/>
                <w:b/>
                <w:bCs/>
                <w:i/>
                <w:color w:val="808080"/>
              </w:rPr>
              <w:t>1.1.2.</w:t>
            </w:r>
            <w:r w:rsidRPr="006F1D06">
              <w:rPr>
                <w:rFonts w:ascii="Verdana" w:hAnsi="Verdana" w:cs="Arial"/>
                <w:b/>
                <w:bCs/>
                <w:i/>
                <w:color w:val="808080"/>
              </w:rPr>
              <w:tab/>
              <w:t>Déficit habitacional según categoría de municipios y zonas PDET</w:t>
            </w:r>
          </w:p>
          <w:p w14:paraId="504963C2" w14:textId="77777777" w:rsidR="000C0344" w:rsidRDefault="000C0344" w:rsidP="00101F25">
            <w:pPr>
              <w:autoSpaceDE w:val="0"/>
              <w:autoSpaceDN w:val="0"/>
              <w:adjustRightInd w:val="0"/>
              <w:jc w:val="both"/>
              <w:rPr>
                <w:rFonts w:ascii="Verdana" w:eastAsia="Calibri" w:hAnsi="Verdana" w:cs="Arial"/>
                <w:lang w:eastAsia="en-US"/>
              </w:rPr>
            </w:pPr>
          </w:p>
          <w:p w14:paraId="18E0D114" w14:textId="56A639C6" w:rsidR="009E109C" w:rsidRDefault="00123458" w:rsidP="00101F25">
            <w:pPr>
              <w:autoSpaceDE w:val="0"/>
              <w:autoSpaceDN w:val="0"/>
              <w:adjustRightInd w:val="0"/>
              <w:jc w:val="both"/>
              <w:rPr>
                <w:rFonts w:ascii="Verdana" w:eastAsia="Calibri" w:hAnsi="Verdana" w:cs="Arial"/>
                <w:lang w:eastAsia="en-US"/>
              </w:rPr>
            </w:pPr>
            <w:r w:rsidRPr="00123458">
              <w:rPr>
                <w:rFonts w:ascii="Verdana" w:eastAsia="Calibri" w:hAnsi="Verdana" w:cs="Arial"/>
                <w:lang w:eastAsia="en-US"/>
              </w:rPr>
              <w:t>Adicionalmente, por regiones se puede evidenciar una tendencia de mayor déficit habitacional en los municipios de menor tamaño. Mientras que en los municipios de categoría especial se registra el menor porcentaje de hogares en déficit (16,6%), en los de categoría 4 (51,8%), 5 (50,3%) y 6 (64,1%) se encuentran los mayores valores (Tabla 1)</w:t>
            </w:r>
            <w:r>
              <w:rPr>
                <w:rStyle w:val="Refdenotaalpie"/>
                <w:rFonts w:ascii="Verdana" w:eastAsia="Calibri" w:hAnsi="Verdana" w:cs="Arial"/>
                <w:lang w:eastAsia="en-US"/>
              </w:rPr>
              <w:footnoteReference w:id="5"/>
            </w:r>
            <w:r w:rsidRPr="00123458">
              <w:rPr>
                <w:rFonts w:ascii="Verdana" w:eastAsia="Calibri" w:hAnsi="Verdana" w:cs="Arial"/>
                <w:lang w:eastAsia="en-US"/>
              </w:rPr>
              <w:t>.</w:t>
            </w:r>
          </w:p>
          <w:p w14:paraId="536B63D5" w14:textId="40F2BC4C" w:rsidR="00123458" w:rsidRDefault="00123458" w:rsidP="00101F25">
            <w:pPr>
              <w:autoSpaceDE w:val="0"/>
              <w:autoSpaceDN w:val="0"/>
              <w:adjustRightInd w:val="0"/>
              <w:jc w:val="both"/>
              <w:rPr>
                <w:rFonts w:ascii="Verdana" w:eastAsia="Calibri" w:hAnsi="Verdana" w:cs="Arial"/>
                <w:lang w:eastAsia="en-US"/>
              </w:rPr>
            </w:pPr>
          </w:p>
          <w:p w14:paraId="411C5E1C" w14:textId="77777777" w:rsidR="00123458" w:rsidRPr="00123458" w:rsidRDefault="00123458" w:rsidP="00123458">
            <w:pPr>
              <w:autoSpaceDE w:val="0"/>
              <w:autoSpaceDN w:val="0"/>
              <w:adjustRightInd w:val="0"/>
              <w:jc w:val="center"/>
              <w:rPr>
                <w:rFonts w:ascii="Verdana" w:eastAsia="Calibri" w:hAnsi="Verdana" w:cs="Arial"/>
                <w:i/>
                <w:iCs/>
                <w:color w:val="44546A"/>
                <w:lang w:val="es-CO" w:eastAsia="en-US"/>
              </w:rPr>
            </w:pPr>
            <w:r w:rsidRPr="00123458">
              <w:rPr>
                <w:rFonts w:ascii="Verdana" w:eastAsia="Calibri" w:hAnsi="Verdana" w:cs="Arial"/>
                <w:i/>
                <w:iCs/>
                <w:color w:val="44546A"/>
                <w:lang w:val="es-CO" w:eastAsia="en-US"/>
              </w:rPr>
              <w:t>Tabla 1. Déficit habitacional por categoría de municipio en 2018</w:t>
            </w:r>
          </w:p>
          <w:tbl>
            <w:tblPr>
              <w:tblW w:w="5000" w:type="pct"/>
              <w:jc w:val="center"/>
              <w:tblLayout w:type="fixed"/>
              <w:tblCellMar>
                <w:left w:w="70" w:type="dxa"/>
                <w:right w:w="70" w:type="dxa"/>
              </w:tblCellMar>
              <w:tblLook w:val="04A0" w:firstRow="1" w:lastRow="0" w:firstColumn="1" w:lastColumn="0" w:noHBand="0" w:noVBand="1"/>
            </w:tblPr>
            <w:tblGrid>
              <w:gridCol w:w="2052"/>
              <w:gridCol w:w="1620"/>
              <w:gridCol w:w="2728"/>
              <w:gridCol w:w="2350"/>
              <w:gridCol w:w="1864"/>
            </w:tblGrid>
            <w:tr w:rsidR="00123458" w:rsidRPr="00EB61EF" w14:paraId="79D9947E" w14:textId="77777777" w:rsidTr="006F4B40">
              <w:trPr>
                <w:trHeight w:val="975"/>
                <w:jc w:val="center"/>
              </w:trPr>
              <w:tc>
                <w:tcPr>
                  <w:tcW w:w="967" w:type="pct"/>
                  <w:tcBorders>
                    <w:top w:val="single" w:sz="8" w:space="0" w:color="4472C4"/>
                    <w:left w:val="single" w:sz="8" w:space="0" w:color="4472C4"/>
                    <w:bottom w:val="single" w:sz="8" w:space="0" w:color="4472C4"/>
                    <w:right w:val="nil"/>
                  </w:tcBorders>
                  <w:shd w:val="clear" w:color="000000" w:fill="4472C4"/>
                  <w:vAlign w:val="center"/>
                  <w:hideMark/>
                </w:tcPr>
                <w:p w14:paraId="2B8A0510"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Categoría del municipio</w:t>
                  </w:r>
                </w:p>
              </w:tc>
              <w:tc>
                <w:tcPr>
                  <w:tcW w:w="763" w:type="pct"/>
                  <w:tcBorders>
                    <w:top w:val="single" w:sz="8" w:space="0" w:color="4472C4"/>
                    <w:left w:val="nil"/>
                    <w:bottom w:val="single" w:sz="8" w:space="0" w:color="4472C4"/>
                    <w:right w:val="nil"/>
                  </w:tcBorders>
                  <w:shd w:val="clear" w:color="000000" w:fill="4472C4"/>
                  <w:vAlign w:val="center"/>
                  <w:hideMark/>
                </w:tcPr>
                <w:p w14:paraId="68F10E1A"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Número de municipios</w:t>
                  </w:r>
                </w:p>
              </w:tc>
              <w:tc>
                <w:tcPr>
                  <w:tcW w:w="1285" w:type="pct"/>
                  <w:tcBorders>
                    <w:top w:val="single" w:sz="8" w:space="0" w:color="4472C4"/>
                    <w:left w:val="nil"/>
                    <w:bottom w:val="single" w:sz="8" w:space="0" w:color="4472C4"/>
                    <w:right w:val="nil"/>
                  </w:tcBorders>
                  <w:shd w:val="clear" w:color="000000" w:fill="4472C4"/>
                  <w:vAlign w:val="center"/>
                  <w:hideMark/>
                </w:tcPr>
                <w:p w14:paraId="02B6ECBE"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Número de hogares en viviendas distintas de tradicional indígena</w:t>
                  </w:r>
                </w:p>
              </w:tc>
              <w:tc>
                <w:tcPr>
                  <w:tcW w:w="1107" w:type="pct"/>
                  <w:tcBorders>
                    <w:top w:val="single" w:sz="8" w:space="0" w:color="4472C4"/>
                    <w:left w:val="nil"/>
                    <w:bottom w:val="single" w:sz="8" w:space="0" w:color="4472C4"/>
                    <w:right w:val="nil"/>
                  </w:tcBorders>
                  <w:shd w:val="clear" w:color="000000" w:fill="4472C4"/>
                  <w:vAlign w:val="center"/>
                  <w:hideMark/>
                </w:tcPr>
                <w:p w14:paraId="3EA4DAB6"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Hogares en déficit habitacional</w:t>
                  </w:r>
                </w:p>
              </w:tc>
              <w:tc>
                <w:tcPr>
                  <w:tcW w:w="878" w:type="pct"/>
                  <w:tcBorders>
                    <w:top w:val="single" w:sz="8" w:space="0" w:color="4472C4"/>
                    <w:left w:val="nil"/>
                    <w:bottom w:val="single" w:sz="8" w:space="0" w:color="4472C4"/>
                    <w:right w:val="single" w:sz="8" w:space="0" w:color="4472C4"/>
                  </w:tcBorders>
                  <w:shd w:val="clear" w:color="000000" w:fill="4472C4"/>
                  <w:vAlign w:val="center"/>
                  <w:hideMark/>
                </w:tcPr>
                <w:p w14:paraId="55675FF8"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Déficit habitacional</w:t>
                  </w:r>
                </w:p>
              </w:tc>
            </w:tr>
            <w:tr w:rsidR="00123458" w:rsidRPr="00EB61EF" w14:paraId="6A2B18E9" w14:textId="77777777" w:rsidTr="006F4B40">
              <w:trPr>
                <w:trHeight w:val="315"/>
                <w:jc w:val="center"/>
              </w:trPr>
              <w:tc>
                <w:tcPr>
                  <w:tcW w:w="967" w:type="pct"/>
                  <w:tcBorders>
                    <w:top w:val="nil"/>
                    <w:left w:val="single" w:sz="8" w:space="0" w:color="8EAADB"/>
                    <w:bottom w:val="single" w:sz="8" w:space="0" w:color="8EAADB"/>
                    <w:right w:val="single" w:sz="8" w:space="0" w:color="8EAADB"/>
                  </w:tcBorders>
                  <w:shd w:val="clear" w:color="000000" w:fill="D9E2F3"/>
                  <w:noWrap/>
                  <w:vAlign w:val="center"/>
                  <w:hideMark/>
                </w:tcPr>
                <w:p w14:paraId="2B229917"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ESP</w:t>
                  </w:r>
                </w:p>
              </w:tc>
              <w:tc>
                <w:tcPr>
                  <w:tcW w:w="763" w:type="pct"/>
                  <w:tcBorders>
                    <w:top w:val="nil"/>
                    <w:left w:val="nil"/>
                    <w:bottom w:val="single" w:sz="8" w:space="0" w:color="8EAADB"/>
                    <w:right w:val="single" w:sz="8" w:space="0" w:color="8EAADB"/>
                  </w:tcBorders>
                  <w:shd w:val="clear" w:color="000000" w:fill="D9E2F3"/>
                  <w:noWrap/>
                  <w:vAlign w:val="center"/>
                  <w:hideMark/>
                </w:tcPr>
                <w:p w14:paraId="6957CFCF"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6</w:t>
                  </w:r>
                </w:p>
              </w:tc>
              <w:tc>
                <w:tcPr>
                  <w:tcW w:w="1285" w:type="pct"/>
                  <w:tcBorders>
                    <w:top w:val="nil"/>
                    <w:left w:val="nil"/>
                    <w:bottom w:val="single" w:sz="8" w:space="0" w:color="8EAADB"/>
                    <w:right w:val="single" w:sz="8" w:space="0" w:color="8EAADB"/>
                  </w:tcBorders>
                  <w:shd w:val="clear" w:color="000000" w:fill="D9E2F3"/>
                  <w:noWrap/>
                  <w:vAlign w:val="center"/>
                  <w:hideMark/>
                </w:tcPr>
                <w:p w14:paraId="68CC2AD6"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4.680.896</w:t>
                  </w:r>
                </w:p>
              </w:tc>
              <w:tc>
                <w:tcPr>
                  <w:tcW w:w="1107" w:type="pct"/>
                  <w:tcBorders>
                    <w:top w:val="nil"/>
                    <w:left w:val="nil"/>
                    <w:bottom w:val="single" w:sz="8" w:space="0" w:color="8EAADB"/>
                    <w:right w:val="single" w:sz="8" w:space="0" w:color="8EAADB"/>
                  </w:tcBorders>
                  <w:shd w:val="clear" w:color="000000" w:fill="D9E2F3"/>
                  <w:noWrap/>
                  <w:vAlign w:val="center"/>
                  <w:hideMark/>
                </w:tcPr>
                <w:p w14:paraId="7B94507F"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776.880</w:t>
                  </w:r>
                </w:p>
              </w:tc>
              <w:tc>
                <w:tcPr>
                  <w:tcW w:w="878" w:type="pct"/>
                  <w:tcBorders>
                    <w:top w:val="nil"/>
                    <w:left w:val="nil"/>
                    <w:bottom w:val="single" w:sz="8" w:space="0" w:color="8EAADB"/>
                    <w:right w:val="single" w:sz="8" w:space="0" w:color="8EAADB"/>
                  </w:tcBorders>
                  <w:shd w:val="clear" w:color="000000" w:fill="D9E2F3"/>
                  <w:noWrap/>
                  <w:vAlign w:val="center"/>
                  <w:hideMark/>
                </w:tcPr>
                <w:p w14:paraId="03E1028A"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16,6%</w:t>
                  </w:r>
                </w:p>
              </w:tc>
            </w:tr>
            <w:tr w:rsidR="00123458" w:rsidRPr="00EB61EF" w14:paraId="699874EB" w14:textId="77777777" w:rsidTr="006F4B40">
              <w:trPr>
                <w:trHeight w:val="315"/>
                <w:jc w:val="center"/>
              </w:trPr>
              <w:tc>
                <w:tcPr>
                  <w:tcW w:w="967" w:type="pct"/>
                  <w:tcBorders>
                    <w:top w:val="nil"/>
                    <w:left w:val="single" w:sz="8" w:space="0" w:color="8EAADB"/>
                    <w:bottom w:val="single" w:sz="8" w:space="0" w:color="8EAADB"/>
                    <w:right w:val="single" w:sz="8" w:space="0" w:color="8EAADB"/>
                  </w:tcBorders>
                  <w:shd w:val="clear" w:color="auto" w:fill="auto"/>
                  <w:noWrap/>
                  <w:vAlign w:val="center"/>
                  <w:hideMark/>
                </w:tcPr>
                <w:p w14:paraId="12678601" w14:textId="77777777" w:rsidR="00123458" w:rsidRPr="00EB61EF" w:rsidRDefault="00123458" w:rsidP="00123458">
                  <w:pPr>
                    <w:jc w:val="center"/>
                    <w:rPr>
                      <w:rFonts w:ascii="Verdana" w:hAnsi="Verdana" w:cs="Arial"/>
                      <w:b/>
                      <w:bCs/>
                      <w:sz w:val="18"/>
                      <w:szCs w:val="18"/>
                      <w:lang w:val="es-CO" w:eastAsia="es-CO"/>
                    </w:rPr>
                  </w:pPr>
                  <w:r w:rsidRPr="00EB61EF">
                    <w:rPr>
                      <w:rFonts w:ascii="Verdana" w:hAnsi="Verdana" w:cs="Arial"/>
                      <w:b/>
                      <w:bCs/>
                      <w:sz w:val="18"/>
                      <w:szCs w:val="18"/>
                      <w:lang w:val="es-CO" w:eastAsia="es-CO"/>
                    </w:rPr>
                    <w:t>1</w:t>
                  </w:r>
                </w:p>
              </w:tc>
              <w:tc>
                <w:tcPr>
                  <w:tcW w:w="763" w:type="pct"/>
                  <w:tcBorders>
                    <w:top w:val="nil"/>
                    <w:left w:val="nil"/>
                    <w:bottom w:val="single" w:sz="8" w:space="0" w:color="8EAADB"/>
                    <w:right w:val="single" w:sz="8" w:space="0" w:color="8EAADB"/>
                  </w:tcBorders>
                  <w:shd w:val="clear" w:color="auto" w:fill="auto"/>
                  <w:noWrap/>
                  <w:vAlign w:val="center"/>
                  <w:hideMark/>
                </w:tcPr>
                <w:p w14:paraId="288C824C"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27</w:t>
                  </w:r>
                </w:p>
              </w:tc>
              <w:tc>
                <w:tcPr>
                  <w:tcW w:w="1285" w:type="pct"/>
                  <w:tcBorders>
                    <w:top w:val="nil"/>
                    <w:left w:val="nil"/>
                    <w:bottom w:val="single" w:sz="8" w:space="0" w:color="8EAADB"/>
                    <w:right w:val="single" w:sz="8" w:space="0" w:color="8EAADB"/>
                  </w:tcBorders>
                  <w:shd w:val="clear" w:color="auto" w:fill="auto"/>
                  <w:noWrap/>
                  <w:vAlign w:val="center"/>
                  <w:hideMark/>
                </w:tcPr>
                <w:p w14:paraId="316F5E59"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2.689.573</w:t>
                  </w:r>
                </w:p>
              </w:tc>
              <w:tc>
                <w:tcPr>
                  <w:tcW w:w="1107" w:type="pct"/>
                  <w:tcBorders>
                    <w:top w:val="nil"/>
                    <w:left w:val="nil"/>
                    <w:bottom w:val="single" w:sz="8" w:space="0" w:color="8EAADB"/>
                    <w:right w:val="single" w:sz="8" w:space="0" w:color="8EAADB"/>
                  </w:tcBorders>
                  <w:shd w:val="clear" w:color="auto" w:fill="auto"/>
                  <w:noWrap/>
                  <w:vAlign w:val="center"/>
                  <w:hideMark/>
                </w:tcPr>
                <w:p w14:paraId="188353C7"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693.776</w:t>
                  </w:r>
                </w:p>
              </w:tc>
              <w:tc>
                <w:tcPr>
                  <w:tcW w:w="878" w:type="pct"/>
                  <w:tcBorders>
                    <w:top w:val="nil"/>
                    <w:left w:val="nil"/>
                    <w:bottom w:val="single" w:sz="8" w:space="0" w:color="8EAADB"/>
                    <w:right w:val="single" w:sz="8" w:space="0" w:color="8EAADB"/>
                  </w:tcBorders>
                  <w:shd w:val="clear" w:color="auto" w:fill="auto"/>
                  <w:noWrap/>
                  <w:vAlign w:val="center"/>
                  <w:hideMark/>
                </w:tcPr>
                <w:p w14:paraId="0131ABCC"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25,8%</w:t>
                  </w:r>
                </w:p>
              </w:tc>
            </w:tr>
            <w:tr w:rsidR="00123458" w:rsidRPr="00EB61EF" w14:paraId="5D291405" w14:textId="77777777" w:rsidTr="006F4B40">
              <w:trPr>
                <w:trHeight w:val="315"/>
                <w:jc w:val="center"/>
              </w:trPr>
              <w:tc>
                <w:tcPr>
                  <w:tcW w:w="967" w:type="pct"/>
                  <w:tcBorders>
                    <w:top w:val="nil"/>
                    <w:left w:val="single" w:sz="8" w:space="0" w:color="8EAADB"/>
                    <w:bottom w:val="single" w:sz="8" w:space="0" w:color="8EAADB"/>
                    <w:right w:val="single" w:sz="8" w:space="0" w:color="8EAADB"/>
                  </w:tcBorders>
                  <w:shd w:val="clear" w:color="000000" w:fill="D9E2F3"/>
                  <w:noWrap/>
                  <w:vAlign w:val="center"/>
                  <w:hideMark/>
                </w:tcPr>
                <w:p w14:paraId="18CA43FA"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2</w:t>
                  </w:r>
                </w:p>
              </w:tc>
              <w:tc>
                <w:tcPr>
                  <w:tcW w:w="763" w:type="pct"/>
                  <w:tcBorders>
                    <w:top w:val="nil"/>
                    <w:left w:val="nil"/>
                    <w:bottom w:val="single" w:sz="8" w:space="0" w:color="8EAADB"/>
                    <w:right w:val="single" w:sz="8" w:space="0" w:color="8EAADB"/>
                  </w:tcBorders>
                  <w:shd w:val="clear" w:color="000000" w:fill="D9E2F3"/>
                  <w:noWrap/>
                  <w:vAlign w:val="center"/>
                  <w:hideMark/>
                </w:tcPr>
                <w:p w14:paraId="229E7C47"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29</w:t>
                  </w:r>
                </w:p>
              </w:tc>
              <w:tc>
                <w:tcPr>
                  <w:tcW w:w="1285" w:type="pct"/>
                  <w:tcBorders>
                    <w:top w:val="nil"/>
                    <w:left w:val="nil"/>
                    <w:bottom w:val="single" w:sz="8" w:space="0" w:color="8EAADB"/>
                    <w:right w:val="single" w:sz="8" w:space="0" w:color="8EAADB"/>
                  </w:tcBorders>
                  <w:shd w:val="clear" w:color="000000" w:fill="D9E2F3"/>
                  <w:noWrap/>
                  <w:vAlign w:val="center"/>
                  <w:hideMark/>
                </w:tcPr>
                <w:p w14:paraId="35127AF2"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1.131.131</w:t>
                  </w:r>
                </w:p>
              </w:tc>
              <w:tc>
                <w:tcPr>
                  <w:tcW w:w="1107" w:type="pct"/>
                  <w:tcBorders>
                    <w:top w:val="nil"/>
                    <w:left w:val="nil"/>
                    <w:bottom w:val="single" w:sz="8" w:space="0" w:color="8EAADB"/>
                    <w:right w:val="single" w:sz="8" w:space="0" w:color="8EAADB"/>
                  </w:tcBorders>
                  <w:shd w:val="clear" w:color="000000" w:fill="D9E2F3"/>
                  <w:noWrap/>
                  <w:vAlign w:val="center"/>
                  <w:hideMark/>
                </w:tcPr>
                <w:p w14:paraId="210376E0"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336.922</w:t>
                  </w:r>
                </w:p>
              </w:tc>
              <w:tc>
                <w:tcPr>
                  <w:tcW w:w="878" w:type="pct"/>
                  <w:tcBorders>
                    <w:top w:val="nil"/>
                    <w:left w:val="nil"/>
                    <w:bottom w:val="single" w:sz="8" w:space="0" w:color="8EAADB"/>
                    <w:right w:val="single" w:sz="8" w:space="0" w:color="8EAADB"/>
                  </w:tcBorders>
                  <w:shd w:val="clear" w:color="000000" w:fill="D9E2F3"/>
                  <w:noWrap/>
                  <w:vAlign w:val="center"/>
                  <w:hideMark/>
                </w:tcPr>
                <w:p w14:paraId="1CF42480"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29,8%</w:t>
                  </w:r>
                </w:p>
              </w:tc>
            </w:tr>
            <w:tr w:rsidR="00123458" w:rsidRPr="00EB61EF" w14:paraId="5B112B98" w14:textId="77777777" w:rsidTr="006F4B40">
              <w:trPr>
                <w:trHeight w:val="315"/>
                <w:jc w:val="center"/>
              </w:trPr>
              <w:tc>
                <w:tcPr>
                  <w:tcW w:w="967" w:type="pct"/>
                  <w:tcBorders>
                    <w:top w:val="nil"/>
                    <w:left w:val="single" w:sz="8" w:space="0" w:color="8EAADB"/>
                    <w:bottom w:val="single" w:sz="8" w:space="0" w:color="8EAADB"/>
                    <w:right w:val="single" w:sz="8" w:space="0" w:color="8EAADB"/>
                  </w:tcBorders>
                  <w:shd w:val="clear" w:color="auto" w:fill="auto"/>
                  <w:noWrap/>
                  <w:vAlign w:val="center"/>
                  <w:hideMark/>
                </w:tcPr>
                <w:p w14:paraId="0BF1F5A3" w14:textId="77777777" w:rsidR="00123458" w:rsidRPr="00EB61EF" w:rsidRDefault="00123458" w:rsidP="00123458">
                  <w:pPr>
                    <w:jc w:val="center"/>
                    <w:rPr>
                      <w:rFonts w:ascii="Verdana" w:hAnsi="Verdana" w:cs="Arial"/>
                      <w:b/>
                      <w:bCs/>
                      <w:sz w:val="18"/>
                      <w:szCs w:val="18"/>
                      <w:lang w:val="es-CO" w:eastAsia="es-CO"/>
                    </w:rPr>
                  </w:pPr>
                  <w:r w:rsidRPr="00EB61EF">
                    <w:rPr>
                      <w:rFonts w:ascii="Verdana" w:hAnsi="Verdana" w:cs="Arial"/>
                      <w:b/>
                      <w:bCs/>
                      <w:sz w:val="18"/>
                      <w:szCs w:val="18"/>
                      <w:lang w:val="es-CO" w:eastAsia="es-CO"/>
                    </w:rPr>
                    <w:t>3</w:t>
                  </w:r>
                </w:p>
              </w:tc>
              <w:tc>
                <w:tcPr>
                  <w:tcW w:w="763" w:type="pct"/>
                  <w:tcBorders>
                    <w:top w:val="nil"/>
                    <w:left w:val="nil"/>
                    <w:bottom w:val="single" w:sz="8" w:space="0" w:color="8EAADB"/>
                    <w:right w:val="single" w:sz="8" w:space="0" w:color="8EAADB"/>
                  </w:tcBorders>
                  <w:shd w:val="clear" w:color="auto" w:fill="auto"/>
                  <w:noWrap/>
                  <w:vAlign w:val="center"/>
                  <w:hideMark/>
                </w:tcPr>
                <w:p w14:paraId="5C691E51"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18</w:t>
                  </w:r>
                </w:p>
              </w:tc>
              <w:tc>
                <w:tcPr>
                  <w:tcW w:w="1285" w:type="pct"/>
                  <w:tcBorders>
                    <w:top w:val="nil"/>
                    <w:left w:val="nil"/>
                    <w:bottom w:val="single" w:sz="8" w:space="0" w:color="8EAADB"/>
                    <w:right w:val="single" w:sz="8" w:space="0" w:color="8EAADB"/>
                  </w:tcBorders>
                  <w:shd w:val="clear" w:color="auto" w:fill="auto"/>
                  <w:noWrap/>
                  <w:vAlign w:val="center"/>
                  <w:hideMark/>
                </w:tcPr>
                <w:p w14:paraId="47BCFACB"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415.807</w:t>
                  </w:r>
                </w:p>
              </w:tc>
              <w:tc>
                <w:tcPr>
                  <w:tcW w:w="1107" w:type="pct"/>
                  <w:tcBorders>
                    <w:top w:val="nil"/>
                    <w:left w:val="nil"/>
                    <w:bottom w:val="single" w:sz="8" w:space="0" w:color="8EAADB"/>
                    <w:right w:val="single" w:sz="8" w:space="0" w:color="8EAADB"/>
                  </w:tcBorders>
                  <w:shd w:val="clear" w:color="auto" w:fill="auto"/>
                  <w:noWrap/>
                  <w:vAlign w:val="center"/>
                  <w:hideMark/>
                </w:tcPr>
                <w:p w14:paraId="37EE10C4"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180.763</w:t>
                  </w:r>
                </w:p>
              </w:tc>
              <w:tc>
                <w:tcPr>
                  <w:tcW w:w="878" w:type="pct"/>
                  <w:tcBorders>
                    <w:top w:val="nil"/>
                    <w:left w:val="nil"/>
                    <w:bottom w:val="single" w:sz="8" w:space="0" w:color="8EAADB"/>
                    <w:right w:val="single" w:sz="8" w:space="0" w:color="8EAADB"/>
                  </w:tcBorders>
                  <w:shd w:val="clear" w:color="auto" w:fill="auto"/>
                  <w:noWrap/>
                  <w:vAlign w:val="center"/>
                  <w:hideMark/>
                </w:tcPr>
                <w:p w14:paraId="430612EF"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43,5%</w:t>
                  </w:r>
                </w:p>
              </w:tc>
            </w:tr>
            <w:tr w:rsidR="00123458" w:rsidRPr="00EB61EF" w14:paraId="32CE7A29" w14:textId="77777777" w:rsidTr="006F4B40">
              <w:trPr>
                <w:trHeight w:val="315"/>
                <w:jc w:val="center"/>
              </w:trPr>
              <w:tc>
                <w:tcPr>
                  <w:tcW w:w="967" w:type="pct"/>
                  <w:tcBorders>
                    <w:top w:val="nil"/>
                    <w:left w:val="single" w:sz="8" w:space="0" w:color="8EAADB"/>
                    <w:bottom w:val="single" w:sz="8" w:space="0" w:color="8EAADB"/>
                    <w:right w:val="single" w:sz="8" w:space="0" w:color="8EAADB"/>
                  </w:tcBorders>
                  <w:shd w:val="clear" w:color="000000" w:fill="D9E2F3"/>
                  <w:noWrap/>
                  <w:vAlign w:val="center"/>
                  <w:hideMark/>
                </w:tcPr>
                <w:p w14:paraId="3CC25F14"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4</w:t>
                  </w:r>
                </w:p>
              </w:tc>
              <w:tc>
                <w:tcPr>
                  <w:tcW w:w="763" w:type="pct"/>
                  <w:tcBorders>
                    <w:top w:val="nil"/>
                    <w:left w:val="nil"/>
                    <w:bottom w:val="single" w:sz="8" w:space="0" w:color="8EAADB"/>
                    <w:right w:val="single" w:sz="8" w:space="0" w:color="8EAADB"/>
                  </w:tcBorders>
                  <w:shd w:val="clear" w:color="000000" w:fill="D9E2F3"/>
                  <w:noWrap/>
                  <w:vAlign w:val="center"/>
                  <w:hideMark/>
                </w:tcPr>
                <w:p w14:paraId="07C65B95"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23</w:t>
                  </w:r>
                </w:p>
              </w:tc>
              <w:tc>
                <w:tcPr>
                  <w:tcW w:w="1285" w:type="pct"/>
                  <w:tcBorders>
                    <w:top w:val="nil"/>
                    <w:left w:val="nil"/>
                    <w:bottom w:val="single" w:sz="8" w:space="0" w:color="8EAADB"/>
                    <w:right w:val="single" w:sz="8" w:space="0" w:color="8EAADB"/>
                  </w:tcBorders>
                  <w:shd w:val="clear" w:color="000000" w:fill="D9E2F3"/>
                  <w:noWrap/>
                  <w:vAlign w:val="center"/>
                  <w:hideMark/>
                </w:tcPr>
                <w:p w14:paraId="5FB42A62"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426.073</w:t>
                  </w:r>
                </w:p>
              </w:tc>
              <w:tc>
                <w:tcPr>
                  <w:tcW w:w="1107" w:type="pct"/>
                  <w:tcBorders>
                    <w:top w:val="nil"/>
                    <w:left w:val="nil"/>
                    <w:bottom w:val="single" w:sz="8" w:space="0" w:color="8EAADB"/>
                    <w:right w:val="single" w:sz="8" w:space="0" w:color="8EAADB"/>
                  </w:tcBorders>
                  <w:shd w:val="clear" w:color="000000" w:fill="D9E2F3"/>
                  <w:noWrap/>
                  <w:vAlign w:val="center"/>
                  <w:hideMark/>
                </w:tcPr>
                <w:p w14:paraId="1DCAE7D7"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220.736</w:t>
                  </w:r>
                </w:p>
              </w:tc>
              <w:tc>
                <w:tcPr>
                  <w:tcW w:w="878" w:type="pct"/>
                  <w:tcBorders>
                    <w:top w:val="nil"/>
                    <w:left w:val="nil"/>
                    <w:bottom w:val="single" w:sz="8" w:space="0" w:color="8EAADB"/>
                    <w:right w:val="single" w:sz="8" w:space="0" w:color="8EAADB"/>
                  </w:tcBorders>
                  <w:shd w:val="clear" w:color="000000" w:fill="D9E2F3"/>
                  <w:noWrap/>
                  <w:vAlign w:val="center"/>
                  <w:hideMark/>
                </w:tcPr>
                <w:p w14:paraId="0C2CEEB6"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51,8%</w:t>
                  </w:r>
                </w:p>
              </w:tc>
            </w:tr>
            <w:tr w:rsidR="00123458" w:rsidRPr="00EB61EF" w14:paraId="410D43DE" w14:textId="77777777" w:rsidTr="006F4B40">
              <w:trPr>
                <w:trHeight w:val="315"/>
                <w:jc w:val="center"/>
              </w:trPr>
              <w:tc>
                <w:tcPr>
                  <w:tcW w:w="967" w:type="pct"/>
                  <w:tcBorders>
                    <w:top w:val="nil"/>
                    <w:left w:val="single" w:sz="8" w:space="0" w:color="8EAADB"/>
                    <w:bottom w:val="single" w:sz="8" w:space="0" w:color="8EAADB"/>
                    <w:right w:val="single" w:sz="8" w:space="0" w:color="8EAADB"/>
                  </w:tcBorders>
                  <w:shd w:val="clear" w:color="auto" w:fill="auto"/>
                  <w:noWrap/>
                  <w:vAlign w:val="center"/>
                  <w:hideMark/>
                </w:tcPr>
                <w:p w14:paraId="363139A8" w14:textId="77777777" w:rsidR="00123458" w:rsidRPr="00EB61EF" w:rsidRDefault="00123458" w:rsidP="00123458">
                  <w:pPr>
                    <w:jc w:val="center"/>
                    <w:rPr>
                      <w:rFonts w:ascii="Verdana" w:hAnsi="Verdana" w:cs="Arial"/>
                      <w:b/>
                      <w:bCs/>
                      <w:sz w:val="18"/>
                      <w:szCs w:val="18"/>
                      <w:lang w:val="es-CO" w:eastAsia="es-CO"/>
                    </w:rPr>
                  </w:pPr>
                  <w:r w:rsidRPr="00EB61EF">
                    <w:rPr>
                      <w:rFonts w:ascii="Verdana" w:hAnsi="Verdana" w:cs="Arial"/>
                      <w:b/>
                      <w:bCs/>
                      <w:sz w:val="18"/>
                      <w:szCs w:val="18"/>
                      <w:lang w:val="es-CO" w:eastAsia="es-CO"/>
                    </w:rPr>
                    <w:lastRenderedPageBreak/>
                    <w:t>5</w:t>
                  </w:r>
                </w:p>
              </w:tc>
              <w:tc>
                <w:tcPr>
                  <w:tcW w:w="763" w:type="pct"/>
                  <w:tcBorders>
                    <w:top w:val="nil"/>
                    <w:left w:val="nil"/>
                    <w:bottom w:val="single" w:sz="8" w:space="0" w:color="8EAADB"/>
                    <w:right w:val="single" w:sz="8" w:space="0" w:color="8EAADB"/>
                  </w:tcBorders>
                  <w:shd w:val="clear" w:color="auto" w:fill="auto"/>
                  <w:noWrap/>
                  <w:vAlign w:val="center"/>
                  <w:hideMark/>
                </w:tcPr>
                <w:p w14:paraId="197DB5CE"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48</w:t>
                  </w:r>
                </w:p>
              </w:tc>
              <w:tc>
                <w:tcPr>
                  <w:tcW w:w="1285" w:type="pct"/>
                  <w:tcBorders>
                    <w:top w:val="nil"/>
                    <w:left w:val="nil"/>
                    <w:bottom w:val="single" w:sz="8" w:space="0" w:color="8EAADB"/>
                    <w:right w:val="single" w:sz="8" w:space="0" w:color="8EAADB"/>
                  </w:tcBorders>
                  <w:shd w:val="clear" w:color="auto" w:fill="auto"/>
                  <w:noWrap/>
                  <w:vAlign w:val="center"/>
                  <w:hideMark/>
                </w:tcPr>
                <w:p w14:paraId="06B4562A"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663.922</w:t>
                  </w:r>
                </w:p>
              </w:tc>
              <w:tc>
                <w:tcPr>
                  <w:tcW w:w="1107" w:type="pct"/>
                  <w:tcBorders>
                    <w:top w:val="nil"/>
                    <w:left w:val="nil"/>
                    <w:bottom w:val="single" w:sz="8" w:space="0" w:color="8EAADB"/>
                    <w:right w:val="single" w:sz="8" w:space="0" w:color="8EAADB"/>
                  </w:tcBorders>
                  <w:shd w:val="clear" w:color="auto" w:fill="auto"/>
                  <w:noWrap/>
                  <w:vAlign w:val="center"/>
                  <w:hideMark/>
                </w:tcPr>
                <w:p w14:paraId="4F5A30D2"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334.051</w:t>
                  </w:r>
                </w:p>
              </w:tc>
              <w:tc>
                <w:tcPr>
                  <w:tcW w:w="878" w:type="pct"/>
                  <w:tcBorders>
                    <w:top w:val="nil"/>
                    <w:left w:val="nil"/>
                    <w:bottom w:val="single" w:sz="8" w:space="0" w:color="8EAADB"/>
                    <w:right w:val="single" w:sz="8" w:space="0" w:color="8EAADB"/>
                  </w:tcBorders>
                  <w:shd w:val="clear" w:color="auto" w:fill="auto"/>
                  <w:noWrap/>
                  <w:vAlign w:val="center"/>
                  <w:hideMark/>
                </w:tcPr>
                <w:p w14:paraId="520FBE88"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50,3%</w:t>
                  </w:r>
                </w:p>
              </w:tc>
            </w:tr>
            <w:tr w:rsidR="00123458" w:rsidRPr="00EB61EF" w14:paraId="38B2DCCE" w14:textId="77777777" w:rsidTr="006F4B40">
              <w:trPr>
                <w:trHeight w:val="315"/>
                <w:jc w:val="center"/>
              </w:trPr>
              <w:tc>
                <w:tcPr>
                  <w:tcW w:w="967" w:type="pct"/>
                  <w:tcBorders>
                    <w:top w:val="nil"/>
                    <w:left w:val="single" w:sz="8" w:space="0" w:color="8EAADB"/>
                    <w:bottom w:val="single" w:sz="8" w:space="0" w:color="8EAADB"/>
                    <w:right w:val="single" w:sz="8" w:space="0" w:color="8EAADB"/>
                  </w:tcBorders>
                  <w:shd w:val="clear" w:color="000000" w:fill="D9E2F3"/>
                  <w:noWrap/>
                  <w:vAlign w:val="center"/>
                  <w:hideMark/>
                </w:tcPr>
                <w:p w14:paraId="34F17B08"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6</w:t>
                  </w:r>
                </w:p>
              </w:tc>
              <w:tc>
                <w:tcPr>
                  <w:tcW w:w="763" w:type="pct"/>
                  <w:tcBorders>
                    <w:top w:val="nil"/>
                    <w:left w:val="nil"/>
                    <w:bottom w:val="single" w:sz="8" w:space="0" w:color="8EAADB"/>
                    <w:right w:val="single" w:sz="8" w:space="0" w:color="8EAADB"/>
                  </w:tcBorders>
                  <w:shd w:val="clear" w:color="000000" w:fill="D9E2F3"/>
                  <w:noWrap/>
                  <w:vAlign w:val="center"/>
                  <w:hideMark/>
                </w:tcPr>
                <w:p w14:paraId="2F09C483"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952</w:t>
                  </w:r>
                </w:p>
              </w:tc>
              <w:tc>
                <w:tcPr>
                  <w:tcW w:w="1285" w:type="pct"/>
                  <w:tcBorders>
                    <w:top w:val="nil"/>
                    <w:left w:val="nil"/>
                    <w:bottom w:val="single" w:sz="8" w:space="0" w:color="8EAADB"/>
                    <w:right w:val="single" w:sz="8" w:space="0" w:color="8EAADB"/>
                  </w:tcBorders>
                  <w:shd w:val="clear" w:color="000000" w:fill="D9E2F3"/>
                  <w:noWrap/>
                  <w:vAlign w:val="center"/>
                  <w:hideMark/>
                </w:tcPr>
                <w:p w14:paraId="24C4B0EE"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4.049.019</w:t>
                  </w:r>
                </w:p>
              </w:tc>
              <w:tc>
                <w:tcPr>
                  <w:tcW w:w="1107" w:type="pct"/>
                  <w:tcBorders>
                    <w:top w:val="nil"/>
                    <w:left w:val="nil"/>
                    <w:bottom w:val="single" w:sz="8" w:space="0" w:color="8EAADB"/>
                    <w:right w:val="single" w:sz="8" w:space="0" w:color="8EAADB"/>
                  </w:tcBorders>
                  <w:shd w:val="clear" w:color="000000" w:fill="D9E2F3"/>
                  <w:noWrap/>
                  <w:vAlign w:val="center"/>
                  <w:hideMark/>
                </w:tcPr>
                <w:p w14:paraId="28C45E0C"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2.597.104</w:t>
                  </w:r>
                </w:p>
              </w:tc>
              <w:tc>
                <w:tcPr>
                  <w:tcW w:w="878" w:type="pct"/>
                  <w:tcBorders>
                    <w:top w:val="nil"/>
                    <w:left w:val="nil"/>
                    <w:bottom w:val="single" w:sz="8" w:space="0" w:color="8EAADB"/>
                    <w:right w:val="single" w:sz="8" w:space="0" w:color="8EAADB"/>
                  </w:tcBorders>
                  <w:shd w:val="clear" w:color="000000" w:fill="D9E2F3"/>
                  <w:noWrap/>
                  <w:vAlign w:val="center"/>
                  <w:hideMark/>
                </w:tcPr>
                <w:p w14:paraId="1058C60F"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64,1%</w:t>
                  </w:r>
                </w:p>
              </w:tc>
            </w:tr>
            <w:tr w:rsidR="00123458" w:rsidRPr="00EB61EF" w14:paraId="51B746E5" w14:textId="77777777" w:rsidTr="006F4B40">
              <w:trPr>
                <w:trHeight w:val="495"/>
                <w:jc w:val="center"/>
              </w:trPr>
              <w:tc>
                <w:tcPr>
                  <w:tcW w:w="967" w:type="pct"/>
                  <w:tcBorders>
                    <w:top w:val="nil"/>
                    <w:left w:val="single" w:sz="8" w:space="0" w:color="8EAADB"/>
                    <w:bottom w:val="single" w:sz="8" w:space="0" w:color="8EAADB"/>
                    <w:right w:val="single" w:sz="8" w:space="0" w:color="8EAADB"/>
                  </w:tcBorders>
                  <w:shd w:val="clear" w:color="auto" w:fill="auto"/>
                  <w:vAlign w:val="center"/>
                  <w:hideMark/>
                </w:tcPr>
                <w:p w14:paraId="40CD9CE2" w14:textId="77777777" w:rsidR="00123458" w:rsidRPr="00EB61EF" w:rsidRDefault="00123458" w:rsidP="00123458">
                  <w:pPr>
                    <w:jc w:val="center"/>
                    <w:rPr>
                      <w:rFonts w:ascii="Verdana" w:hAnsi="Verdana" w:cs="Arial"/>
                      <w:b/>
                      <w:bCs/>
                      <w:sz w:val="18"/>
                      <w:szCs w:val="18"/>
                      <w:lang w:val="es-CO" w:eastAsia="es-CO"/>
                    </w:rPr>
                  </w:pPr>
                  <w:r w:rsidRPr="00EB61EF">
                    <w:rPr>
                      <w:rFonts w:ascii="Verdana" w:hAnsi="Verdana" w:cs="Arial"/>
                      <w:b/>
                      <w:bCs/>
                      <w:sz w:val="18"/>
                      <w:szCs w:val="18"/>
                      <w:lang w:val="es-CO" w:eastAsia="es-CO"/>
                    </w:rPr>
                    <w:t>Área no municipalizada</w:t>
                  </w:r>
                </w:p>
              </w:tc>
              <w:tc>
                <w:tcPr>
                  <w:tcW w:w="763" w:type="pct"/>
                  <w:tcBorders>
                    <w:top w:val="nil"/>
                    <w:left w:val="nil"/>
                    <w:bottom w:val="single" w:sz="8" w:space="0" w:color="8EAADB"/>
                    <w:right w:val="single" w:sz="8" w:space="0" w:color="8EAADB"/>
                  </w:tcBorders>
                  <w:shd w:val="clear" w:color="auto" w:fill="auto"/>
                  <w:noWrap/>
                  <w:vAlign w:val="center"/>
                  <w:hideMark/>
                </w:tcPr>
                <w:p w14:paraId="2B085FF9"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19</w:t>
                  </w:r>
                </w:p>
              </w:tc>
              <w:tc>
                <w:tcPr>
                  <w:tcW w:w="1285" w:type="pct"/>
                  <w:tcBorders>
                    <w:top w:val="nil"/>
                    <w:left w:val="nil"/>
                    <w:bottom w:val="single" w:sz="8" w:space="0" w:color="8EAADB"/>
                    <w:right w:val="single" w:sz="8" w:space="0" w:color="8EAADB"/>
                  </w:tcBorders>
                  <w:shd w:val="clear" w:color="auto" w:fill="auto"/>
                  <w:noWrap/>
                  <w:vAlign w:val="center"/>
                  <w:hideMark/>
                </w:tcPr>
                <w:p w14:paraId="7B568D13"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4.224</w:t>
                  </w:r>
                </w:p>
              </w:tc>
              <w:tc>
                <w:tcPr>
                  <w:tcW w:w="1107" w:type="pct"/>
                  <w:tcBorders>
                    <w:top w:val="nil"/>
                    <w:left w:val="nil"/>
                    <w:bottom w:val="single" w:sz="8" w:space="0" w:color="8EAADB"/>
                    <w:right w:val="single" w:sz="8" w:space="0" w:color="8EAADB"/>
                  </w:tcBorders>
                  <w:shd w:val="clear" w:color="auto" w:fill="auto"/>
                  <w:noWrap/>
                  <w:vAlign w:val="center"/>
                  <w:hideMark/>
                </w:tcPr>
                <w:p w14:paraId="426F05E4"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4.213</w:t>
                  </w:r>
                </w:p>
              </w:tc>
              <w:tc>
                <w:tcPr>
                  <w:tcW w:w="878" w:type="pct"/>
                  <w:tcBorders>
                    <w:top w:val="nil"/>
                    <w:left w:val="nil"/>
                    <w:bottom w:val="single" w:sz="8" w:space="0" w:color="8EAADB"/>
                    <w:right w:val="single" w:sz="8" w:space="0" w:color="8EAADB"/>
                  </w:tcBorders>
                  <w:shd w:val="clear" w:color="auto" w:fill="auto"/>
                  <w:noWrap/>
                  <w:vAlign w:val="center"/>
                  <w:hideMark/>
                </w:tcPr>
                <w:p w14:paraId="3841DC90" w14:textId="77777777" w:rsidR="00123458" w:rsidRPr="00EB61EF" w:rsidRDefault="00123458" w:rsidP="00123458">
                  <w:pPr>
                    <w:jc w:val="center"/>
                    <w:rPr>
                      <w:rFonts w:ascii="Verdana" w:hAnsi="Verdana" w:cs="Arial"/>
                      <w:sz w:val="18"/>
                      <w:szCs w:val="18"/>
                      <w:lang w:val="es-CO" w:eastAsia="es-CO"/>
                    </w:rPr>
                  </w:pPr>
                  <w:r w:rsidRPr="00EB61EF">
                    <w:rPr>
                      <w:rFonts w:ascii="Verdana" w:hAnsi="Verdana" w:cs="Arial"/>
                      <w:sz w:val="18"/>
                      <w:szCs w:val="18"/>
                      <w:lang w:val="es-CO" w:eastAsia="es-CO"/>
                    </w:rPr>
                    <w:t>99,7%</w:t>
                  </w:r>
                </w:p>
              </w:tc>
            </w:tr>
            <w:tr w:rsidR="00123458" w:rsidRPr="00EB61EF" w14:paraId="7A6E5E2C" w14:textId="77777777" w:rsidTr="006F4B40">
              <w:trPr>
                <w:trHeight w:val="315"/>
                <w:jc w:val="center"/>
              </w:trPr>
              <w:tc>
                <w:tcPr>
                  <w:tcW w:w="967" w:type="pct"/>
                  <w:tcBorders>
                    <w:top w:val="nil"/>
                    <w:left w:val="single" w:sz="8" w:space="0" w:color="8EAADB"/>
                    <w:bottom w:val="single" w:sz="8" w:space="0" w:color="8EAADB"/>
                    <w:right w:val="single" w:sz="8" w:space="0" w:color="8EAADB"/>
                  </w:tcBorders>
                  <w:shd w:val="clear" w:color="000000" w:fill="4472C4"/>
                  <w:noWrap/>
                  <w:vAlign w:val="center"/>
                  <w:hideMark/>
                </w:tcPr>
                <w:p w14:paraId="7F279D13"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Total</w:t>
                  </w:r>
                </w:p>
              </w:tc>
              <w:tc>
                <w:tcPr>
                  <w:tcW w:w="763" w:type="pct"/>
                  <w:tcBorders>
                    <w:top w:val="nil"/>
                    <w:left w:val="nil"/>
                    <w:bottom w:val="single" w:sz="8" w:space="0" w:color="8EAADB"/>
                    <w:right w:val="single" w:sz="8" w:space="0" w:color="8EAADB"/>
                  </w:tcBorders>
                  <w:shd w:val="clear" w:color="000000" w:fill="4472C4"/>
                  <w:noWrap/>
                  <w:vAlign w:val="center"/>
                  <w:hideMark/>
                </w:tcPr>
                <w:p w14:paraId="2DC1D299"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1.122</w:t>
                  </w:r>
                </w:p>
              </w:tc>
              <w:tc>
                <w:tcPr>
                  <w:tcW w:w="1285" w:type="pct"/>
                  <w:tcBorders>
                    <w:top w:val="nil"/>
                    <w:left w:val="nil"/>
                    <w:bottom w:val="single" w:sz="8" w:space="0" w:color="8EAADB"/>
                    <w:right w:val="single" w:sz="8" w:space="0" w:color="8EAADB"/>
                  </w:tcBorders>
                  <w:shd w:val="clear" w:color="000000" w:fill="4472C4"/>
                  <w:noWrap/>
                  <w:vAlign w:val="center"/>
                  <w:hideMark/>
                </w:tcPr>
                <w:p w14:paraId="7FB8F23F"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14.060.645</w:t>
                  </w:r>
                </w:p>
              </w:tc>
              <w:tc>
                <w:tcPr>
                  <w:tcW w:w="1107" w:type="pct"/>
                  <w:tcBorders>
                    <w:top w:val="nil"/>
                    <w:left w:val="nil"/>
                    <w:bottom w:val="single" w:sz="8" w:space="0" w:color="8EAADB"/>
                    <w:right w:val="single" w:sz="8" w:space="0" w:color="8EAADB"/>
                  </w:tcBorders>
                  <w:shd w:val="clear" w:color="000000" w:fill="4472C4"/>
                  <w:noWrap/>
                  <w:vAlign w:val="center"/>
                  <w:hideMark/>
                </w:tcPr>
                <w:p w14:paraId="753263B4"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5.144.445</w:t>
                  </w:r>
                </w:p>
              </w:tc>
              <w:tc>
                <w:tcPr>
                  <w:tcW w:w="878" w:type="pct"/>
                  <w:tcBorders>
                    <w:top w:val="nil"/>
                    <w:left w:val="nil"/>
                    <w:bottom w:val="single" w:sz="8" w:space="0" w:color="8EAADB"/>
                    <w:right w:val="single" w:sz="8" w:space="0" w:color="8EAADB"/>
                  </w:tcBorders>
                  <w:shd w:val="clear" w:color="000000" w:fill="4472C4"/>
                  <w:noWrap/>
                  <w:vAlign w:val="center"/>
                  <w:hideMark/>
                </w:tcPr>
                <w:p w14:paraId="2927E44E"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36,6%</w:t>
                  </w:r>
                </w:p>
              </w:tc>
            </w:tr>
          </w:tbl>
          <w:p w14:paraId="771FB604" w14:textId="77777777" w:rsidR="00123458" w:rsidRDefault="00123458" w:rsidP="00123458">
            <w:pPr>
              <w:autoSpaceDE w:val="0"/>
              <w:autoSpaceDN w:val="0"/>
              <w:adjustRightInd w:val="0"/>
              <w:jc w:val="center"/>
              <w:rPr>
                <w:rFonts w:ascii="Verdana" w:eastAsia="Calibri" w:hAnsi="Verdana" w:cs="Arial"/>
                <w:lang w:eastAsia="en-US"/>
              </w:rPr>
            </w:pPr>
            <w:r w:rsidRPr="00123458">
              <w:rPr>
                <w:rFonts w:ascii="Verdana" w:hAnsi="Verdana"/>
                <w:noProof/>
                <w:sz w:val="18"/>
                <w:szCs w:val="18"/>
              </w:rPr>
              <w:t>Fuente: Cálculos MVCT con base en el CNPV 2018-DANE</w:t>
            </w:r>
          </w:p>
          <w:p w14:paraId="1696B75C" w14:textId="77777777" w:rsidR="00123458" w:rsidRDefault="00123458" w:rsidP="00123458">
            <w:pPr>
              <w:autoSpaceDE w:val="0"/>
              <w:autoSpaceDN w:val="0"/>
              <w:adjustRightInd w:val="0"/>
              <w:jc w:val="both"/>
              <w:rPr>
                <w:rFonts w:ascii="Verdana" w:eastAsia="Calibri" w:hAnsi="Verdana" w:cs="Arial"/>
                <w:lang w:eastAsia="en-US"/>
              </w:rPr>
            </w:pPr>
          </w:p>
          <w:p w14:paraId="2F04FA4C" w14:textId="2AD3F4A8" w:rsidR="00123458" w:rsidRDefault="00123458" w:rsidP="00123458">
            <w:pPr>
              <w:autoSpaceDE w:val="0"/>
              <w:autoSpaceDN w:val="0"/>
              <w:adjustRightInd w:val="0"/>
              <w:jc w:val="both"/>
              <w:rPr>
                <w:rFonts w:ascii="Verdana" w:eastAsia="Calibri" w:hAnsi="Verdana" w:cs="Arial"/>
                <w:lang w:eastAsia="en-US"/>
              </w:rPr>
            </w:pPr>
            <w:r w:rsidRPr="00B469B1">
              <w:rPr>
                <w:rFonts w:ascii="Verdana" w:eastAsia="Calibri" w:hAnsi="Verdana" w:cs="Arial"/>
                <w:lang w:eastAsia="en-US"/>
              </w:rPr>
              <w:t xml:space="preserve">Finalmente, respecto a los municipios PDET, de acuerdo con </w:t>
            </w:r>
            <w:r>
              <w:rPr>
                <w:rFonts w:ascii="Verdana" w:eastAsia="Calibri" w:hAnsi="Verdana" w:cs="Arial"/>
                <w:lang w:eastAsia="en-US"/>
              </w:rPr>
              <w:t>l</w:t>
            </w:r>
            <w:r w:rsidRPr="00B469B1">
              <w:rPr>
                <w:rFonts w:ascii="Verdana" w:eastAsia="Calibri" w:hAnsi="Verdana" w:cs="Arial"/>
                <w:lang w:eastAsia="en-US"/>
              </w:rPr>
              <w:t>a información del Censo de Población y Vivienda de 2018, el total de hogares ubicados en zonas PDET es de 1.656.886 de los cuales el 66,5% se encuentran en déficit habitacional. Por componente, el déficit cualitativo es el que predomina en estos municipios donde el 37,5% de los hogares habita en viviendas inadecuadas que pueden ser mejoradas si acceden a subsidios de mejoramiento de vivienda. (Tabla 2)</w:t>
            </w:r>
          </w:p>
          <w:p w14:paraId="6D030016" w14:textId="77777777" w:rsidR="00123458" w:rsidRDefault="00123458" w:rsidP="00123458">
            <w:pPr>
              <w:autoSpaceDE w:val="0"/>
              <w:autoSpaceDN w:val="0"/>
              <w:adjustRightInd w:val="0"/>
              <w:jc w:val="both"/>
              <w:rPr>
                <w:rFonts w:ascii="Verdana" w:eastAsia="Calibri" w:hAnsi="Verdana" w:cs="Arial"/>
                <w:lang w:eastAsia="en-US"/>
              </w:rPr>
            </w:pPr>
          </w:p>
          <w:p w14:paraId="27273AF6" w14:textId="77777777" w:rsidR="00123458" w:rsidRPr="00123458" w:rsidRDefault="00123458" w:rsidP="00123458">
            <w:pPr>
              <w:autoSpaceDE w:val="0"/>
              <w:autoSpaceDN w:val="0"/>
              <w:adjustRightInd w:val="0"/>
              <w:jc w:val="center"/>
              <w:rPr>
                <w:rFonts w:ascii="Verdana" w:eastAsia="Calibri" w:hAnsi="Verdana" w:cs="Arial"/>
                <w:i/>
                <w:iCs/>
                <w:color w:val="44546A"/>
                <w:lang w:val="es-CO" w:eastAsia="en-US"/>
              </w:rPr>
            </w:pPr>
            <w:r w:rsidRPr="00123458">
              <w:rPr>
                <w:rFonts w:ascii="Verdana" w:eastAsia="Calibri" w:hAnsi="Verdana" w:cs="Arial"/>
                <w:i/>
                <w:iCs/>
                <w:color w:val="44546A"/>
                <w:lang w:val="es-CO" w:eastAsia="en-US"/>
              </w:rPr>
              <w:t>Tabla 2. Déficit habitacional en municipios PDET en 2018</w:t>
            </w:r>
          </w:p>
          <w:tbl>
            <w:tblPr>
              <w:tblW w:w="5000" w:type="pct"/>
              <w:jc w:val="center"/>
              <w:tblLayout w:type="fixed"/>
              <w:tblCellMar>
                <w:left w:w="70" w:type="dxa"/>
                <w:right w:w="70" w:type="dxa"/>
              </w:tblCellMar>
              <w:tblLook w:val="04A0" w:firstRow="1" w:lastRow="0" w:firstColumn="1" w:lastColumn="0" w:noHBand="0" w:noVBand="1"/>
            </w:tblPr>
            <w:tblGrid>
              <w:gridCol w:w="4268"/>
              <w:gridCol w:w="2900"/>
              <w:gridCol w:w="3461"/>
            </w:tblGrid>
            <w:tr w:rsidR="00123458" w:rsidRPr="00EB61EF" w14:paraId="6F6EF22E" w14:textId="77777777" w:rsidTr="006F4B40">
              <w:trPr>
                <w:trHeight w:val="300"/>
                <w:jc w:val="center"/>
              </w:trPr>
              <w:tc>
                <w:tcPr>
                  <w:tcW w:w="2008" w:type="pct"/>
                  <w:tcBorders>
                    <w:top w:val="nil"/>
                    <w:left w:val="nil"/>
                    <w:bottom w:val="single" w:sz="4" w:space="0" w:color="0072A9"/>
                    <w:right w:val="single" w:sz="4" w:space="0" w:color="4472C4"/>
                  </w:tcBorders>
                  <w:shd w:val="clear" w:color="auto" w:fill="auto"/>
                  <w:noWrap/>
                  <w:vAlign w:val="center"/>
                  <w:hideMark/>
                </w:tcPr>
                <w:p w14:paraId="56FE0726" w14:textId="77777777" w:rsidR="00123458" w:rsidRPr="00EB61EF" w:rsidRDefault="00123458" w:rsidP="00123458">
                  <w:pPr>
                    <w:jc w:val="center"/>
                    <w:rPr>
                      <w:rFonts w:ascii="Verdana" w:hAnsi="Verdana" w:cs="Arial"/>
                      <w:sz w:val="18"/>
                      <w:szCs w:val="18"/>
                      <w:lang w:val="es-CO" w:eastAsia="es-CO"/>
                    </w:rPr>
                  </w:pPr>
                </w:p>
              </w:tc>
              <w:tc>
                <w:tcPr>
                  <w:tcW w:w="1364" w:type="pct"/>
                  <w:tcBorders>
                    <w:top w:val="single" w:sz="4" w:space="0" w:color="4472C4"/>
                    <w:left w:val="single" w:sz="4" w:space="0" w:color="4472C4"/>
                    <w:bottom w:val="single" w:sz="4" w:space="0" w:color="0072A9"/>
                    <w:right w:val="single" w:sz="4" w:space="0" w:color="4472C4"/>
                  </w:tcBorders>
                  <w:shd w:val="clear" w:color="auto" w:fill="4472C4"/>
                  <w:noWrap/>
                  <w:vAlign w:val="center"/>
                  <w:hideMark/>
                </w:tcPr>
                <w:p w14:paraId="6A6523D4"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Número de hogares</w:t>
                  </w:r>
                </w:p>
              </w:tc>
              <w:tc>
                <w:tcPr>
                  <w:tcW w:w="1628" w:type="pct"/>
                  <w:tcBorders>
                    <w:top w:val="single" w:sz="4" w:space="0" w:color="4472C4"/>
                    <w:left w:val="single" w:sz="4" w:space="0" w:color="4472C4"/>
                    <w:bottom w:val="single" w:sz="4" w:space="0" w:color="4472C4"/>
                    <w:right w:val="single" w:sz="4" w:space="0" w:color="4472C4"/>
                  </w:tcBorders>
                  <w:shd w:val="clear" w:color="auto" w:fill="4472C4"/>
                  <w:noWrap/>
                  <w:vAlign w:val="center"/>
                  <w:hideMark/>
                </w:tcPr>
                <w:p w14:paraId="451C72DA" w14:textId="77777777" w:rsidR="00123458" w:rsidRPr="00EB61EF" w:rsidRDefault="00123458" w:rsidP="00123458">
                  <w:pPr>
                    <w:jc w:val="center"/>
                    <w:rPr>
                      <w:rFonts w:ascii="Verdana" w:hAnsi="Verdana" w:cs="Arial"/>
                      <w:b/>
                      <w:bCs/>
                      <w:color w:val="000000"/>
                      <w:sz w:val="18"/>
                      <w:szCs w:val="18"/>
                      <w:lang w:val="es-CO" w:eastAsia="es-CO"/>
                    </w:rPr>
                  </w:pPr>
                  <w:r w:rsidRPr="00EB61EF">
                    <w:rPr>
                      <w:rFonts w:ascii="Verdana" w:hAnsi="Verdana" w:cs="Arial"/>
                      <w:b/>
                      <w:bCs/>
                      <w:color w:val="000000"/>
                      <w:sz w:val="18"/>
                      <w:szCs w:val="18"/>
                      <w:lang w:val="es-CO" w:eastAsia="es-CO"/>
                    </w:rPr>
                    <w:t>Porcentaje de hogares</w:t>
                  </w:r>
                </w:p>
              </w:tc>
            </w:tr>
            <w:tr w:rsidR="00123458" w:rsidRPr="00EB61EF" w14:paraId="1015698C" w14:textId="77777777" w:rsidTr="006F4B40">
              <w:trPr>
                <w:trHeight w:val="300"/>
                <w:jc w:val="center"/>
              </w:trPr>
              <w:tc>
                <w:tcPr>
                  <w:tcW w:w="2008" w:type="pct"/>
                  <w:tcBorders>
                    <w:top w:val="single" w:sz="4" w:space="0" w:color="0072A9"/>
                    <w:left w:val="single" w:sz="4" w:space="0" w:color="0072A9"/>
                    <w:bottom w:val="single" w:sz="4" w:space="0" w:color="0072A9"/>
                    <w:right w:val="single" w:sz="4" w:space="0" w:color="4472C4"/>
                  </w:tcBorders>
                  <w:shd w:val="clear" w:color="auto" w:fill="auto"/>
                  <w:noWrap/>
                  <w:vAlign w:val="center"/>
                  <w:hideMark/>
                </w:tcPr>
                <w:p w14:paraId="0E4DB883" w14:textId="77777777" w:rsidR="00123458" w:rsidRPr="008C1BAF" w:rsidRDefault="00123458" w:rsidP="00123458">
                  <w:pPr>
                    <w:jc w:val="center"/>
                    <w:rPr>
                      <w:rFonts w:ascii="Verdana" w:hAnsi="Verdana" w:cs="Arial"/>
                      <w:color w:val="000000"/>
                      <w:sz w:val="18"/>
                      <w:szCs w:val="18"/>
                      <w:lang w:val="pt-PT" w:eastAsia="es-CO"/>
                    </w:rPr>
                  </w:pPr>
                  <w:r w:rsidRPr="008C1BAF">
                    <w:rPr>
                      <w:rFonts w:ascii="Verdana" w:hAnsi="Verdana" w:cs="Arial"/>
                      <w:color w:val="000000"/>
                      <w:sz w:val="18"/>
                      <w:szCs w:val="18"/>
                      <w:lang w:val="pt-PT" w:eastAsia="es-CO"/>
                    </w:rPr>
                    <w:t>Total de hogares para cálculo</w:t>
                  </w:r>
                </w:p>
              </w:tc>
              <w:tc>
                <w:tcPr>
                  <w:tcW w:w="1364" w:type="pct"/>
                  <w:tcBorders>
                    <w:top w:val="single" w:sz="4" w:space="0" w:color="0072A9"/>
                    <w:left w:val="single" w:sz="4" w:space="0" w:color="4472C4"/>
                    <w:bottom w:val="single" w:sz="4" w:space="0" w:color="4472C4"/>
                    <w:right w:val="single" w:sz="4" w:space="0" w:color="4472C4"/>
                  </w:tcBorders>
                  <w:shd w:val="clear" w:color="auto" w:fill="auto"/>
                  <w:noWrap/>
                  <w:vAlign w:val="center"/>
                  <w:hideMark/>
                </w:tcPr>
                <w:p w14:paraId="56AC3F59"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1.656.886</w:t>
                  </w:r>
                </w:p>
              </w:tc>
              <w:tc>
                <w:tcPr>
                  <w:tcW w:w="1628" w:type="pct"/>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14:paraId="2907174B" w14:textId="77777777" w:rsidR="00123458" w:rsidRPr="00EB61EF" w:rsidRDefault="00123458" w:rsidP="00123458">
                  <w:pPr>
                    <w:jc w:val="center"/>
                    <w:rPr>
                      <w:rFonts w:ascii="Verdana" w:hAnsi="Verdana" w:cs="Arial"/>
                      <w:color w:val="000000"/>
                      <w:sz w:val="18"/>
                      <w:szCs w:val="18"/>
                      <w:lang w:val="es-CO" w:eastAsia="es-CO"/>
                    </w:rPr>
                  </w:pPr>
                </w:p>
              </w:tc>
            </w:tr>
            <w:tr w:rsidR="00123458" w:rsidRPr="00EB61EF" w14:paraId="4CDD6498" w14:textId="77777777" w:rsidTr="006F4B40">
              <w:trPr>
                <w:trHeight w:val="300"/>
                <w:jc w:val="center"/>
              </w:trPr>
              <w:tc>
                <w:tcPr>
                  <w:tcW w:w="2008" w:type="pct"/>
                  <w:tcBorders>
                    <w:top w:val="single" w:sz="4" w:space="0" w:color="0072A9"/>
                    <w:left w:val="single" w:sz="4" w:space="0" w:color="0072A9"/>
                    <w:bottom w:val="single" w:sz="4" w:space="0" w:color="0072A9"/>
                    <w:right w:val="single" w:sz="4" w:space="0" w:color="4472C4"/>
                  </w:tcBorders>
                  <w:shd w:val="clear" w:color="auto" w:fill="auto"/>
                  <w:noWrap/>
                  <w:vAlign w:val="center"/>
                  <w:hideMark/>
                </w:tcPr>
                <w:p w14:paraId="207ED669"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Hogares en déficit habitacional</w:t>
                  </w:r>
                </w:p>
              </w:tc>
              <w:tc>
                <w:tcPr>
                  <w:tcW w:w="1364" w:type="pct"/>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14:paraId="3CF4369D"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1.101.222</w:t>
                  </w:r>
                </w:p>
              </w:tc>
              <w:tc>
                <w:tcPr>
                  <w:tcW w:w="1628" w:type="pct"/>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14:paraId="7FDFEEE9"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66,5%</w:t>
                  </w:r>
                </w:p>
              </w:tc>
            </w:tr>
            <w:tr w:rsidR="00123458" w:rsidRPr="00EB61EF" w14:paraId="215E0F83" w14:textId="77777777" w:rsidTr="006F4B40">
              <w:trPr>
                <w:trHeight w:val="300"/>
                <w:jc w:val="center"/>
              </w:trPr>
              <w:tc>
                <w:tcPr>
                  <w:tcW w:w="2008" w:type="pct"/>
                  <w:tcBorders>
                    <w:top w:val="single" w:sz="4" w:space="0" w:color="0072A9"/>
                    <w:left w:val="single" w:sz="4" w:space="0" w:color="0072A9"/>
                    <w:bottom w:val="single" w:sz="4" w:space="0" w:color="0072A9"/>
                    <w:right w:val="single" w:sz="4" w:space="0" w:color="4472C4"/>
                  </w:tcBorders>
                  <w:shd w:val="clear" w:color="auto" w:fill="auto"/>
                  <w:noWrap/>
                  <w:vAlign w:val="center"/>
                  <w:hideMark/>
                </w:tcPr>
                <w:p w14:paraId="6468F01C"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Hogares en déficit cuantitativo</w:t>
                  </w:r>
                </w:p>
              </w:tc>
              <w:tc>
                <w:tcPr>
                  <w:tcW w:w="1364" w:type="pct"/>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14:paraId="28D05AA9"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479.699</w:t>
                  </w:r>
                </w:p>
              </w:tc>
              <w:tc>
                <w:tcPr>
                  <w:tcW w:w="1628" w:type="pct"/>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14:paraId="5C32BBDE"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29,0%</w:t>
                  </w:r>
                </w:p>
              </w:tc>
            </w:tr>
            <w:tr w:rsidR="00123458" w:rsidRPr="00EB61EF" w14:paraId="0EA153B7" w14:textId="77777777" w:rsidTr="006F4B40">
              <w:trPr>
                <w:trHeight w:val="300"/>
                <w:jc w:val="center"/>
              </w:trPr>
              <w:tc>
                <w:tcPr>
                  <w:tcW w:w="2008" w:type="pct"/>
                  <w:tcBorders>
                    <w:top w:val="single" w:sz="4" w:space="0" w:color="0072A9"/>
                    <w:left w:val="single" w:sz="4" w:space="0" w:color="0072A9"/>
                    <w:bottom w:val="single" w:sz="4" w:space="0" w:color="0072A9"/>
                    <w:right w:val="single" w:sz="4" w:space="0" w:color="4472C4"/>
                  </w:tcBorders>
                  <w:shd w:val="clear" w:color="auto" w:fill="auto"/>
                  <w:noWrap/>
                  <w:vAlign w:val="center"/>
                  <w:hideMark/>
                </w:tcPr>
                <w:p w14:paraId="3085E297"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Hogares en déficit cualitativo</w:t>
                  </w:r>
                </w:p>
              </w:tc>
              <w:tc>
                <w:tcPr>
                  <w:tcW w:w="1364" w:type="pct"/>
                  <w:tcBorders>
                    <w:top w:val="single" w:sz="4" w:space="0" w:color="4472C4"/>
                    <w:left w:val="single" w:sz="4" w:space="0" w:color="4472C4"/>
                    <w:bottom w:val="single" w:sz="4" w:space="0" w:color="0072A9"/>
                    <w:right w:val="single" w:sz="4" w:space="0" w:color="4472C4"/>
                  </w:tcBorders>
                  <w:shd w:val="clear" w:color="auto" w:fill="auto"/>
                  <w:noWrap/>
                  <w:vAlign w:val="center"/>
                  <w:hideMark/>
                </w:tcPr>
                <w:p w14:paraId="1B529812"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621.523</w:t>
                  </w:r>
                </w:p>
              </w:tc>
              <w:tc>
                <w:tcPr>
                  <w:tcW w:w="1628" w:type="pct"/>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14:paraId="4AA09C84" w14:textId="77777777" w:rsidR="00123458" w:rsidRPr="00EB61EF" w:rsidRDefault="00123458" w:rsidP="00123458">
                  <w:pPr>
                    <w:jc w:val="center"/>
                    <w:rPr>
                      <w:rFonts w:ascii="Verdana" w:hAnsi="Verdana" w:cs="Arial"/>
                      <w:color w:val="000000"/>
                      <w:sz w:val="18"/>
                      <w:szCs w:val="18"/>
                      <w:lang w:val="es-CO" w:eastAsia="es-CO"/>
                    </w:rPr>
                  </w:pPr>
                  <w:r w:rsidRPr="00EB61EF">
                    <w:rPr>
                      <w:rFonts w:ascii="Verdana" w:hAnsi="Verdana" w:cs="Arial"/>
                      <w:color w:val="000000"/>
                      <w:sz w:val="18"/>
                      <w:szCs w:val="18"/>
                      <w:lang w:val="es-CO" w:eastAsia="es-CO"/>
                    </w:rPr>
                    <w:t>37,5%</w:t>
                  </w:r>
                </w:p>
              </w:tc>
            </w:tr>
          </w:tbl>
          <w:p w14:paraId="5E154C33" w14:textId="77777777" w:rsidR="00123458" w:rsidRDefault="00123458" w:rsidP="00123458">
            <w:pPr>
              <w:autoSpaceDE w:val="0"/>
              <w:autoSpaceDN w:val="0"/>
              <w:adjustRightInd w:val="0"/>
              <w:jc w:val="center"/>
              <w:rPr>
                <w:rFonts w:ascii="Verdana" w:eastAsia="Calibri" w:hAnsi="Verdana" w:cs="Arial"/>
                <w:lang w:eastAsia="en-US"/>
              </w:rPr>
            </w:pPr>
            <w:r w:rsidRPr="00123458">
              <w:rPr>
                <w:rFonts w:ascii="Verdana" w:hAnsi="Verdana"/>
                <w:noProof/>
                <w:sz w:val="18"/>
                <w:szCs w:val="18"/>
              </w:rPr>
              <w:t>Fuente: Cálculos MVCT con base en el CNPV 2018-DANE</w:t>
            </w:r>
          </w:p>
          <w:p w14:paraId="61C8D7C4" w14:textId="710A6BB8" w:rsidR="00123458" w:rsidRDefault="00123458" w:rsidP="00101F25">
            <w:pPr>
              <w:autoSpaceDE w:val="0"/>
              <w:autoSpaceDN w:val="0"/>
              <w:adjustRightInd w:val="0"/>
              <w:jc w:val="both"/>
              <w:rPr>
                <w:rFonts w:ascii="Verdana" w:eastAsia="Calibri" w:hAnsi="Verdana" w:cs="Arial"/>
                <w:lang w:eastAsia="en-US"/>
              </w:rPr>
            </w:pPr>
          </w:p>
          <w:p w14:paraId="04573A75" w14:textId="77777777" w:rsidR="009E109C" w:rsidRPr="00AF47FD" w:rsidRDefault="009E109C" w:rsidP="009E109C">
            <w:pPr>
              <w:autoSpaceDE w:val="0"/>
              <w:autoSpaceDN w:val="0"/>
              <w:adjustRightInd w:val="0"/>
              <w:jc w:val="both"/>
              <w:rPr>
                <w:rFonts w:ascii="Verdana" w:eastAsia="Calibri" w:hAnsi="Verdana" w:cs="Arial"/>
              </w:rPr>
            </w:pPr>
            <w:r w:rsidRPr="00BA6D7F">
              <w:rPr>
                <w:rFonts w:ascii="Verdana" w:eastAsia="Calibri" w:hAnsi="Verdana" w:cs="Arial"/>
              </w:rPr>
              <w:t xml:space="preserve">En consecuencia, para impactar las dimensiones cualitativas, se hace necesario diseñar programas que </w:t>
            </w:r>
            <w:r w:rsidRPr="00AF47FD">
              <w:rPr>
                <w:rFonts w:ascii="Verdana" w:eastAsia="Calibri" w:hAnsi="Verdana" w:cs="Arial"/>
              </w:rPr>
              <w:t>permitan atender de manera integral las necesidades de mejoramiento de vivienda de los hogares, sin reemplazar en su totalidad la vivienda habitada por el hogar atendido.</w:t>
            </w:r>
          </w:p>
          <w:p w14:paraId="08A5B801" w14:textId="77777777" w:rsidR="00245163" w:rsidRPr="009E109C" w:rsidRDefault="00245163" w:rsidP="00751854">
            <w:pPr>
              <w:autoSpaceDE w:val="0"/>
              <w:autoSpaceDN w:val="0"/>
              <w:adjustRightInd w:val="0"/>
              <w:jc w:val="both"/>
              <w:rPr>
                <w:rFonts w:ascii="Verdana" w:eastAsia="Calibri" w:hAnsi="Verdana" w:cs="Arial"/>
                <w:lang w:eastAsia="en-US"/>
              </w:rPr>
            </w:pPr>
          </w:p>
          <w:p w14:paraId="5890ABD8" w14:textId="2FDECBC5" w:rsidR="00245163" w:rsidRPr="00772028" w:rsidRDefault="00123458" w:rsidP="00751854">
            <w:pPr>
              <w:autoSpaceDE w:val="0"/>
              <w:autoSpaceDN w:val="0"/>
              <w:adjustRightInd w:val="0"/>
              <w:jc w:val="both"/>
              <w:rPr>
                <w:rFonts w:ascii="Verdana" w:eastAsia="Calibri" w:hAnsi="Verdana" w:cs="Arial"/>
                <w:lang w:val="es-CO" w:eastAsia="en-US"/>
              </w:rPr>
            </w:pPr>
            <w:r>
              <w:rPr>
                <w:rFonts w:ascii="Verdana" w:eastAsia="Calibri" w:hAnsi="Verdana" w:cs="Arial"/>
                <w:lang w:eastAsia="en-US"/>
              </w:rPr>
              <w:t>Al respecto, e</w:t>
            </w:r>
            <w:r w:rsidR="00245163" w:rsidRPr="00772028">
              <w:rPr>
                <w:rFonts w:ascii="Verdana" w:eastAsia="Calibri" w:hAnsi="Verdana" w:cs="Arial"/>
                <w:lang w:val="es-CO" w:eastAsia="en-US"/>
              </w:rPr>
              <w:t>l programa Casa Digna Vida Digna (CDVD) se configuró como la primera apuesta de orden nacional en Colombia para atender el déficit cualitativo habitacional, este fue adoptado mediante Decreto 867 de 2019, y durante su ejecución dejó una serie de lecciones aprendidas a partir de las cuales se planteó la necesidad de fortalecer y ampliar el alcance de iniciativas alrededor del mejoramiento de vivienda. Así, se hace necesario el desarrollo de alternativas eficaces para mejorar las condiciones habitacionales de los hogares más vulnerables, que por su condición socioeconómica y ubicación geográfica exigen el diseño de instrumentos que permitan una mejor focalización. Por tal razón, en 2022 se planteó la iniciativa Cambia Mi Casa (CMC)el cual busca potencializar la acción del Ministerio de Vivienda, Ciudad y Territorio en materia de mejoramiento de vivienda</w:t>
            </w:r>
            <w:r w:rsidR="00100FEC">
              <w:rPr>
                <w:rFonts w:ascii="Verdana" w:eastAsia="Calibri" w:hAnsi="Verdana" w:cs="Arial"/>
                <w:lang w:val="es-CO" w:eastAsia="en-US"/>
              </w:rPr>
              <w:t xml:space="preserve">. Esto, </w:t>
            </w:r>
            <w:r w:rsidR="00245163" w:rsidRPr="00772028">
              <w:rPr>
                <w:rFonts w:ascii="Verdana" w:eastAsia="Calibri" w:hAnsi="Verdana" w:cs="Arial"/>
                <w:lang w:val="es-CO" w:eastAsia="en-US"/>
              </w:rPr>
              <w:t>se ha diseñado a partir de la premisa de descentralización de las intervenciones como estrategia para alcanzar la meta de 400.000 mejoramientos en el cuatrienio 2022-2026.</w:t>
            </w:r>
          </w:p>
          <w:p w14:paraId="411D6120" w14:textId="77777777" w:rsidR="00245163" w:rsidRPr="00772028" w:rsidRDefault="00245163" w:rsidP="00751854">
            <w:pPr>
              <w:autoSpaceDE w:val="0"/>
              <w:autoSpaceDN w:val="0"/>
              <w:adjustRightInd w:val="0"/>
              <w:jc w:val="both"/>
              <w:rPr>
                <w:rFonts w:ascii="Verdana" w:eastAsia="Calibri" w:hAnsi="Verdana" w:cs="Arial"/>
                <w:bCs/>
                <w:lang w:val="es-CO" w:eastAsia="en-US"/>
              </w:rPr>
            </w:pPr>
          </w:p>
          <w:p w14:paraId="1F23D26F" w14:textId="405A9C8C" w:rsidR="00245163" w:rsidRPr="00772028" w:rsidRDefault="00245163" w:rsidP="00751854">
            <w:pPr>
              <w:autoSpaceDE w:val="0"/>
              <w:autoSpaceDN w:val="0"/>
              <w:adjustRightInd w:val="0"/>
              <w:jc w:val="both"/>
              <w:rPr>
                <w:rFonts w:ascii="Verdana" w:eastAsia="Calibri" w:hAnsi="Verdana" w:cs="Arial"/>
                <w:bCs/>
                <w:lang w:val="es-CO" w:eastAsia="en-US"/>
              </w:rPr>
            </w:pPr>
            <w:r w:rsidRPr="00772028">
              <w:rPr>
                <w:rFonts w:ascii="Verdana" w:eastAsia="Calibri" w:hAnsi="Verdana" w:cs="Arial"/>
                <w:bCs/>
                <w:lang w:val="es-CO" w:eastAsia="en-US"/>
              </w:rPr>
              <w:t>Para ello</w:t>
            </w:r>
            <w:r w:rsidR="006F3F58">
              <w:rPr>
                <w:rFonts w:ascii="Verdana" w:eastAsia="Calibri" w:hAnsi="Verdana" w:cs="Arial"/>
                <w:bCs/>
                <w:lang w:val="es-CO" w:eastAsia="en-US"/>
              </w:rPr>
              <w:t>,</w:t>
            </w:r>
            <w:r w:rsidRPr="00772028">
              <w:rPr>
                <w:rFonts w:ascii="Verdana" w:eastAsia="Calibri" w:hAnsi="Verdana" w:cs="Arial"/>
                <w:bCs/>
                <w:lang w:val="es-CO" w:eastAsia="en-US"/>
              </w:rPr>
              <w:t xml:space="preserve"> se</w:t>
            </w:r>
            <w:r w:rsidR="00100FEC">
              <w:rPr>
                <w:rFonts w:ascii="Verdana" w:eastAsia="Calibri" w:hAnsi="Verdana" w:cs="Arial"/>
                <w:bCs/>
                <w:lang w:val="es-CO" w:eastAsia="en-US"/>
              </w:rPr>
              <w:t xml:space="preserve"> </w:t>
            </w:r>
            <w:proofErr w:type="spellStart"/>
            <w:r w:rsidR="00100FEC">
              <w:rPr>
                <w:rFonts w:ascii="Verdana" w:eastAsia="Calibri" w:hAnsi="Verdana" w:cs="Arial"/>
                <w:bCs/>
                <w:lang w:val="es-CO" w:eastAsia="en-US"/>
              </w:rPr>
              <w:t>adelantaron</w:t>
            </w:r>
            <w:proofErr w:type="spellEnd"/>
            <w:r w:rsidRPr="00772028">
              <w:rPr>
                <w:rFonts w:ascii="Verdana" w:eastAsia="Calibri" w:hAnsi="Verdana" w:cs="Arial"/>
                <w:bCs/>
                <w:lang w:val="es-CO" w:eastAsia="en-US"/>
              </w:rPr>
              <w:t xml:space="preserve"> mesas de trabajo al interior del Ministerio de Vivienda, Ciudad y Territorio entre los equipos de la Dirección de Vivienda Rural, Dirección del Sistema Habitacional y Dirección de Inversiones en Vivienda de Interés Social, </w:t>
            </w:r>
            <w:r w:rsidR="00100FEC">
              <w:rPr>
                <w:rFonts w:ascii="Verdana" w:eastAsia="Calibri" w:hAnsi="Verdana" w:cs="Arial"/>
                <w:bCs/>
                <w:lang w:val="es-CO" w:eastAsia="en-US"/>
              </w:rPr>
              <w:t>cuyo</w:t>
            </w:r>
            <w:r w:rsidRPr="00772028">
              <w:rPr>
                <w:rFonts w:ascii="Verdana" w:eastAsia="Calibri" w:hAnsi="Verdana" w:cs="Arial"/>
                <w:bCs/>
                <w:lang w:val="es-CO" w:eastAsia="en-US"/>
              </w:rPr>
              <w:t xml:space="preserve"> objetivo </w:t>
            </w:r>
            <w:r w:rsidR="00100FEC">
              <w:rPr>
                <w:rFonts w:ascii="Verdana" w:eastAsia="Calibri" w:hAnsi="Verdana" w:cs="Arial"/>
                <w:bCs/>
                <w:lang w:val="es-CO" w:eastAsia="en-US"/>
              </w:rPr>
              <w:t xml:space="preserve">fue el de </w:t>
            </w:r>
            <w:r w:rsidRPr="00772028">
              <w:rPr>
                <w:rFonts w:ascii="Verdana" w:eastAsia="Calibri" w:hAnsi="Verdana" w:cs="Arial"/>
                <w:bCs/>
                <w:lang w:val="es-CO" w:eastAsia="en-US"/>
              </w:rPr>
              <w:t>revisar las necesidades normativas y los esquemas de gestión de los mejoramientos de vivienda tanto a nivel urbano como rural. Este ejercicio de análisis se realizó considerando: (i) la magnitud de las metas establecidas para el cuatrienio; (</w:t>
            </w:r>
            <w:proofErr w:type="spellStart"/>
            <w:r w:rsidRPr="00772028">
              <w:rPr>
                <w:rFonts w:ascii="Verdana" w:eastAsia="Calibri" w:hAnsi="Verdana" w:cs="Arial"/>
                <w:bCs/>
                <w:lang w:val="es-CO" w:eastAsia="en-US"/>
              </w:rPr>
              <w:t>ii</w:t>
            </w:r>
            <w:proofErr w:type="spellEnd"/>
            <w:r w:rsidRPr="00772028">
              <w:rPr>
                <w:rFonts w:ascii="Verdana" w:eastAsia="Calibri" w:hAnsi="Verdana" w:cs="Arial"/>
                <w:bCs/>
                <w:lang w:val="es-CO" w:eastAsia="en-US"/>
              </w:rPr>
              <w:t>) el presupuesto disponible desde el sector para la ejecución de las intervenciones; y (</w:t>
            </w:r>
            <w:proofErr w:type="spellStart"/>
            <w:r w:rsidRPr="00772028">
              <w:rPr>
                <w:rFonts w:ascii="Verdana" w:eastAsia="Calibri" w:hAnsi="Verdana" w:cs="Arial"/>
                <w:bCs/>
                <w:lang w:val="es-CO" w:eastAsia="en-US"/>
              </w:rPr>
              <w:t>iii</w:t>
            </w:r>
            <w:proofErr w:type="spellEnd"/>
            <w:r w:rsidRPr="00772028">
              <w:rPr>
                <w:rFonts w:ascii="Verdana" w:eastAsia="Calibri" w:hAnsi="Verdana" w:cs="Arial"/>
                <w:bCs/>
                <w:lang w:val="es-CO" w:eastAsia="en-US"/>
              </w:rPr>
              <w:t>) la capacidad operativa del equipo técnico del Ministerio, encargado de la implementación del programa. Como resultado de este trabajo</w:t>
            </w:r>
            <w:r w:rsidR="006F3F58">
              <w:rPr>
                <w:rFonts w:ascii="Verdana" w:eastAsia="Calibri" w:hAnsi="Verdana" w:cs="Arial"/>
                <w:bCs/>
                <w:lang w:val="es-CO" w:eastAsia="en-US"/>
              </w:rPr>
              <w:t>,</w:t>
            </w:r>
            <w:r w:rsidRPr="00772028">
              <w:rPr>
                <w:rFonts w:ascii="Verdana" w:eastAsia="Calibri" w:hAnsi="Verdana" w:cs="Arial"/>
                <w:bCs/>
                <w:lang w:val="es-CO" w:eastAsia="en-US"/>
              </w:rPr>
              <w:t xml:space="preserve"> se identificó la necesidad de estructurar esquemas de ejecución que involucren a otros actores y complementen la capacidad operativa del Ministerio, de forma tal que se logre ampliar la cobertura territorial del programa, así como la cantidad de hogares beneficiados.</w:t>
            </w:r>
          </w:p>
          <w:p w14:paraId="3C4C9C94" w14:textId="77777777" w:rsidR="00245163" w:rsidRPr="00772028" w:rsidRDefault="00245163" w:rsidP="00751854">
            <w:pPr>
              <w:autoSpaceDE w:val="0"/>
              <w:autoSpaceDN w:val="0"/>
              <w:adjustRightInd w:val="0"/>
              <w:jc w:val="both"/>
              <w:rPr>
                <w:rFonts w:ascii="Verdana" w:eastAsia="Calibri" w:hAnsi="Verdana" w:cs="Arial"/>
                <w:b/>
                <w:bCs/>
                <w:lang w:val="es-CO" w:eastAsia="en-US"/>
              </w:rPr>
            </w:pPr>
          </w:p>
          <w:p w14:paraId="621FB2B4" w14:textId="3A7F9F79" w:rsidR="00245163" w:rsidRPr="00772028" w:rsidRDefault="00245163" w:rsidP="00751854">
            <w:pPr>
              <w:autoSpaceDE w:val="0"/>
              <w:autoSpaceDN w:val="0"/>
              <w:adjustRightInd w:val="0"/>
              <w:jc w:val="both"/>
              <w:rPr>
                <w:rFonts w:ascii="Verdana" w:eastAsia="Calibri" w:hAnsi="Verdana" w:cs="Arial"/>
                <w:lang w:eastAsia="en-US"/>
              </w:rPr>
            </w:pPr>
            <w:r w:rsidRPr="00772028">
              <w:rPr>
                <w:rFonts w:ascii="Verdana" w:eastAsia="Calibri" w:hAnsi="Verdana" w:cs="Arial"/>
                <w:lang w:val="es-CO" w:eastAsia="en-US"/>
              </w:rPr>
              <w:t>En tal sentido, u</w:t>
            </w:r>
            <w:r w:rsidRPr="00772028">
              <w:rPr>
                <w:rFonts w:ascii="Verdana" w:eastAsia="Calibri" w:hAnsi="Verdana" w:cs="Arial"/>
                <w:lang w:eastAsia="en-US"/>
              </w:rPr>
              <w:t>no de los principales cambios que tendrá el programa C</w:t>
            </w:r>
            <w:r w:rsidR="006F3F58">
              <w:rPr>
                <w:rFonts w:ascii="Verdana" w:eastAsia="Calibri" w:hAnsi="Verdana" w:cs="Arial"/>
                <w:lang w:eastAsia="en-US"/>
              </w:rPr>
              <w:t xml:space="preserve">ambia </w:t>
            </w:r>
            <w:r w:rsidRPr="00772028">
              <w:rPr>
                <w:rFonts w:ascii="Verdana" w:eastAsia="Calibri" w:hAnsi="Verdana" w:cs="Arial"/>
                <w:lang w:eastAsia="en-US"/>
              </w:rPr>
              <w:t>M</w:t>
            </w:r>
            <w:r w:rsidR="006F3F58">
              <w:rPr>
                <w:rFonts w:ascii="Verdana" w:eastAsia="Calibri" w:hAnsi="Verdana" w:cs="Arial"/>
                <w:lang w:eastAsia="en-US"/>
              </w:rPr>
              <w:t xml:space="preserve">i </w:t>
            </w:r>
            <w:r w:rsidRPr="00772028">
              <w:rPr>
                <w:rFonts w:ascii="Verdana" w:eastAsia="Calibri" w:hAnsi="Verdana" w:cs="Arial"/>
                <w:lang w:eastAsia="en-US"/>
              </w:rPr>
              <w:t>C</w:t>
            </w:r>
            <w:r w:rsidR="006F3F58">
              <w:rPr>
                <w:rFonts w:ascii="Verdana" w:eastAsia="Calibri" w:hAnsi="Verdana" w:cs="Arial"/>
                <w:lang w:eastAsia="en-US"/>
              </w:rPr>
              <w:t>asa</w:t>
            </w:r>
            <w:r w:rsidRPr="00772028">
              <w:rPr>
                <w:rFonts w:ascii="Verdana" w:eastAsia="Calibri" w:hAnsi="Verdana" w:cs="Arial"/>
                <w:lang w:eastAsia="en-US"/>
              </w:rPr>
              <w:t xml:space="preserve"> es la descentralización de su operación y los esquemas de financiación. Las intervenciones no sólo serán ejecutadas por contratación directa a través del patrimonio autónomo de Fonvivienda, como se venía haciendo en el </w:t>
            </w:r>
            <w:r w:rsidRPr="00772028">
              <w:rPr>
                <w:rFonts w:ascii="Verdana" w:eastAsia="Calibri" w:hAnsi="Verdana" w:cs="Arial"/>
                <w:lang w:val="es-CO" w:eastAsia="en-US"/>
              </w:rPr>
              <w:t>programa CDVD, y a través de esquemas de cofinanciación con las entidades territoriales</w:t>
            </w:r>
            <w:r w:rsidR="006F3F58">
              <w:rPr>
                <w:rFonts w:ascii="Verdana" w:eastAsia="Calibri" w:hAnsi="Verdana" w:cs="Arial"/>
                <w:lang w:val="es-CO" w:eastAsia="en-US"/>
              </w:rPr>
              <w:t xml:space="preserve"> y demás actores</w:t>
            </w:r>
            <w:r w:rsidRPr="00772028">
              <w:rPr>
                <w:rFonts w:ascii="Verdana" w:eastAsia="Calibri" w:hAnsi="Verdana" w:cs="Arial"/>
                <w:lang w:eastAsia="en-US"/>
              </w:rPr>
              <w:t>. Para fortalecer su alcance se desarrollarán esquemas alternativos con la participación de otros actores, tales como las entidades territoriales, Cajas de Compensación Familiar (CCF), sector privado, entre otros. Así</w:t>
            </w:r>
            <w:r w:rsidR="006F3F58">
              <w:rPr>
                <w:rFonts w:ascii="Verdana" w:eastAsia="Calibri" w:hAnsi="Verdana" w:cs="Arial"/>
                <w:lang w:eastAsia="en-US"/>
              </w:rPr>
              <w:t>,</w:t>
            </w:r>
            <w:r w:rsidRPr="00772028">
              <w:rPr>
                <w:rFonts w:ascii="Verdana" w:eastAsia="Calibri" w:hAnsi="Verdana" w:cs="Arial"/>
                <w:lang w:eastAsia="en-US"/>
              </w:rPr>
              <w:t xml:space="preserve"> se busca aunar esfuerzos y promover la concurrencia de recursos para lograr las metas de mejoramiento.</w:t>
            </w:r>
          </w:p>
          <w:p w14:paraId="75179488" w14:textId="77777777" w:rsidR="00245163" w:rsidRPr="00772028" w:rsidRDefault="00245163" w:rsidP="00751854">
            <w:pPr>
              <w:autoSpaceDE w:val="0"/>
              <w:autoSpaceDN w:val="0"/>
              <w:adjustRightInd w:val="0"/>
              <w:jc w:val="both"/>
              <w:rPr>
                <w:rFonts w:ascii="Verdana" w:eastAsia="Calibri" w:hAnsi="Verdana" w:cs="Arial"/>
                <w:lang w:eastAsia="en-US"/>
              </w:rPr>
            </w:pPr>
          </w:p>
          <w:p w14:paraId="24AA09E3" w14:textId="265D362C" w:rsidR="00245163" w:rsidRPr="00772028" w:rsidRDefault="00245163" w:rsidP="00751854">
            <w:pPr>
              <w:autoSpaceDE w:val="0"/>
              <w:autoSpaceDN w:val="0"/>
              <w:adjustRightInd w:val="0"/>
              <w:jc w:val="both"/>
              <w:rPr>
                <w:rFonts w:ascii="Verdana" w:eastAsia="Calibri" w:hAnsi="Verdana" w:cs="Arial"/>
                <w:lang w:eastAsia="en-US"/>
              </w:rPr>
            </w:pPr>
            <w:r w:rsidRPr="00772028">
              <w:rPr>
                <w:rFonts w:ascii="Verdana" w:eastAsia="Calibri" w:hAnsi="Verdana" w:cs="Arial"/>
                <w:lang w:eastAsia="en-US"/>
              </w:rPr>
              <w:lastRenderedPageBreak/>
              <w:t>Adicionalmente, el Ministerio de Vivienda, Ciudad y Territorio tiene como propósito mejorar la cobertura territorial del programa C</w:t>
            </w:r>
            <w:r w:rsidR="00F56984">
              <w:rPr>
                <w:rFonts w:ascii="Verdana" w:eastAsia="Calibri" w:hAnsi="Verdana" w:cs="Arial"/>
                <w:lang w:eastAsia="en-US"/>
              </w:rPr>
              <w:t xml:space="preserve">ambia </w:t>
            </w:r>
            <w:r w:rsidRPr="00772028">
              <w:rPr>
                <w:rFonts w:ascii="Verdana" w:eastAsia="Calibri" w:hAnsi="Verdana" w:cs="Arial"/>
                <w:lang w:eastAsia="en-US"/>
              </w:rPr>
              <w:t>M</w:t>
            </w:r>
            <w:r w:rsidR="00F56984">
              <w:rPr>
                <w:rFonts w:ascii="Verdana" w:eastAsia="Calibri" w:hAnsi="Verdana" w:cs="Arial"/>
                <w:lang w:eastAsia="en-US"/>
              </w:rPr>
              <w:t xml:space="preserve">i </w:t>
            </w:r>
            <w:r w:rsidRPr="00772028">
              <w:rPr>
                <w:rFonts w:ascii="Verdana" w:eastAsia="Calibri" w:hAnsi="Verdana" w:cs="Arial"/>
                <w:lang w:eastAsia="en-US"/>
              </w:rPr>
              <w:t>C</w:t>
            </w:r>
            <w:r w:rsidR="00F56984">
              <w:rPr>
                <w:rFonts w:ascii="Verdana" w:eastAsia="Calibri" w:hAnsi="Verdana" w:cs="Arial"/>
                <w:lang w:eastAsia="en-US"/>
              </w:rPr>
              <w:t>asa</w:t>
            </w:r>
            <w:r w:rsidRPr="00772028">
              <w:rPr>
                <w:rFonts w:ascii="Verdana" w:eastAsia="Calibri" w:hAnsi="Verdana" w:cs="Arial"/>
                <w:lang w:eastAsia="en-US"/>
              </w:rPr>
              <w:t>, no solamente para llegar a más municipios, sino para priorizar aquellos de categorías 4, 5 y 6 con más dificultades para atender su situación de déficit habitacional. Por ello, con el fin de mejorar la focalización territorial del programa, se ha avanzado en la inclusión de variables que reconocen las necesidades diferenciales entre las entidades territoriales (si se trata de un municipio PDET, el nivel de déficit habitacional y la categoría municipal). De esta manera, en la medida que la operación cuente con criterios objetivos de focalización, se busca que los mejoramientos de vivienda respondan a las necesidades y condiciones específicas del territorio, así como priorizar la atención de aquellas entidades territoriales cuyos hogares enfrentan más privaciones y carencias habitacionales.</w:t>
            </w:r>
          </w:p>
          <w:p w14:paraId="2A4A1345" w14:textId="77777777" w:rsidR="00245163" w:rsidRPr="00772028" w:rsidRDefault="00245163" w:rsidP="00751854">
            <w:pPr>
              <w:autoSpaceDE w:val="0"/>
              <w:autoSpaceDN w:val="0"/>
              <w:adjustRightInd w:val="0"/>
              <w:jc w:val="both"/>
              <w:rPr>
                <w:rFonts w:ascii="Verdana" w:eastAsia="Calibri" w:hAnsi="Verdana" w:cs="Arial"/>
                <w:lang w:eastAsia="en-US"/>
              </w:rPr>
            </w:pPr>
          </w:p>
          <w:p w14:paraId="76D214AE" w14:textId="1F158311" w:rsidR="00245163" w:rsidRPr="00772028" w:rsidRDefault="00245163" w:rsidP="00751854">
            <w:pPr>
              <w:autoSpaceDE w:val="0"/>
              <w:autoSpaceDN w:val="0"/>
              <w:adjustRightInd w:val="0"/>
              <w:jc w:val="both"/>
              <w:rPr>
                <w:rFonts w:ascii="Verdana" w:eastAsia="Calibri" w:hAnsi="Verdana" w:cs="Arial"/>
                <w:lang w:eastAsia="en-US"/>
              </w:rPr>
            </w:pPr>
            <w:r w:rsidRPr="00772028">
              <w:rPr>
                <w:rFonts w:ascii="Verdana" w:eastAsia="Calibri" w:hAnsi="Verdana" w:cs="Arial"/>
                <w:lang w:eastAsia="en-US"/>
              </w:rPr>
              <w:t>La implementación de C</w:t>
            </w:r>
            <w:r w:rsidR="00F56984">
              <w:rPr>
                <w:rFonts w:ascii="Verdana" w:eastAsia="Calibri" w:hAnsi="Verdana" w:cs="Arial"/>
                <w:lang w:eastAsia="en-US"/>
              </w:rPr>
              <w:t xml:space="preserve">ambia </w:t>
            </w:r>
            <w:r w:rsidRPr="00772028">
              <w:rPr>
                <w:rFonts w:ascii="Verdana" w:eastAsia="Calibri" w:hAnsi="Verdana" w:cs="Arial"/>
                <w:lang w:eastAsia="en-US"/>
              </w:rPr>
              <w:t>M</w:t>
            </w:r>
            <w:r w:rsidR="00F56984">
              <w:rPr>
                <w:rFonts w:ascii="Verdana" w:eastAsia="Calibri" w:hAnsi="Verdana" w:cs="Arial"/>
                <w:lang w:eastAsia="en-US"/>
              </w:rPr>
              <w:t xml:space="preserve">i </w:t>
            </w:r>
            <w:r w:rsidRPr="00772028">
              <w:rPr>
                <w:rFonts w:ascii="Verdana" w:eastAsia="Calibri" w:hAnsi="Verdana" w:cs="Arial"/>
                <w:lang w:eastAsia="en-US"/>
              </w:rPr>
              <w:t>C</w:t>
            </w:r>
            <w:r w:rsidR="00F56984">
              <w:rPr>
                <w:rFonts w:ascii="Verdana" w:eastAsia="Calibri" w:hAnsi="Verdana" w:cs="Arial"/>
                <w:lang w:eastAsia="en-US"/>
              </w:rPr>
              <w:t>asa</w:t>
            </w:r>
            <w:r w:rsidR="00311357">
              <w:rPr>
                <w:rFonts w:ascii="Verdana" w:eastAsia="Calibri" w:hAnsi="Verdana" w:cs="Arial"/>
                <w:lang w:eastAsia="en-US"/>
              </w:rPr>
              <w:t>,</w:t>
            </w:r>
            <w:r w:rsidRPr="00772028">
              <w:rPr>
                <w:rFonts w:ascii="Verdana" w:eastAsia="Calibri" w:hAnsi="Verdana" w:cs="Arial"/>
                <w:lang w:eastAsia="en-US"/>
              </w:rPr>
              <w:t xml:space="preserve"> como ya se indicó, tiene un enfoque integral que incluye mejoramientos tanto a nivel urbano como rural. En tal sentido, los ajustes a su reglamentación no solamente modifican los topes de los subsidios a otorgar en función de la modalidad del mejoramiento (estructural, locativo o modular), sino que también incorporan lo pertinente para el desarrollo de mejoramiento de viviendas rurales, a partir de las lecciones aprendidas por el Ministerio durante su operación. Asimismo, se busca potenciar diferentes modalidades de intervención como la estructural y las intervenciones de tipo modular. Ahora bien, en línea con lo establecido en la Política de Vivienda Rural, en el programa C</w:t>
            </w:r>
            <w:r w:rsidR="0045596A">
              <w:rPr>
                <w:rFonts w:ascii="Verdana" w:eastAsia="Calibri" w:hAnsi="Verdana" w:cs="Arial"/>
                <w:lang w:eastAsia="en-US"/>
              </w:rPr>
              <w:t xml:space="preserve">ambia </w:t>
            </w:r>
            <w:r w:rsidRPr="00772028">
              <w:rPr>
                <w:rFonts w:ascii="Verdana" w:eastAsia="Calibri" w:hAnsi="Verdana" w:cs="Arial"/>
                <w:lang w:eastAsia="en-US"/>
              </w:rPr>
              <w:t>M</w:t>
            </w:r>
            <w:r w:rsidR="0045596A">
              <w:rPr>
                <w:rFonts w:ascii="Verdana" w:eastAsia="Calibri" w:hAnsi="Verdana" w:cs="Arial"/>
                <w:lang w:eastAsia="en-US"/>
              </w:rPr>
              <w:t xml:space="preserve">i </w:t>
            </w:r>
            <w:r w:rsidRPr="00772028">
              <w:rPr>
                <w:rFonts w:ascii="Verdana" w:eastAsia="Calibri" w:hAnsi="Verdana" w:cs="Arial"/>
                <w:lang w:eastAsia="en-US"/>
              </w:rPr>
              <w:t>C</w:t>
            </w:r>
            <w:r w:rsidR="0045596A">
              <w:rPr>
                <w:rFonts w:ascii="Verdana" w:eastAsia="Calibri" w:hAnsi="Verdana" w:cs="Arial"/>
                <w:lang w:eastAsia="en-US"/>
              </w:rPr>
              <w:t>asa</w:t>
            </w:r>
            <w:r w:rsidRPr="00772028">
              <w:rPr>
                <w:rFonts w:ascii="Verdana" w:eastAsia="Calibri" w:hAnsi="Verdana" w:cs="Arial"/>
                <w:lang w:eastAsia="en-US"/>
              </w:rPr>
              <w:t xml:space="preserve"> se ha incluido la posibilidad de que los costos de transporte de materiales y logística puedan ser un rubro adicional al subsidio, atendiendo las dificultades de acceso a algunas zonas rurales. </w:t>
            </w:r>
          </w:p>
          <w:p w14:paraId="715BF5D2" w14:textId="77777777" w:rsidR="00E34116" w:rsidRPr="00772028" w:rsidRDefault="00E34116" w:rsidP="00751854">
            <w:pPr>
              <w:autoSpaceDE w:val="0"/>
              <w:autoSpaceDN w:val="0"/>
              <w:adjustRightInd w:val="0"/>
              <w:jc w:val="both"/>
              <w:rPr>
                <w:rFonts w:ascii="Verdana" w:eastAsia="Calibri" w:hAnsi="Verdana" w:cs="Arial"/>
                <w:lang w:eastAsia="en-US"/>
              </w:rPr>
            </w:pPr>
          </w:p>
          <w:p w14:paraId="406B93B7" w14:textId="6E43FDE1" w:rsidR="00E34116" w:rsidRPr="00772028" w:rsidRDefault="005900F4" w:rsidP="00751854">
            <w:pPr>
              <w:autoSpaceDE w:val="0"/>
              <w:autoSpaceDN w:val="0"/>
              <w:adjustRightInd w:val="0"/>
              <w:jc w:val="both"/>
              <w:rPr>
                <w:rFonts w:ascii="Verdana" w:eastAsia="Calibri" w:hAnsi="Verdana" w:cs="Arial"/>
                <w:lang w:eastAsia="en-US"/>
              </w:rPr>
            </w:pPr>
            <w:r w:rsidRPr="00772028">
              <w:rPr>
                <w:rFonts w:ascii="Verdana" w:eastAsia="Calibri" w:hAnsi="Verdana" w:cs="Arial"/>
                <w:lang w:eastAsia="en-US"/>
              </w:rPr>
              <w:t>Así mismo, e</w:t>
            </w:r>
            <w:r w:rsidR="00E34116" w:rsidRPr="00772028">
              <w:rPr>
                <w:rFonts w:ascii="Verdana" w:eastAsia="Calibri" w:hAnsi="Verdana" w:cs="Arial"/>
                <w:lang w:eastAsia="en-US"/>
              </w:rPr>
              <w:t>n desarrollo de</w:t>
            </w:r>
            <w:r w:rsidR="00C1242A" w:rsidRPr="00772028">
              <w:rPr>
                <w:rFonts w:ascii="Verdana" w:eastAsia="Calibri" w:hAnsi="Verdana" w:cs="Arial"/>
                <w:lang w:eastAsia="en-US"/>
              </w:rPr>
              <w:t>l catalizador No. 3</w:t>
            </w:r>
            <w:r w:rsidR="00E34116" w:rsidRPr="00772028">
              <w:rPr>
                <w:rFonts w:ascii="Verdana" w:eastAsia="Calibri" w:hAnsi="Verdana" w:cs="Arial"/>
                <w:lang w:eastAsia="en-US"/>
              </w:rPr>
              <w:t xml:space="preserve"> </w:t>
            </w:r>
            <w:r w:rsidR="00C25C96" w:rsidRPr="00772028">
              <w:rPr>
                <w:rFonts w:ascii="Verdana" w:eastAsia="Calibri" w:hAnsi="Verdana" w:cs="Arial"/>
                <w:lang w:eastAsia="en-US"/>
              </w:rPr>
              <w:t>“</w:t>
            </w:r>
            <w:r w:rsidR="00E34116" w:rsidRPr="00772028">
              <w:rPr>
                <w:rFonts w:ascii="Verdana" w:eastAsia="Calibri" w:hAnsi="Verdana" w:cs="Arial"/>
                <w:lang w:eastAsia="en-US"/>
              </w:rPr>
              <w:t>Territorios más humanos: hábitat integral</w:t>
            </w:r>
            <w:r w:rsidR="00C25C96" w:rsidRPr="00772028">
              <w:rPr>
                <w:rFonts w:ascii="Verdana" w:eastAsia="Calibri" w:hAnsi="Verdana" w:cs="Arial"/>
                <w:lang w:eastAsia="en-US"/>
              </w:rPr>
              <w:t xml:space="preserve">” incluido en las bases del Plan Nacional de Desarrollo </w:t>
            </w:r>
            <w:r w:rsidRPr="00772028">
              <w:rPr>
                <w:rFonts w:ascii="Verdana" w:eastAsia="Calibri" w:hAnsi="Verdana" w:cs="Arial"/>
                <w:lang w:eastAsia="en-US"/>
              </w:rPr>
              <w:t>-</w:t>
            </w:r>
            <w:r w:rsidR="00C25C96" w:rsidRPr="00772028">
              <w:rPr>
                <w:rFonts w:ascii="Verdana" w:eastAsia="Calibri" w:hAnsi="Verdana" w:cs="Arial"/>
                <w:lang w:eastAsia="en-US"/>
              </w:rPr>
              <w:t>Ley 2294 de 2023</w:t>
            </w:r>
            <w:r w:rsidRPr="00772028">
              <w:rPr>
                <w:rFonts w:ascii="Verdana" w:eastAsia="Calibri" w:hAnsi="Verdana" w:cs="Arial"/>
                <w:lang w:eastAsia="en-US"/>
              </w:rPr>
              <w:t>,</w:t>
            </w:r>
            <w:r w:rsidR="00E34116" w:rsidRPr="00772028">
              <w:rPr>
                <w:rFonts w:ascii="Verdana" w:eastAsia="Calibri" w:hAnsi="Verdana" w:cs="Arial"/>
                <w:lang w:eastAsia="en-US"/>
              </w:rPr>
              <w:t xml:space="preserve"> </w:t>
            </w:r>
            <w:r w:rsidR="005020AB" w:rsidRPr="00772028">
              <w:rPr>
                <w:rFonts w:ascii="Verdana" w:eastAsia="Calibri" w:hAnsi="Verdana" w:cs="Arial"/>
                <w:lang w:eastAsia="en-US"/>
              </w:rPr>
              <w:t xml:space="preserve">se incluyen modificaciones </w:t>
            </w:r>
            <w:r w:rsidR="00587E95" w:rsidRPr="00772028">
              <w:rPr>
                <w:rFonts w:ascii="Verdana" w:eastAsia="Calibri" w:hAnsi="Verdana" w:cs="Arial"/>
                <w:lang w:eastAsia="en-US"/>
              </w:rPr>
              <w:t>a las condiciones de las intervenciones de mejoramiento (Artículo 2.1.11.7.8. del Decreto 1077 de 2015) para que puedan ser beneficiarias del subsidio familiar de vivienda en la modalidad de mejoramiento aquell</w:t>
            </w:r>
            <w:r w:rsidR="00E34116" w:rsidRPr="00772028">
              <w:rPr>
                <w:rFonts w:ascii="Verdana" w:eastAsia="Calibri" w:hAnsi="Verdana" w:cs="Arial"/>
                <w:lang w:eastAsia="en-US"/>
              </w:rPr>
              <w:t xml:space="preserve">os territorios históricamente marginados y </w:t>
            </w:r>
            <w:r w:rsidR="00587E95" w:rsidRPr="00772028">
              <w:rPr>
                <w:rFonts w:ascii="Verdana" w:eastAsia="Calibri" w:hAnsi="Verdana" w:cs="Arial"/>
                <w:lang w:eastAsia="en-US"/>
              </w:rPr>
              <w:t>aquellos</w:t>
            </w:r>
            <w:r w:rsidR="00E34116" w:rsidRPr="00772028">
              <w:rPr>
                <w:rFonts w:ascii="Verdana" w:eastAsia="Calibri" w:hAnsi="Verdana" w:cs="Arial"/>
                <w:lang w:eastAsia="en-US"/>
              </w:rPr>
              <w:t xml:space="preserve"> de origen informal</w:t>
            </w:r>
            <w:r w:rsidR="00587E95" w:rsidRPr="00772028">
              <w:rPr>
                <w:rFonts w:ascii="Verdana" w:eastAsia="Calibri" w:hAnsi="Verdana" w:cs="Arial"/>
                <w:lang w:eastAsia="en-US"/>
              </w:rPr>
              <w:t>.</w:t>
            </w:r>
          </w:p>
          <w:p w14:paraId="74705683" w14:textId="77777777" w:rsidR="00245163" w:rsidRPr="00772028" w:rsidRDefault="00245163" w:rsidP="00751854">
            <w:pPr>
              <w:autoSpaceDE w:val="0"/>
              <w:autoSpaceDN w:val="0"/>
              <w:adjustRightInd w:val="0"/>
              <w:jc w:val="both"/>
              <w:rPr>
                <w:rFonts w:ascii="Verdana" w:eastAsia="Calibri" w:hAnsi="Verdana" w:cs="Arial"/>
                <w:lang w:eastAsia="en-US"/>
              </w:rPr>
            </w:pPr>
          </w:p>
          <w:p w14:paraId="72E7D19A" w14:textId="2E769EB1" w:rsidR="0002462D" w:rsidRPr="00CA54FD" w:rsidRDefault="00E809EC" w:rsidP="00751854">
            <w:pPr>
              <w:autoSpaceDE w:val="0"/>
              <w:autoSpaceDN w:val="0"/>
              <w:adjustRightInd w:val="0"/>
              <w:jc w:val="both"/>
              <w:rPr>
                <w:rFonts w:ascii="Verdana" w:hAnsi="Verdana"/>
                <w:color w:val="000000"/>
              </w:rPr>
            </w:pPr>
            <w:r w:rsidRPr="00CA54FD">
              <w:rPr>
                <w:rFonts w:ascii="Verdana" w:eastAsia="Calibri" w:hAnsi="Verdana" w:cs="Arial"/>
                <w:lang w:eastAsia="en-US"/>
              </w:rPr>
              <w:t>Ahora bien, e</w:t>
            </w:r>
            <w:r w:rsidR="00245163" w:rsidRPr="00CA54FD">
              <w:rPr>
                <w:rFonts w:ascii="Verdana" w:eastAsia="Calibri" w:hAnsi="Verdana" w:cs="Arial"/>
                <w:lang w:eastAsia="en-US"/>
              </w:rPr>
              <w:t xml:space="preserve">n términos operativos, </w:t>
            </w:r>
            <w:r w:rsidR="00245163" w:rsidRPr="00CA54FD">
              <w:rPr>
                <w:rFonts w:ascii="Verdana" w:hAnsi="Verdana"/>
                <w:color w:val="000000"/>
              </w:rPr>
              <w:t>se contempla la implementación de distint</w:t>
            </w:r>
            <w:r w:rsidR="00FA3942" w:rsidRPr="00CA54FD">
              <w:rPr>
                <w:rFonts w:ascii="Verdana" w:hAnsi="Verdana"/>
                <w:color w:val="000000"/>
              </w:rPr>
              <w:t>o</w:t>
            </w:r>
            <w:r w:rsidR="00245163" w:rsidRPr="00CA54FD">
              <w:rPr>
                <w:rFonts w:ascii="Verdana" w:hAnsi="Verdana"/>
                <w:color w:val="000000"/>
              </w:rPr>
              <w:t xml:space="preserve">s </w:t>
            </w:r>
            <w:r w:rsidR="00CA54FD" w:rsidRPr="00CA54FD">
              <w:rPr>
                <w:rFonts w:ascii="Verdana" w:hAnsi="Verdana"/>
                <w:color w:val="000000"/>
              </w:rPr>
              <w:t>esquemas</w:t>
            </w:r>
            <w:r w:rsidR="00245163" w:rsidRPr="00CA54FD">
              <w:rPr>
                <w:rFonts w:ascii="Verdana" w:hAnsi="Verdana"/>
                <w:color w:val="000000"/>
              </w:rPr>
              <w:t xml:space="preserve"> para ejecutar los mejoramientos de vivienda, tales como:</w:t>
            </w:r>
          </w:p>
          <w:p w14:paraId="49584E07" w14:textId="77777777" w:rsidR="003D707F" w:rsidRPr="00CA54FD" w:rsidRDefault="003D707F" w:rsidP="00751854">
            <w:pPr>
              <w:autoSpaceDE w:val="0"/>
              <w:autoSpaceDN w:val="0"/>
              <w:adjustRightInd w:val="0"/>
              <w:jc w:val="both"/>
              <w:rPr>
                <w:rFonts w:ascii="Verdana" w:hAnsi="Verdana"/>
                <w:color w:val="000000"/>
              </w:rPr>
            </w:pPr>
          </w:p>
          <w:p w14:paraId="03774B61" w14:textId="08D706D2" w:rsidR="003D707F" w:rsidRPr="00CA54FD" w:rsidRDefault="003D707F" w:rsidP="003D707F">
            <w:pPr>
              <w:pStyle w:val="Prrafodelista"/>
              <w:numPr>
                <w:ilvl w:val="0"/>
                <w:numId w:val="7"/>
              </w:numPr>
              <w:jc w:val="both"/>
              <w:rPr>
                <w:rFonts w:ascii="Verdana" w:hAnsi="Verdana" w:cs="Calibri Light"/>
                <w:sz w:val="20"/>
                <w:szCs w:val="20"/>
              </w:rPr>
            </w:pPr>
            <w:r w:rsidRPr="00CA54FD">
              <w:rPr>
                <w:rFonts w:ascii="Verdana" w:hAnsi="Verdana" w:cs="Arial"/>
                <w:b/>
                <w:bCs/>
                <w:sz w:val="20"/>
                <w:szCs w:val="20"/>
              </w:rPr>
              <w:t>Gestión comunitaria:</w:t>
            </w:r>
            <w:r w:rsidRPr="00CA54FD">
              <w:rPr>
                <w:rFonts w:ascii="Verdana" w:hAnsi="Verdana" w:cs="Arial"/>
                <w:sz w:val="20"/>
                <w:szCs w:val="20"/>
              </w:rPr>
              <w:t xml:space="preserve"> FONVIVIENDA </w:t>
            </w:r>
            <w:r w:rsidRPr="00CA54FD">
              <w:rPr>
                <w:rFonts w:ascii="Verdana" w:hAnsi="Verdana" w:cs="Calibri Light"/>
                <w:sz w:val="20"/>
                <w:szCs w:val="20"/>
              </w:rPr>
              <w:t xml:space="preserve">convocará a los actores populares y/o comunitarios, como </w:t>
            </w:r>
            <w:r w:rsidRPr="00CA54FD">
              <w:rPr>
                <w:rFonts w:ascii="Verdana" w:hAnsi="Verdana"/>
                <w:sz w:val="20"/>
                <w:szCs w:val="20"/>
              </w:rPr>
              <w:t xml:space="preserve">organizaciones populares de vivienda (OPV), juntas de acción comunal, juntas de vivienda comunal, cooperativas, federaciones, asociaciones, organizaciones de trabajadores del sector de la construcción, comunidades étnicas, victimas, firmantes y campesinas, PYMES, entre otros, </w:t>
            </w:r>
            <w:r w:rsidRPr="00CA54FD">
              <w:rPr>
                <w:rFonts w:ascii="Verdana" w:hAnsi="Verdana" w:cs="Calibri Light"/>
                <w:sz w:val="20"/>
                <w:szCs w:val="20"/>
              </w:rPr>
              <w:t xml:space="preserve">con el fin de postular los hogares y ejecutar los subsidios familiares de vivienda asignados por FONVIVIENDA en la modalidad de mejoramiento. </w:t>
            </w:r>
            <w:r w:rsidR="00CA54FD" w:rsidRPr="00CA54FD">
              <w:rPr>
                <w:rFonts w:ascii="Verdana" w:hAnsi="Verdana" w:cs="Arial"/>
                <w:sz w:val="20"/>
                <w:szCs w:val="20"/>
              </w:rPr>
              <w:t>Este esquema permite que Fonvivienda adquiera mejoramientos que se desarrollen con esfuerzos de otros actores del sector, en la gestión de mejoramientos, desarrollo y ejecución de las comunidades, Cajas de Compensación Familiar, entidades territoriales, entidades del sector privado y asociaciones público-populares.</w:t>
            </w:r>
          </w:p>
          <w:p w14:paraId="40BB791B" w14:textId="51F1BA8D" w:rsidR="003D707F" w:rsidRPr="00CA54FD" w:rsidRDefault="003D707F" w:rsidP="00CA54FD">
            <w:pPr>
              <w:pStyle w:val="Prrafodelista"/>
              <w:numPr>
                <w:ilvl w:val="0"/>
                <w:numId w:val="7"/>
              </w:numPr>
              <w:autoSpaceDE w:val="0"/>
              <w:autoSpaceDN w:val="0"/>
              <w:adjustRightInd w:val="0"/>
              <w:jc w:val="both"/>
              <w:rPr>
                <w:rFonts w:ascii="Verdana" w:hAnsi="Verdana" w:cs="Arial"/>
                <w:sz w:val="20"/>
                <w:szCs w:val="20"/>
              </w:rPr>
            </w:pPr>
            <w:r w:rsidRPr="00CA54FD">
              <w:rPr>
                <w:rFonts w:ascii="Verdana" w:hAnsi="Verdana" w:cs="Calibri Light"/>
                <w:b/>
                <w:bCs/>
                <w:sz w:val="20"/>
                <w:szCs w:val="20"/>
              </w:rPr>
              <w:t>Asociativo:</w:t>
            </w:r>
            <w:r w:rsidRPr="00CA54FD">
              <w:rPr>
                <w:rFonts w:ascii="Verdana" w:hAnsi="Verdana" w:cs="Calibri Light"/>
                <w:sz w:val="20"/>
                <w:szCs w:val="20"/>
              </w:rPr>
              <w:t xml:space="preserve">  FONVIVIENDA convocará a las entidades territoriales y/o sus entidades descentralizadas, con el fin de cofinanciar la asignación y ejecución de subsidios familiares de vivienda en la modalidad de mejoramiento. </w:t>
            </w:r>
            <w:r w:rsidR="00CA54FD" w:rsidRPr="00CA54FD">
              <w:rPr>
                <w:rFonts w:ascii="Verdana" w:hAnsi="Verdana" w:cs="Arial"/>
                <w:sz w:val="20"/>
                <w:szCs w:val="20"/>
              </w:rPr>
              <w:t>A través de esta modalidad se aunarán esfuerzos con organizaciones sin ánimo de lucro (fundaciones) y entidades territoriales que ejecuten mejoramientos dirigidos a atender la población focalizada por el Ministerio de Vivienda, Ciudad y Territorio.</w:t>
            </w:r>
          </w:p>
          <w:p w14:paraId="33A5AE72" w14:textId="63799D0E" w:rsidR="00245163" w:rsidRPr="00CA54FD" w:rsidRDefault="003D707F" w:rsidP="00CA54FD">
            <w:pPr>
              <w:pStyle w:val="Prrafodelista"/>
              <w:numPr>
                <w:ilvl w:val="0"/>
                <w:numId w:val="7"/>
              </w:numPr>
              <w:spacing w:after="0" w:line="240" w:lineRule="auto"/>
              <w:ind w:right="-30"/>
              <w:contextualSpacing w:val="0"/>
              <w:jc w:val="both"/>
              <w:rPr>
                <w:rFonts w:ascii="Verdana" w:hAnsi="Verdana" w:cs="Arial"/>
                <w:sz w:val="20"/>
                <w:szCs w:val="20"/>
              </w:rPr>
            </w:pPr>
            <w:r w:rsidRPr="00CA54FD">
              <w:rPr>
                <w:rFonts w:ascii="Verdana" w:hAnsi="Verdana" w:cs="Calibri Light"/>
                <w:b/>
                <w:bCs/>
                <w:sz w:val="20"/>
                <w:szCs w:val="20"/>
              </w:rPr>
              <w:t>Público</w:t>
            </w:r>
            <w:r w:rsidRPr="00CA54FD">
              <w:rPr>
                <w:rFonts w:ascii="Verdana" w:hAnsi="Verdana" w:cs="Calibri Light"/>
                <w:b/>
                <w:bCs/>
                <w:sz w:val="20"/>
                <w:szCs w:val="20"/>
                <w:lang w:val="es-MX"/>
              </w:rPr>
              <w:t>:</w:t>
            </w:r>
            <w:r w:rsidRPr="00CA54FD">
              <w:rPr>
                <w:rFonts w:ascii="Verdana" w:hAnsi="Verdana" w:cs="Calibri Light"/>
                <w:sz w:val="20"/>
                <w:szCs w:val="20"/>
              </w:rPr>
              <w:t> </w:t>
            </w:r>
            <w:r w:rsidRPr="00CA54FD">
              <w:rPr>
                <w:rStyle w:val="normaltextrun"/>
                <w:rFonts w:ascii="Verdana" w:hAnsi="Verdana" w:cs="Calibri Light"/>
                <w:sz w:val="20"/>
                <w:szCs w:val="20"/>
              </w:rPr>
              <w:t xml:space="preserve">FONVIVIENDA </w:t>
            </w:r>
            <w:r w:rsidRPr="00CA54FD">
              <w:rPr>
                <w:rStyle w:val="normaltextrun"/>
                <w:rFonts w:ascii="Verdana" w:hAnsi="Verdana" w:cs="Calibri Light"/>
                <w:sz w:val="20"/>
                <w:szCs w:val="20"/>
                <w:lang w:val="es-ES"/>
              </w:rPr>
              <w:t>contratará la ejecución de</w:t>
            </w:r>
            <w:r w:rsidRPr="00CA54FD">
              <w:rPr>
                <w:rStyle w:val="normaltextrun"/>
                <w:rFonts w:ascii="Verdana" w:hAnsi="Verdana" w:cs="Calibri Light"/>
                <w:sz w:val="20"/>
                <w:szCs w:val="20"/>
              </w:rPr>
              <w:t xml:space="preserve"> los </w:t>
            </w:r>
            <w:r w:rsidRPr="00CA54FD">
              <w:rPr>
                <w:rStyle w:val="normaltextrun"/>
                <w:rFonts w:ascii="Verdana" w:hAnsi="Verdana" w:cs="Calibri Light"/>
                <w:sz w:val="20"/>
                <w:szCs w:val="20"/>
                <w:lang w:val="es-ES"/>
              </w:rPr>
              <w:t>mejoramientos de vivienda en las zonas focalizadas por el Ministerio de Vivienda, Ciudad y Territorio.</w:t>
            </w:r>
            <w:r w:rsidR="00E54D23" w:rsidRPr="00CA54FD">
              <w:rPr>
                <w:rStyle w:val="normaltextrun"/>
                <w:rFonts w:ascii="Verdana" w:hAnsi="Verdana" w:cs="Calibri Light"/>
                <w:sz w:val="20"/>
                <w:szCs w:val="20"/>
                <w:lang w:val="es-ES"/>
              </w:rPr>
              <w:t xml:space="preserve"> </w:t>
            </w:r>
            <w:r w:rsidR="00245163" w:rsidRPr="00CA54FD">
              <w:rPr>
                <w:rFonts w:ascii="Verdana" w:hAnsi="Verdana" w:cs="Arial"/>
                <w:sz w:val="20"/>
                <w:szCs w:val="20"/>
              </w:rPr>
              <w:t>Con este sistema se desarrollarán intervenciones 100% subsidiadas o subsidiadas parcialmente (contando con una contrapartida de las entidades territoriales) por Fonvivienda. El esquema operativo de esta modalidad será la contratación de obras a través del patrimonio autónomo de Fonvivienda, previa determinación de los municipios en los que se realizarán las intervenciones, por parte del Ministerio de Vivienda, Ciudad y Territorio.</w:t>
            </w:r>
          </w:p>
          <w:p w14:paraId="20355447" w14:textId="77777777" w:rsidR="0045596A" w:rsidRDefault="0045596A" w:rsidP="00751854">
            <w:pPr>
              <w:autoSpaceDE w:val="0"/>
              <w:autoSpaceDN w:val="0"/>
              <w:adjustRightInd w:val="0"/>
              <w:jc w:val="both"/>
              <w:rPr>
                <w:rFonts w:ascii="Verdana" w:eastAsia="Calibri" w:hAnsi="Verdana" w:cs="Arial"/>
                <w:b/>
                <w:bCs/>
                <w:lang w:val="es-CO" w:eastAsia="en-US"/>
              </w:rPr>
            </w:pPr>
          </w:p>
          <w:p w14:paraId="7CE6048C" w14:textId="3039A5F6" w:rsidR="00245163" w:rsidRPr="00772028" w:rsidRDefault="00245163" w:rsidP="00751854">
            <w:pPr>
              <w:autoSpaceDE w:val="0"/>
              <w:autoSpaceDN w:val="0"/>
              <w:adjustRightInd w:val="0"/>
              <w:jc w:val="both"/>
              <w:rPr>
                <w:rFonts w:ascii="Verdana" w:eastAsia="Calibri" w:hAnsi="Verdana" w:cs="Arial"/>
                <w:lang w:val="es-CO" w:eastAsia="en-US"/>
              </w:rPr>
            </w:pPr>
            <w:r w:rsidRPr="00772028">
              <w:rPr>
                <w:rFonts w:ascii="Verdana" w:eastAsia="Calibri" w:hAnsi="Verdana" w:cs="Arial"/>
                <w:lang w:val="es-CO" w:eastAsia="en-US"/>
              </w:rPr>
              <w:t>En materia de focalización a nivel de hogar, el programa busca llegar a la población más vulnerable</w:t>
            </w:r>
            <w:r w:rsidR="00D258B9">
              <w:rPr>
                <w:rFonts w:ascii="Verdana" w:eastAsia="Calibri" w:hAnsi="Verdana" w:cs="Arial"/>
                <w:lang w:val="es-CO" w:eastAsia="en-US"/>
              </w:rPr>
              <w:t>;</w:t>
            </w:r>
            <w:r w:rsidRPr="00772028">
              <w:rPr>
                <w:rFonts w:ascii="Verdana" w:eastAsia="Calibri" w:hAnsi="Verdana" w:cs="Arial"/>
                <w:lang w:val="es-CO" w:eastAsia="en-US"/>
              </w:rPr>
              <w:t xml:space="preserve"> </w:t>
            </w:r>
            <w:r w:rsidR="00D258B9">
              <w:rPr>
                <w:rFonts w:ascii="Verdana" w:eastAsia="Calibri" w:hAnsi="Verdana" w:cs="Arial"/>
                <w:lang w:val="es-CO" w:eastAsia="en-US"/>
              </w:rPr>
              <w:t>por tanto,</w:t>
            </w:r>
            <w:r w:rsidRPr="00772028">
              <w:rPr>
                <w:rFonts w:ascii="Verdana" w:eastAsia="Calibri" w:hAnsi="Verdana" w:cs="Arial"/>
                <w:lang w:val="es-CO" w:eastAsia="en-US"/>
              </w:rPr>
              <w:t xml:space="preserve"> se utilizará el </w:t>
            </w:r>
            <w:r w:rsidRPr="00772028">
              <w:rPr>
                <w:rFonts w:ascii="Verdana" w:eastAsia="Calibri" w:hAnsi="Verdana" w:cs="Arial"/>
              </w:rPr>
              <w:t>Sistema de Identificación de Potenciales Beneficiarios de Programas Sociales (Sisbén)</w:t>
            </w:r>
            <w:r w:rsidRPr="00772028">
              <w:rPr>
                <w:rFonts w:ascii="Verdana" w:eastAsia="Calibri" w:hAnsi="Verdana" w:cs="Arial"/>
                <w:lang w:val="es-CO" w:eastAsia="en-US"/>
              </w:rPr>
              <w:t xml:space="preserve">, en su versión IV, como medio de verificación de vulnerabilidad en todas las modalidades. Ya que, </w:t>
            </w:r>
            <w:r w:rsidRPr="00772028">
              <w:rPr>
                <w:rFonts w:ascii="Verdana" w:eastAsia="Calibri" w:hAnsi="Verdana" w:cs="Arial"/>
              </w:rPr>
              <w:t xml:space="preserve">a través de la base de datos del Sisbén </w:t>
            </w:r>
            <w:r w:rsidR="00D932B6">
              <w:rPr>
                <w:rFonts w:ascii="Verdana" w:eastAsia="Calibri" w:hAnsi="Verdana" w:cs="Arial"/>
              </w:rPr>
              <w:t xml:space="preserve">IV </w:t>
            </w:r>
            <w:r w:rsidRPr="00772028">
              <w:rPr>
                <w:rFonts w:ascii="Verdana" w:eastAsia="Calibri" w:hAnsi="Verdana" w:cs="Arial"/>
              </w:rPr>
              <w:t xml:space="preserve">es posible evaluar las condiciones de los hogares, ya que esta herramienta clasifica a los hogares de acuerdo con sus condiciones de vida, además de sus ingresos. </w:t>
            </w:r>
            <w:r w:rsidRPr="00772028">
              <w:rPr>
                <w:rFonts w:ascii="Verdana" w:eastAsia="Calibri" w:hAnsi="Verdana" w:cs="Arial"/>
                <w:lang w:val="es-CO" w:eastAsia="en-US"/>
              </w:rPr>
              <w:t xml:space="preserve"> </w:t>
            </w:r>
          </w:p>
          <w:p w14:paraId="1F497848" w14:textId="77777777" w:rsidR="00245163" w:rsidRPr="00772028" w:rsidRDefault="00245163" w:rsidP="00751854">
            <w:pPr>
              <w:autoSpaceDE w:val="0"/>
              <w:autoSpaceDN w:val="0"/>
              <w:adjustRightInd w:val="0"/>
              <w:jc w:val="both"/>
              <w:rPr>
                <w:rFonts w:ascii="Verdana" w:eastAsia="Calibri" w:hAnsi="Verdana" w:cs="Arial"/>
                <w:lang w:val="es-CO" w:eastAsia="en-US"/>
              </w:rPr>
            </w:pPr>
          </w:p>
          <w:p w14:paraId="60981ABA" w14:textId="77777777" w:rsidR="00245163" w:rsidRDefault="00245163" w:rsidP="00751854">
            <w:pPr>
              <w:autoSpaceDE w:val="0"/>
              <w:autoSpaceDN w:val="0"/>
              <w:adjustRightInd w:val="0"/>
              <w:jc w:val="both"/>
              <w:rPr>
                <w:rFonts w:ascii="Verdana" w:eastAsia="Calibri" w:hAnsi="Verdana" w:cs="Arial"/>
                <w:lang w:eastAsia="en-US"/>
              </w:rPr>
            </w:pPr>
            <w:r w:rsidRPr="00772028">
              <w:rPr>
                <w:rFonts w:ascii="Verdana" w:eastAsia="Calibri" w:hAnsi="Verdana" w:cs="Arial"/>
                <w:lang w:eastAsia="en-US"/>
              </w:rPr>
              <w:t xml:space="preserve">En la cuarta versión de esta herramienta, el Sisbén IV clasifica a los hogares encuestados en 4 grupos y 51 subgrupos o niveles, y no en puntajes como se hacía en Sisbén III. En el grupo A se encuentra la </w:t>
            </w:r>
            <w:r w:rsidRPr="00772028">
              <w:rPr>
                <w:rFonts w:ascii="Verdana" w:eastAsia="Calibri" w:hAnsi="Verdana" w:cs="Arial"/>
                <w:lang w:eastAsia="en-US"/>
              </w:rPr>
              <w:lastRenderedPageBreak/>
              <w:t xml:space="preserve">población en pobreza extrema. Este grupo está conformado por 5 subgrupos, desde A1 hasta A5.  En el grupo B se encuentra la población en pobreza moderada. Este grupo está conformado por 7 subgrupos, desde B1 hasta B7. En el grupo C se encuentra la población vulnerable, es decir, en riesgo de caer en pobreza. Este grupo está conformado por 18 subgrupos, desde C1 hasta C18. Finalmente, en el grupo D se clasifica la población no pobre ni vulnerable. Este grupo está conformado por 21 subgrupos, desde D1 hasta D21.  </w:t>
            </w:r>
          </w:p>
          <w:p w14:paraId="46CB991B" w14:textId="77777777" w:rsidR="00E06308" w:rsidRDefault="00E06308" w:rsidP="00751854">
            <w:pPr>
              <w:autoSpaceDE w:val="0"/>
              <w:autoSpaceDN w:val="0"/>
              <w:adjustRightInd w:val="0"/>
              <w:jc w:val="both"/>
              <w:rPr>
                <w:rFonts w:ascii="Verdana" w:eastAsia="Calibri" w:hAnsi="Verdana" w:cs="Arial"/>
                <w:lang w:eastAsia="en-US"/>
              </w:rPr>
            </w:pPr>
          </w:p>
          <w:p w14:paraId="6A39C8D2" w14:textId="4B58F7BC" w:rsidR="00E06308" w:rsidRPr="00A954BA" w:rsidRDefault="00A954BA" w:rsidP="00E06308">
            <w:pPr>
              <w:autoSpaceDE w:val="0"/>
              <w:autoSpaceDN w:val="0"/>
              <w:adjustRightInd w:val="0"/>
              <w:jc w:val="both"/>
              <w:rPr>
                <w:rFonts w:ascii="Verdana" w:eastAsia="Calibri" w:hAnsi="Verdana" w:cs="Arial"/>
                <w:lang w:val="es-CO" w:eastAsia="en-US"/>
              </w:rPr>
            </w:pPr>
            <w:r w:rsidRPr="00A954BA">
              <w:rPr>
                <w:rFonts w:ascii="Verdana" w:eastAsia="Calibri" w:hAnsi="Verdana" w:cs="Arial"/>
                <w:lang w:val="es-CO" w:eastAsia="en-US"/>
              </w:rPr>
              <w:t>Finalmente, p</w:t>
            </w:r>
            <w:r w:rsidR="00E06308" w:rsidRPr="00A954BA">
              <w:rPr>
                <w:rFonts w:ascii="Verdana" w:eastAsia="Calibri" w:hAnsi="Verdana" w:cs="Arial"/>
                <w:lang w:val="es-CO" w:eastAsia="en-US"/>
              </w:rPr>
              <w:t>ara definir los valores del subsidio familiar de vivienda en la modalidad de mejoramiento se realizó un ejercicio comparativo de costos con distintas entidades del orden territorial idóneas en ejecución de programas de mejoramiento de vivienda, con el propósito de evaluar el alcance de las intervenciones a realizar en las viviendas que presentaban vulnerabilidad y carencias de carácter locativo.</w:t>
            </w:r>
          </w:p>
          <w:p w14:paraId="45DA194C" w14:textId="77777777" w:rsidR="00E06308" w:rsidRPr="00A954BA" w:rsidRDefault="00E06308" w:rsidP="00E06308">
            <w:pPr>
              <w:autoSpaceDE w:val="0"/>
              <w:autoSpaceDN w:val="0"/>
              <w:adjustRightInd w:val="0"/>
              <w:jc w:val="both"/>
              <w:rPr>
                <w:rFonts w:ascii="Verdana" w:eastAsia="Calibri" w:hAnsi="Verdana" w:cs="Arial"/>
                <w:lang w:val="es-CO" w:eastAsia="en-US"/>
              </w:rPr>
            </w:pPr>
          </w:p>
          <w:p w14:paraId="5B095FDC" w14:textId="4EB97B74" w:rsidR="00E06308" w:rsidRDefault="00E06308" w:rsidP="00E06308">
            <w:pPr>
              <w:autoSpaceDE w:val="0"/>
              <w:autoSpaceDN w:val="0"/>
              <w:adjustRightInd w:val="0"/>
              <w:jc w:val="both"/>
              <w:rPr>
                <w:rFonts w:ascii="Verdana" w:eastAsia="Calibri" w:hAnsi="Verdana" w:cs="Arial"/>
                <w:lang w:val="es-CO" w:eastAsia="en-US"/>
              </w:rPr>
            </w:pPr>
            <w:r w:rsidRPr="00A954BA">
              <w:rPr>
                <w:rFonts w:ascii="Verdana" w:eastAsia="Calibri" w:hAnsi="Verdana" w:cs="Arial"/>
                <w:lang w:val="es-CO" w:eastAsia="en-US"/>
              </w:rPr>
              <w:t xml:space="preserve">Específicamente, se evaluaron costos, cantidades y especificaciones técnicas para la ejecución de intervenciones por área o espacio de la vivienda (baño, cocina, alcobas, zona social, patio de ropas), determinando de esta manera el alcance del presupuesto. En todo caso, y dependiendo de las condiciones de las viviendas, el valor del subsidio permite superar carencias de manera progresiva, llegando siempre en los presupuestos hasta el tope </w:t>
            </w:r>
            <w:r w:rsidR="00CC3410" w:rsidRPr="00A954BA">
              <w:rPr>
                <w:rFonts w:ascii="Verdana" w:eastAsia="Calibri" w:hAnsi="Verdana" w:cs="Arial"/>
                <w:lang w:val="es-CO" w:eastAsia="en-US"/>
              </w:rPr>
              <w:t>de este</w:t>
            </w:r>
            <w:r w:rsidRPr="00A954BA">
              <w:rPr>
                <w:rFonts w:ascii="Verdana" w:eastAsia="Calibri" w:hAnsi="Verdana" w:cs="Arial"/>
                <w:lang w:val="es-CO" w:eastAsia="en-US"/>
              </w:rPr>
              <w:t xml:space="preserve"> a la hora de realizar los diagnósticos.</w:t>
            </w:r>
          </w:p>
          <w:p w14:paraId="209D21A6" w14:textId="77777777" w:rsidR="00C63DAC" w:rsidRDefault="00C63DAC" w:rsidP="00E06308">
            <w:pPr>
              <w:autoSpaceDE w:val="0"/>
              <w:autoSpaceDN w:val="0"/>
              <w:adjustRightInd w:val="0"/>
              <w:jc w:val="both"/>
              <w:rPr>
                <w:rFonts w:ascii="Verdana" w:eastAsia="Calibri" w:hAnsi="Verdana" w:cs="Arial"/>
                <w:lang w:val="es-CO" w:eastAsia="en-US"/>
              </w:rPr>
            </w:pPr>
          </w:p>
          <w:p w14:paraId="464630BB" w14:textId="0B8F5710" w:rsidR="00C80765" w:rsidRPr="0019678D" w:rsidRDefault="003F4DC7" w:rsidP="00D932B6">
            <w:pPr>
              <w:autoSpaceDE w:val="0"/>
              <w:autoSpaceDN w:val="0"/>
              <w:adjustRightInd w:val="0"/>
              <w:jc w:val="both"/>
              <w:rPr>
                <w:rFonts w:ascii="Verdana" w:eastAsia="Calibri" w:hAnsi="Verdana" w:cs="Arial"/>
                <w:i/>
                <w:lang w:val="es-CO" w:eastAsia="en-US"/>
              </w:rPr>
            </w:pPr>
            <w:r>
              <w:rPr>
                <w:rFonts w:ascii="Verdana" w:eastAsia="Calibri" w:hAnsi="Verdana" w:cs="Arial"/>
                <w:lang w:val="es-CO" w:eastAsia="en-US"/>
              </w:rPr>
              <w:t xml:space="preserve">Finalmente, se aclara que el proyecto de Decreto surtió las </w:t>
            </w:r>
            <w:r w:rsidRPr="003F4DC7">
              <w:rPr>
                <w:rFonts w:ascii="Verdana" w:eastAsia="Calibri" w:hAnsi="Verdana" w:cs="Arial"/>
                <w:lang w:val="es-CO" w:eastAsia="en-US"/>
              </w:rPr>
              <w:t>formalidades previstas en los numerales 3 y 8 del artículo 8 del Código de Procedimiento Administrativo y de lo Contencioso Administrativo, y del artículo 2.1.2.1.14 del Decreto 1081 de 2015</w:t>
            </w:r>
            <w:r>
              <w:rPr>
                <w:rFonts w:ascii="Verdana" w:eastAsia="Calibri" w:hAnsi="Verdana" w:cs="Arial"/>
                <w:lang w:val="es-CO" w:eastAsia="en-US"/>
              </w:rPr>
              <w:t xml:space="preserve"> bajo el epígrafe </w:t>
            </w:r>
            <w:r w:rsidRPr="005C2388">
              <w:rPr>
                <w:rFonts w:ascii="Verdana" w:eastAsia="Calibri" w:hAnsi="Verdana" w:cs="Arial"/>
                <w:i/>
                <w:iCs/>
                <w:lang w:val="es-CO" w:eastAsia="en-US"/>
              </w:rPr>
              <w:t>“</w:t>
            </w:r>
            <w:r w:rsidRPr="005C2388">
              <w:rPr>
                <w:rFonts w:ascii="Verdana" w:hAnsi="Verdana" w:cs="Arial"/>
                <w:i/>
                <w:iCs/>
              </w:rPr>
              <w:t xml:space="preserve">Por el cual se modifica el Decreto 1077 de 2015 en lo relativo al subsidio familiar de vivienda en la modalidad de mejoramiento en el marco del programa “Cambia Mi Casa”. </w:t>
            </w:r>
            <w:r>
              <w:rPr>
                <w:rFonts w:ascii="Verdana" w:hAnsi="Verdana" w:cs="Arial"/>
                <w:iCs/>
              </w:rPr>
              <w:t>Sin embargo, en aras de garantizar claridad, respetar la técnica normativa y d</w:t>
            </w:r>
            <w:r w:rsidRPr="005C2388">
              <w:rPr>
                <w:rFonts w:ascii="Verdana" w:hAnsi="Verdana" w:cs="Arial"/>
                <w:iCs/>
              </w:rPr>
              <w:t>otar de seguridad jurídica a los destinatarios de la norma</w:t>
            </w:r>
            <w:r>
              <w:rPr>
                <w:rFonts w:ascii="Verdana" w:hAnsi="Verdana" w:cs="Arial"/>
                <w:iCs/>
              </w:rPr>
              <w:t>, se ajusta el epígrafe a</w:t>
            </w:r>
            <w:r w:rsidR="005C2388">
              <w:rPr>
                <w:rFonts w:ascii="Verdana" w:hAnsi="Verdana" w:cs="Arial"/>
                <w:iCs/>
              </w:rPr>
              <w:t>:</w:t>
            </w:r>
            <w:r>
              <w:rPr>
                <w:rFonts w:ascii="Verdana" w:hAnsi="Verdana" w:cs="Arial"/>
                <w:iCs/>
              </w:rPr>
              <w:t xml:space="preserve"> “</w:t>
            </w:r>
            <w:r w:rsidRPr="005C2388">
              <w:rPr>
                <w:rFonts w:ascii="Verdana" w:hAnsi="Verdana" w:cs="Arial"/>
                <w:i/>
              </w:rPr>
              <w:t>Por el cual se modifican los artículos 2.1.1.1.1.4.1.3, 2.1.1.1.1.1.8 y 2.1.10.1.2.2.2.; algunas disposiciones del Capítulo 7 del título 1 de la Parte 1 del Libro 2 y se adiciona la Sección 1 al Capítulo 7 del título 1 de la Parte 1 del Libro 2 del Decreto 1077 de 2015 Único Reglamentario del Sector Vivienda, Ciudad y Territorio, en lo relativo al subsidio familiar de vivienda en la modalidad de mejoramiento, en el marco del programa "Cambia Mi Casa".</w:t>
            </w:r>
          </w:p>
        </w:tc>
      </w:tr>
      <w:tr w:rsidR="00245163" w:rsidRPr="00772028" w14:paraId="252B5B0D" w14:textId="77777777" w:rsidTr="005B3AA8">
        <w:trPr>
          <w:trHeight w:val="47"/>
        </w:trPr>
        <w:tc>
          <w:tcPr>
            <w:tcW w:w="10774" w:type="dxa"/>
            <w:gridSpan w:val="3"/>
            <w:shd w:val="clear" w:color="auto" w:fill="FFFFFF"/>
            <w:vAlign w:val="center"/>
          </w:tcPr>
          <w:p w14:paraId="56D7858D" w14:textId="77777777" w:rsidR="00245163" w:rsidRPr="00772028" w:rsidRDefault="00245163" w:rsidP="00751854">
            <w:pPr>
              <w:jc w:val="both"/>
              <w:rPr>
                <w:rFonts w:ascii="Verdana" w:hAnsi="Verdana"/>
                <w:lang w:eastAsia="es-CO"/>
              </w:rPr>
            </w:pPr>
          </w:p>
        </w:tc>
      </w:tr>
      <w:tr w:rsidR="00245163" w:rsidRPr="00772028" w14:paraId="4E1D2A76" w14:textId="77777777" w:rsidTr="005B3AA8">
        <w:trPr>
          <w:trHeight w:val="66"/>
        </w:trPr>
        <w:tc>
          <w:tcPr>
            <w:tcW w:w="10774" w:type="dxa"/>
            <w:gridSpan w:val="3"/>
            <w:tcBorders>
              <w:top w:val="single" w:sz="4" w:space="0" w:color="auto"/>
              <w:bottom w:val="single" w:sz="4" w:space="0" w:color="auto"/>
            </w:tcBorders>
            <w:shd w:val="clear" w:color="auto" w:fill="FFFFFF"/>
            <w:vAlign w:val="center"/>
          </w:tcPr>
          <w:p w14:paraId="0B50B99F" w14:textId="14FB9C4E" w:rsidR="00245163" w:rsidRPr="00772028" w:rsidRDefault="00245163" w:rsidP="00726146">
            <w:pPr>
              <w:numPr>
                <w:ilvl w:val="0"/>
                <w:numId w:val="7"/>
              </w:numPr>
              <w:ind w:left="494"/>
              <w:rPr>
                <w:rFonts w:ascii="Verdana" w:hAnsi="Verdana" w:cs="Arial"/>
                <w:b/>
                <w:color w:val="000000"/>
              </w:rPr>
            </w:pPr>
            <w:r w:rsidRPr="00772028">
              <w:rPr>
                <w:rFonts w:ascii="Verdana" w:hAnsi="Verdana" w:cs="Arial"/>
                <w:b/>
                <w:color w:val="000000"/>
              </w:rPr>
              <w:t>AMBITO DE APLICACIÓN Y SUJETOS A QUIENES VA DIRIGIDO</w:t>
            </w:r>
          </w:p>
          <w:p w14:paraId="32EDCF92" w14:textId="77777777" w:rsidR="00245163" w:rsidRPr="00772028" w:rsidRDefault="00245163" w:rsidP="00751854">
            <w:pPr>
              <w:ind w:left="134"/>
              <w:jc w:val="both"/>
              <w:rPr>
                <w:rFonts w:ascii="Verdana" w:hAnsi="Verdana" w:cs="Arial"/>
                <w:i/>
                <w:color w:val="808080"/>
              </w:rPr>
            </w:pPr>
            <w:r w:rsidRPr="00772028">
              <w:rPr>
                <w:rFonts w:ascii="Verdana" w:hAnsi="Verdana" w:cs="Arial"/>
                <w:i/>
                <w:color w:val="808080"/>
              </w:rPr>
              <w:t xml:space="preserve"> (Por favor indique el ámbito de aplicación o sujetos obligados de la norma)</w:t>
            </w:r>
          </w:p>
          <w:p w14:paraId="6840E077" w14:textId="77777777" w:rsidR="00245163" w:rsidRPr="00772028" w:rsidRDefault="00245163" w:rsidP="00751854">
            <w:pPr>
              <w:jc w:val="both"/>
              <w:rPr>
                <w:rFonts w:ascii="Verdana" w:hAnsi="Verdana" w:cs="Arial"/>
                <w:bCs/>
                <w:color w:val="000000"/>
              </w:rPr>
            </w:pPr>
            <w:r w:rsidRPr="00772028">
              <w:rPr>
                <w:rFonts w:ascii="Verdana" w:hAnsi="Verdana" w:cs="Arial"/>
                <w:bCs/>
                <w:color w:val="000000"/>
              </w:rPr>
              <w:t>El presente proyecto normativo se aplicará en todo el territorio nacional y va dirigido a:</w:t>
            </w:r>
          </w:p>
          <w:p w14:paraId="1BF01990" w14:textId="77777777" w:rsidR="00245163" w:rsidRPr="00772028" w:rsidRDefault="00245163" w:rsidP="00751854">
            <w:pPr>
              <w:jc w:val="both"/>
              <w:rPr>
                <w:rFonts w:ascii="Verdana" w:hAnsi="Verdana" w:cs="Arial"/>
                <w:bCs/>
                <w:color w:val="000000"/>
              </w:rPr>
            </w:pPr>
          </w:p>
          <w:p w14:paraId="676094B3" w14:textId="77777777" w:rsidR="00245163" w:rsidRPr="00772028" w:rsidRDefault="00245163" w:rsidP="00751854">
            <w:pPr>
              <w:jc w:val="both"/>
              <w:rPr>
                <w:rFonts w:ascii="Verdana" w:hAnsi="Verdana"/>
                <w:bCs/>
              </w:rPr>
            </w:pPr>
            <w:r w:rsidRPr="00772028">
              <w:rPr>
                <w:rFonts w:ascii="Verdana" w:hAnsi="Verdana"/>
                <w:bCs/>
              </w:rPr>
              <w:t>Empresas constructoras</w:t>
            </w:r>
          </w:p>
          <w:p w14:paraId="7F357356" w14:textId="77777777" w:rsidR="00245163" w:rsidRPr="00772028" w:rsidRDefault="00245163" w:rsidP="00751854">
            <w:pPr>
              <w:jc w:val="both"/>
              <w:rPr>
                <w:rFonts w:ascii="Verdana" w:hAnsi="Verdana"/>
              </w:rPr>
            </w:pPr>
            <w:r w:rsidRPr="00772028">
              <w:rPr>
                <w:rFonts w:ascii="Verdana" w:hAnsi="Verdana"/>
              </w:rPr>
              <w:t>Potenciales beneficiarios del subsidio familiar de vivienda en modalidad de mejoramiento</w:t>
            </w:r>
          </w:p>
          <w:p w14:paraId="6E39167F" w14:textId="25F7D7C1" w:rsidR="00245163" w:rsidRPr="004431D5" w:rsidRDefault="00245163" w:rsidP="004431D5">
            <w:pPr>
              <w:jc w:val="both"/>
              <w:rPr>
                <w:rFonts w:ascii="Verdana" w:hAnsi="Verdana" w:cs="Arial"/>
                <w:bCs/>
                <w:color w:val="000000"/>
              </w:rPr>
            </w:pPr>
            <w:r w:rsidRPr="00772028">
              <w:rPr>
                <w:rFonts w:ascii="Verdana" w:hAnsi="Verdana"/>
                <w:bCs/>
              </w:rPr>
              <w:t>Entidades territoriales</w:t>
            </w:r>
          </w:p>
          <w:p w14:paraId="1F20F329" w14:textId="77777777" w:rsidR="00245163" w:rsidRPr="00772028" w:rsidRDefault="00245163" w:rsidP="00751854">
            <w:pPr>
              <w:rPr>
                <w:rFonts w:ascii="Verdana" w:hAnsi="Verdana" w:cs="Arial"/>
                <w:iCs/>
                <w:color w:val="000000"/>
              </w:rPr>
            </w:pPr>
          </w:p>
        </w:tc>
      </w:tr>
      <w:tr w:rsidR="00245163" w:rsidRPr="00772028" w14:paraId="4DDDA74D" w14:textId="77777777" w:rsidTr="005B3AA8">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13233D" w14:textId="77777777" w:rsidR="00245163" w:rsidRPr="00772028" w:rsidRDefault="00245163" w:rsidP="00726146">
            <w:pPr>
              <w:numPr>
                <w:ilvl w:val="0"/>
                <w:numId w:val="7"/>
              </w:numPr>
              <w:ind w:left="494"/>
              <w:rPr>
                <w:rFonts w:ascii="Verdana" w:hAnsi="Verdana" w:cs="Arial"/>
                <w:b/>
                <w:color w:val="000000"/>
              </w:rPr>
            </w:pPr>
            <w:r w:rsidRPr="00772028">
              <w:rPr>
                <w:rFonts w:ascii="Verdana" w:hAnsi="Verdana" w:cs="Arial"/>
                <w:b/>
                <w:color w:val="000000"/>
              </w:rPr>
              <w:t xml:space="preserve">IMPACTO ECONÓMICO </w:t>
            </w:r>
            <w:r w:rsidRPr="00772028">
              <w:rPr>
                <w:rFonts w:ascii="Verdana" w:hAnsi="Verdana" w:cs="Arial"/>
                <w:color w:val="000000"/>
              </w:rPr>
              <w:t>(Si se requiere)</w:t>
            </w:r>
          </w:p>
          <w:p w14:paraId="343BD658" w14:textId="77777777" w:rsidR="00245163" w:rsidRPr="00772028" w:rsidRDefault="00245163" w:rsidP="00751854">
            <w:pPr>
              <w:jc w:val="both"/>
              <w:rPr>
                <w:rFonts w:ascii="Verdana" w:hAnsi="Verdana" w:cs="Arial"/>
                <w:i/>
                <w:color w:val="808080"/>
              </w:rPr>
            </w:pPr>
            <w:r w:rsidRPr="00772028">
              <w:rPr>
                <w:rFonts w:ascii="Verdana" w:hAnsi="Verdana" w:cs="Arial"/>
                <w:i/>
                <w:color w:val="808080"/>
              </w:rPr>
              <w:t>(Por favor señale el costo o ahorro de la implementación del acto administrativo)</w:t>
            </w:r>
          </w:p>
          <w:p w14:paraId="769AB91E" w14:textId="77777777" w:rsidR="00245163" w:rsidRPr="00772028" w:rsidRDefault="00245163" w:rsidP="00751854">
            <w:pPr>
              <w:jc w:val="both"/>
              <w:rPr>
                <w:rFonts w:ascii="Verdana" w:hAnsi="Verdana" w:cs="Arial"/>
                <w:i/>
                <w:color w:val="808080"/>
              </w:rPr>
            </w:pPr>
          </w:p>
          <w:p w14:paraId="28BCBB38" w14:textId="5558D4DE" w:rsidR="00245163" w:rsidRPr="00C67FD2" w:rsidRDefault="00245163" w:rsidP="00751854">
            <w:pPr>
              <w:jc w:val="both"/>
              <w:rPr>
                <w:rFonts w:ascii="Verdana" w:hAnsi="Verdana" w:cs="Arial"/>
                <w:lang w:val="es-CO" w:eastAsia="es-CO"/>
              </w:rPr>
            </w:pPr>
            <w:r w:rsidRPr="00772028">
              <w:rPr>
                <w:rFonts w:ascii="Verdana" w:hAnsi="Verdana" w:cs="Arial"/>
                <w:lang w:val="es-CO" w:eastAsia="es-CO"/>
              </w:rPr>
              <w:t>El presente proyecto normativo tiene impacto económico</w:t>
            </w:r>
            <w:r w:rsidR="004431D5">
              <w:rPr>
                <w:rFonts w:ascii="Verdana" w:hAnsi="Verdana" w:cs="Arial"/>
                <w:lang w:val="es-CO" w:eastAsia="es-CO"/>
              </w:rPr>
              <w:t>, en tanto que incrementa los valores máximos de</w:t>
            </w:r>
            <w:r w:rsidR="00E21FCE">
              <w:rPr>
                <w:rFonts w:ascii="Verdana" w:hAnsi="Verdana" w:cs="Arial"/>
                <w:lang w:val="es-CO" w:eastAsia="es-CO"/>
              </w:rPr>
              <w:t xml:space="preserve"> los subsidios </w:t>
            </w:r>
            <w:r w:rsidR="004A1919">
              <w:rPr>
                <w:rFonts w:ascii="Verdana" w:hAnsi="Verdana" w:cs="Arial"/>
                <w:lang w:val="es-CO" w:eastAsia="es-CO"/>
              </w:rPr>
              <w:t xml:space="preserve">familiares de vivienda, </w:t>
            </w:r>
            <w:r w:rsidR="00E21FCE">
              <w:rPr>
                <w:rFonts w:ascii="Verdana" w:hAnsi="Verdana" w:cs="Arial"/>
                <w:lang w:val="es-CO" w:eastAsia="es-CO"/>
              </w:rPr>
              <w:t xml:space="preserve">dependiendo del tipo de mejoramiento. Sin embargo, </w:t>
            </w:r>
            <w:r w:rsidR="00C67FD2">
              <w:rPr>
                <w:rFonts w:ascii="Verdana" w:hAnsi="Verdana" w:cs="Arial"/>
                <w:lang w:val="es-CO" w:eastAsia="es-CO"/>
              </w:rPr>
              <w:t>esto se contempla en la ejecución presupuestal del programa y en la estructuración financiera del mismo. Además, la ejecución de Cambia mi Casa cuenta con esquemas de cofinanciación con entidades territoriales, Cajas de Compensación Familiar y demás entidades otorgantes. Por último</w:t>
            </w:r>
            <w:r w:rsidRPr="00772028">
              <w:rPr>
                <w:rFonts w:ascii="Verdana" w:hAnsi="Verdana" w:cs="Arial"/>
                <w:lang w:val="es-CO" w:eastAsia="es-CO"/>
              </w:rPr>
              <w:t xml:space="preserve">, </w:t>
            </w:r>
            <w:r w:rsidR="00116BB1" w:rsidRPr="00772028">
              <w:rPr>
                <w:rFonts w:ascii="Verdana" w:hAnsi="Verdana" w:cs="Arial"/>
                <w:lang w:val="es-CO" w:eastAsia="es-CO"/>
              </w:rPr>
              <w:t xml:space="preserve">los subsidios serán asignados según la disponibilidad de recursos en el </w:t>
            </w:r>
            <w:r w:rsidR="00AA42E9">
              <w:rPr>
                <w:rFonts w:ascii="Verdana" w:hAnsi="Verdana" w:cs="Arial"/>
                <w:lang w:val="es-CO" w:eastAsia="es-CO"/>
              </w:rPr>
              <w:t>M</w:t>
            </w:r>
            <w:r w:rsidRPr="00772028">
              <w:rPr>
                <w:rFonts w:ascii="Verdana" w:hAnsi="Verdana" w:cs="Arial"/>
                <w:lang w:val="es-CO" w:eastAsia="es-CO"/>
              </w:rPr>
              <w:t xml:space="preserve">arco de </w:t>
            </w:r>
            <w:r w:rsidR="00AA42E9">
              <w:rPr>
                <w:rFonts w:ascii="Verdana" w:hAnsi="Verdana" w:cs="Arial"/>
                <w:lang w:val="es-CO" w:eastAsia="es-CO"/>
              </w:rPr>
              <w:t>G</w:t>
            </w:r>
            <w:r w:rsidRPr="00772028">
              <w:rPr>
                <w:rFonts w:ascii="Verdana" w:hAnsi="Verdana" w:cs="Arial"/>
                <w:lang w:val="es-CO" w:eastAsia="es-CO"/>
              </w:rPr>
              <w:t xml:space="preserve">asto de </w:t>
            </w:r>
            <w:r w:rsidR="00AA42E9">
              <w:rPr>
                <w:rFonts w:ascii="Verdana" w:hAnsi="Verdana" w:cs="Arial"/>
                <w:lang w:val="es-CO" w:eastAsia="es-CO"/>
              </w:rPr>
              <w:t>M</w:t>
            </w:r>
            <w:r w:rsidRPr="00772028">
              <w:rPr>
                <w:rFonts w:ascii="Verdana" w:hAnsi="Verdana" w:cs="Arial"/>
                <w:lang w:val="es-CO" w:eastAsia="es-CO"/>
              </w:rPr>
              <w:t xml:space="preserve">ediano </w:t>
            </w:r>
            <w:r w:rsidR="00AA42E9">
              <w:rPr>
                <w:rFonts w:ascii="Verdana" w:hAnsi="Verdana" w:cs="Arial"/>
                <w:lang w:val="es-CO" w:eastAsia="es-CO"/>
              </w:rPr>
              <w:t>P</w:t>
            </w:r>
            <w:r w:rsidRPr="00772028">
              <w:rPr>
                <w:rFonts w:ascii="Verdana" w:hAnsi="Verdana" w:cs="Arial"/>
                <w:lang w:val="es-CO" w:eastAsia="es-CO"/>
              </w:rPr>
              <w:t>lazo.</w:t>
            </w:r>
          </w:p>
          <w:p w14:paraId="708232A4" w14:textId="77777777" w:rsidR="00245163" w:rsidRPr="00772028" w:rsidRDefault="00245163" w:rsidP="00751854">
            <w:pPr>
              <w:jc w:val="both"/>
              <w:rPr>
                <w:rFonts w:ascii="Verdana" w:hAnsi="Verdana" w:cs="Arial"/>
                <w:lang w:val="es-CO"/>
              </w:rPr>
            </w:pPr>
          </w:p>
        </w:tc>
      </w:tr>
      <w:tr w:rsidR="00245163" w:rsidRPr="00772028" w14:paraId="0CFA4C22" w14:textId="77777777" w:rsidTr="005B3AA8">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681A33" w14:textId="77777777" w:rsidR="00245163" w:rsidRPr="00772028" w:rsidRDefault="00245163" w:rsidP="00751854">
            <w:pPr>
              <w:rPr>
                <w:rFonts w:ascii="Verdana" w:hAnsi="Verdana" w:cs="Arial"/>
                <w:b/>
                <w:color w:val="000000"/>
              </w:rPr>
            </w:pPr>
          </w:p>
          <w:p w14:paraId="73C1FF93" w14:textId="77777777" w:rsidR="00245163" w:rsidRPr="00772028" w:rsidRDefault="00245163" w:rsidP="00726146">
            <w:pPr>
              <w:numPr>
                <w:ilvl w:val="0"/>
                <w:numId w:val="7"/>
              </w:numPr>
              <w:ind w:left="494"/>
              <w:rPr>
                <w:rFonts w:ascii="Verdana" w:hAnsi="Verdana" w:cs="Arial"/>
                <w:b/>
                <w:color w:val="000000"/>
              </w:rPr>
            </w:pPr>
            <w:r w:rsidRPr="00772028">
              <w:rPr>
                <w:rFonts w:ascii="Verdana" w:hAnsi="Verdana" w:cs="Arial"/>
                <w:b/>
                <w:color w:val="000000"/>
              </w:rPr>
              <w:t xml:space="preserve">VIABILIDAD O DISPONIBILIDAD PRESUPUESTAL </w:t>
            </w:r>
            <w:r w:rsidRPr="00772028">
              <w:rPr>
                <w:rFonts w:ascii="Verdana" w:hAnsi="Verdana" w:cs="Arial"/>
                <w:color w:val="000000"/>
              </w:rPr>
              <w:t>(Si se requiere)</w:t>
            </w:r>
          </w:p>
          <w:p w14:paraId="74769D90" w14:textId="77777777" w:rsidR="00245163" w:rsidRPr="00772028" w:rsidRDefault="00245163" w:rsidP="00751854">
            <w:pPr>
              <w:jc w:val="both"/>
              <w:rPr>
                <w:rFonts w:ascii="Verdana" w:hAnsi="Verdana" w:cs="Arial"/>
                <w:i/>
                <w:color w:val="808080"/>
              </w:rPr>
            </w:pPr>
            <w:r w:rsidRPr="00772028">
              <w:rPr>
                <w:rFonts w:ascii="Verdana" w:hAnsi="Verdana" w:cs="Arial"/>
                <w:i/>
                <w:color w:val="808080"/>
              </w:rPr>
              <w:t xml:space="preserve">(Por favor indique si cuenta con los recursos presupuestales disponibles para la implementación del proyecto normativo) </w:t>
            </w:r>
          </w:p>
          <w:p w14:paraId="562FBAD3" w14:textId="77777777" w:rsidR="002E38C4" w:rsidRPr="00772028" w:rsidRDefault="002E38C4" w:rsidP="00751854">
            <w:pPr>
              <w:jc w:val="both"/>
              <w:rPr>
                <w:rFonts w:ascii="Verdana" w:hAnsi="Verdana" w:cs="Arial"/>
                <w:i/>
                <w:color w:val="808080"/>
              </w:rPr>
            </w:pPr>
          </w:p>
          <w:p w14:paraId="63F36F1B" w14:textId="171681B4" w:rsidR="00245163" w:rsidRPr="00772028" w:rsidRDefault="00245163" w:rsidP="00751854">
            <w:pPr>
              <w:jc w:val="both"/>
              <w:rPr>
                <w:rFonts w:ascii="Verdana" w:hAnsi="Verdana"/>
                <w:lang w:eastAsia="es-CO"/>
              </w:rPr>
            </w:pPr>
            <w:r w:rsidRPr="00772028">
              <w:rPr>
                <w:rFonts w:ascii="Verdana" w:hAnsi="Verdana"/>
                <w:lang w:eastAsia="es-CO"/>
              </w:rPr>
              <w:t xml:space="preserve">El presente proyecto normativo no tiene impacto presupuestal distinto al establecido en el </w:t>
            </w:r>
            <w:r w:rsidR="00AF4D8E">
              <w:rPr>
                <w:rFonts w:ascii="Verdana" w:hAnsi="Verdana"/>
                <w:lang w:eastAsia="es-CO"/>
              </w:rPr>
              <w:t>M</w:t>
            </w:r>
            <w:r w:rsidRPr="00772028">
              <w:rPr>
                <w:rFonts w:ascii="Verdana" w:hAnsi="Verdana"/>
                <w:lang w:eastAsia="es-CO"/>
              </w:rPr>
              <w:t xml:space="preserve">arco de </w:t>
            </w:r>
            <w:r w:rsidR="00AF4D8E">
              <w:rPr>
                <w:rFonts w:ascii="Verdana" w:hAnsi="Verdana"/>
                <w:lang w:eastAsia="es-CO"/>
              </w:rPr>
              <w:t>G</w:t>
            </w:r>
            <w:r w:rsidRPr="00772028">
              <w:rPr>
                <w:rFonts w:ascii="Verdana" w:hAnsi="Verdana"/>
                <w:lang w:eastAsia="es-CO"/>
              </w:rPr>
              <w:t xml:space="preserve">asto de </w:t>
            </w:r>
            <w:r w:rsidR="00AF4D8E">
              <w:rPr>
                <w:rFonts w:ascii="Verdana" w:hAnsi="Verdana"/>
                <w:lang w:eastAsia="es-CO"/>
              </w:rPr>
              <w:t>M</w:t>
            </w:r>
            <w:r w:rsidRPr="00772028">
              <w:rPr>
                <w:rFonts w:ascii="Verdana" w:hAnsi="Verdana"/>
                <w:lang w:eastAsia="es-CO"/>
              </w:rPr>
              <w:t xml:space="preserve">ediano </w:t>
            </w:r>
            <w:r w:rsidR="00AF4D8E">
              <w:rPr>
                <w:rFonts w:ascii="Verdana" w:hAnsi="Verdana"/>
                <w:lang w:eastAsia="es-CO"/>
              </w:rPr>
              <w:t>P</w:t>
            </w:r>
            <w:r w:rsidRPr="00772028">
              <w:rPr>
                <w:rFonts w:ascii="Verdana" w:hAnsi="Verdana"/>
                <w:lang w:eastAsia="es-CO"/>
              </w:rPr>
              <w:t>lazo del sector vivienda, ciudad y territorio</w:t>
            </w:r>
            <w:r w:rsidR="00B455D2" w:rsidRPr="00772028">
              <w:rPr>
                <w:rFonts w:ascii="Verdana" w:hAnsi="Verdana"/>
                <w:lang w:eastAsia="es-CO"/>
              </w:rPr>
              <w:t xml:space="preserve">, por lo </w:t>
            </w:r>
            <w:r w:rsidR="00F0349A" w:rsidRPr="00772028">
              <w:rPr>
                <w:rFonts w:ascii="Verdana" w:hAnsi="Verdana"/>
                <w:lang w:eastAsia="es-CO"/>
              </w:rPr>
              <w:t>tanto,</w:t>
            </w:r>
            <w:r w:rsidR="00B455D2" w:rsidRPr="00772028">
              <w:rPr>
                <w:rFonts w:ascii="Verdana" w:hAnsi="Verdana"/>
                <w:lang w:eastAsia="es-CO"/>
              </w:rPr>
              <w:t xml:space="preserve"> el Ministerio de Vivienda, Ciudad y Territorio cuenta con los recursos pre</w:t>
            </w:r>
            <w:r w:rsidR="00116BB1" w:rsidRPr="00772028">
              <w:rPr>
                <w:rFonts w:ascii="Verdana" w:hAnsi="Verdana"/>
                <w:lang w:eastAsia="es-CO"/>
              </w:rPr>
              <w:t>s</w:t>
            </w:r>
            <w:r w:rsidR="00B455D2" w:rsidRPr="00772028">
              <w:rPr>
                <w:rFonts w:ascii="Verdana" w:hAnsi="Verdana"/>
                <w:lang w:eastAsia="es-CO"/>
              </w:rPr>
              <w:t>u</w:t>
            </w:r>
            <w:r w:rsidR="00116BB1" w:rsidRPr="00772028">
              <w:rPr>
                <w:rFonts w:ascii="Verdana" w:hAnsi="Verdana"/>
                <w:lang w:eastAsia="es-CO"/>
              </w:rPr>
              <w:t>pu</w:t>
            </w:r>
            <w:r w:rsidR="00B455D2" w:rsidRPr="00772028">
              <w:rPr>
                <w:rFonts w:ascii="Verdana" w:hAnsi="Verdana"/>
                <w:lang w:eastAsia="es-CO"/>
              </w:rPr>
              <w:t xml:space="preserve">estales necesarios </w:t>
            </w:r>
            <w:r w:rsidR="00116BB1" w:rsidRPr="00772028">
              <w:rPr>
                <w:rFonts w:ascii="Verdana" w:hAnsi="Verdana"/>
                <w:lang w:eastAsia="es-CO"/>
              </w:rPr>
              <w:t xml:space="preserve">para la implementación del </w:t>
            </w:r>
            <w:r w:rsidR="00AF4D8E">
              <w:rPr>
                <w:rFonts w:ascii="Verdana" w:hAnsi="Verdana"/>
                <w:lang w:eastAsia="es-CO"/>
              </w:rPr>
              <w:t>prog</w:t>
            </w:r>
            <w:r w:rsidR="00915CCB">
              <w:rPr>
                <w:rFonts w:ascii="Verdana" w:hAnsi="Verdana"/>
                <w:lang w:eastAsia="es-CO"/>
              </w:rPr>
              <w:t>rama</w:t>
            </w:r>
            <w:r w:rsidR="00116BB1" w:rsidRPr="00772028">
              <w:rPr>
                <w:rFonts w:ascii="Verdana" w:hAnsi="Verdana"/>
                <w:lang w:eastAsia="es-CO"/>
              </w:rPr>
              <w:t>.</w:t>
            </w:r>
          </w:p>
        </w:tc>
      </w:tr>
      <w:tr w:rsidR="00245163" w:rsidRPr="00772028" w14:paraId="78E6E8D1" w14:textId="77777777" w:rsidTr="009D32B9">
        <w:trPr>
          <w:trHeight w:val="383"/>
        </w:trPr>
        <w:tc>
          <w:tcPr>
            <w:tcW w:w="10774" w:type="dxa"/>
            <w:gridSpan w:val="3"/>
            <w:tcBorders>
              <w:top w:val="single" w:sz="4" w:space="0" w:color="auto"/>
              <w:bottom w:val="single" w:sz="4" w:space="0" w:color="auto"/>
            </w:tcBorders>
            <w:shd w:val="clear" w:color="auto" w:fill="FFFFFF"/>
            <w:vAlign w:val="center"/>
          </w:tcPr>
          <w:p w14:paraId="79476859" w14:textId="77777777" w:rsidR="00245163" w:rsidRPr="00772028" w:rsidRDefault="00245163" w:rsidP="00726146">
            <w:pPr>
              <w:numPr>
                <w:ilvl w:val="0"/>
                <w:numId w:val="7"/>
              </w:numPr>
              <w:ind w:left="494"/>
              <w:rPr>
                <w:rFonts w:ascii="Verdana" w:hAnsi="Verdana" w:cs="Arial"/>
                <w:b/>
                <w:color w:val="000000"/>
              </w:rPr>
            </w:pPr>
            <w:r w:rsidRPr="00772028">
              <w:rPr>
                <w:rFonts w:ascii="Verdana" w:hAnsi="Verdana" w:cs="Arial"/>
                <w:b/>
                <w:color w:val="000000"/>
              </w:rPr>
              <w:t xml:space="preserve"> IMPACTO MEDIOAMBIENTAL O SOBRE EL PATRIMONIO CULTURAL DE LA NACIÓN </w:t>
            </w:r>
            <w:r w:rsidRPr="00772028">
              <w:rPr>
                <w:rFonts w:ascii="Verdana" w:hAnsi="Verdana" w:cs="Arial"/>
                <w:color w:val="000000"/>
              </w:rPr>
              <w:t>(Si se requiere)</w:t>
            </w:r>
          </w:p>
          <w:p w14:paraId="437B20C8" w14:textId="77777777" w:rsidR="00245163" w:rsidRPr="00772028" w:rsidRDefault="00245163" w:rsidP="00751854">
            <w:pPr>
              <w:jc w:val="both"/>
              <w:rPr>
                <w:rFonts w:ascii="Verdana" w:hAnsi="Verdana" w:cs="Arial"/>
                <w:b/>
                <w:color w:val="000000"/>
              </w:rPr>
            </w:pPr>
            <w:r w:rsidRPr="00772028">
              <w:rPr>
                <w:rFonts w:ascii="Verdana" w:hAnsi="Verdana" w:cs="Arial"/>
                <w:i/>
                <w:color w:val="808080"/>
              </w:rPr>
              <w:t xml:space="preserve">(Por favor indique el proyecto normativo tiene impacto sobre el medio ambiente o el Patrimonio cultural de la Nación) </w:t>
            </w:r>
          </w:p>
          <w:p w14:paraId="65A57BA2" w14:textId="77777777" w:rsidR="00245163" w:rsidRPr="00772028" w:rsidRDefault="00245163" w:rsidP="00751854">
            <w:pPr>
              <w:jc w:val="both"/>
              <w:rPr>
                <w:rFonts w:ascii="Verdana" w:hAnsi="Verdana" w:cs="Arial"/>
                <w:b/>
                <w:color w:val="000000"/>
              </w:rPr>
            </w:pPr>
          </w:p>
          <w:p w14:paraId="4972CB45" w14:textId="77777777" w:rsidR="00245163" w:rsidRDefault="00245163" w:rsidP="00751854">
            <w:pPr>
              <w:jc w:val="both"/>
              <w:rPr>
                <w:rFonts w:ascii="Verdana" w:hAnsi="Verdana" w:cs="Arial"/>
                <w:iCs/>
              </w:rPr>
            </w:pPr>
            <w:r w:rsidRPr="00772028">
              <w:rPr>
                <w:rFonts w:ascii="Verdana" w:hAnsi="Verdana" w:cs="Arial"/>
                <w:iCs/>
              </w:rPr>
              <w:t>El presente proyecto normativo no tiene impacto sobre el medio ambiente o el patrimonio cultural de la Nación</w:t>
            </w:r>
            <w:r w:rsidR="00B455D2" w:rsidRPr="00772028">
              <w:rPr>
                <w:rFonts w:ascii="Verdana" w:hAnsi="Verdana" w:cs="Arial"/>
                <w:iCs/>
              </w:rPr>
              <w:t>.</w:t>
            </w:r>
          </w:p>
          <w:p w14:paraId="3F92AC40" w14:textId="5044F874" w:rsidR="000A384F" w:rsidRPr="009D32B9" w:rsidRDefault="000A384F" w:rsidP="00751854">
            <w:pPr>
              <w:jc w:val="both"/>
              <w:rPr>
                <w:rFonts w:ascii="Verdana" w:hAnsi="Verdana" w:cs="Arial"/>
                <w:iCs/>
              </w:rPr>
            </w:pPr>
          </w:p>
        </w:tc>
      </w:tr>
      <w:tr w:rsidR="00245163" w:rsidRPr="00772028" w14:paraId="09AA1B3E" w14:textId="77777777" w:rsidTr="005B3AA8">
        <w:trPr>
          <w:trHeight w:val="317"/>
        </w:trPr>
        <w:tc>
          <w:tcPr>
            <w:tcW w:w="10774" w:type="dxa"/>
            <w:gridSpan w:val="3"/>
            <w:tcBorders>
              <w:top w:val="single" w:sz="4" w:space="0" w:color="auto"/>
              <w:bottom w:val="single" w:sz="4" w:space="0" w:color="auto"/>
            </w:tcBorders>
            <w:shd w:val="clear" w:color="auto" w:fill="FFFFFF"/>
            <w:vAlign w:val="center"/>
          </w:tcPr>
          <w:p w14:paraId="4D7E8466" w14:textId="77777777" w:rsidR="00245163" w:rsidRPr="00772028" w:rsidRDefault="00245163" w:rsidP="00726146">
            <w:pPr>
              <w:numPr>
                <w:ilvl w:val="0"/>
                <w:numId w:val="7"/>
              </w:numPr>
              <w:ind w:left="494"/>
              <w:rPr>
                <w:rFonts w:ascii="Verdana" w:hAnsi="Verdana" w:cs="Arial"/>
              </w:rPr>
            </w:pPr>
            <w:r w:rsidRPr="00772028">
              <w:rPr>
                <w:rFonts w:ascii="Verdana" w:hAnsi="Verdana" w:cs="Arial"/>
                <w:b/>
              </w:rPr>
              <w:lastRenderedPageBreak/>
              <w:t>ESTUDIOS TÉCNICOS QUE SUSTENTEN EL PROYECTO NORMATIVO</w:t>
            </w:r>
            <w:r w:rsidRPr="00772028">
              <w:rPr>
                <w:rFonts w:ascii="Verdana" w:hAnsi="Verdana" w:cs="Arial"/>
              </w:rPr>
              <w:t xml:space="preserve"> (Si cuenta con ellos) </w:t>
            </w:r>
          </w:p>
        </w:tc>
      </w:tr>
      <w:tr w:rsidR="00245163" w:rsidRPr="00772028" w14:paraId="09169556" w14:textId="77777777" w:rsidTr="005B3AA8">
        <w:trPr>
          <w:trHeight w:val="66"/>
        </w:trPr>
        <w:tc>
          <w:tcPr>
            <w:tcW w:w="10774" w:type="dxa"/>
            <w:gridSpan w:val="3"/>
            <w:tcBorders>
              <w:top w:val="single" w:sz="4" w:space="0" w:color="auto"/>
              <w:bottom w:val="single" w:sz="4" w:space="0" w:color="auto"/>
            </w:tcBorders>
            <w:shd w:val="clear" w:color="auto" w:fill="FFFFFF"/>
            <w:vAlign w:val="center"/>
          </w:tcPr>
          <w:p w14:paraId="5DE3D95C" w14:textId="77777777" w:rsidR="00245163" w:rsidRPr="00772028" w:rsidRDefault="00245163" w:rsidP="00751854">
            <w:pPr>
              <w:rPr>
                <w:rFonts w:ascii="Verdana" w:hAnsi="Verdana" w:cs="Arial"/>
                <w:b/>
                <w:color w:val="000000"/>
              </w:rPr>
            </w:pPr>
          </w:p>
        </w:tc>
      </w:tr>
      <w:tr w:rsidR="00245163" w:rsidRPr="00772028" w14:paraId="219D1DDA" w14:textId="77777777" w:rsidTr="005B3AA8">
        <w:trPr>
          <w:trHeight w:val="66"/>
        </w:trPr>
        <w:tc>
          <w:tcPr>
            <w:tcW w:w="10774" w:type="dxa"/>
            <w:gridSpan w:val="3"/>
            <w:tcBorders>
              <w:top w:val="single" w:sz="4" w:space="0" w:color="auto"/>
              <w:bottom w:val="single" w:sz="4" w:space="0" w:color="auto"/>
            </w:tcBorders>
            <w:shd w:val="clear" w:color="auto" w:fill="FFFFFF"/>
            <w:vAlign w:val="center"/>
          </w:tcPr>
          <w:p w14:paraId="16C1BDDA" w14:textId="77777777" w:rsidR="00245163" w:rsidRPr="00772028" w:rsidRDefault="00245163" w:rsidP="00751854">
            <w:pPr>
              <w:jc w:val="center"/>
              <w:rPr>
                <w:rFonts w:ascii="Verdana" w:hAnsi="Verdana" w:cs="Arial"/>
                <w:u w:val="single"/>
              </w:rPr>
            </w:pPr>
          </w:p>
        </w:tc>
      </w:tr>
      <w:tr w:rsidR="00245163" w:rsidRPr="00772028" w14:paraId="3F87FE8F" w14:textId="77777777" w:rsidTr="005B3AA8">
        <w:trPr>
          <w:trHeight w:val="416"/>
        </w:trPr>
        <w:tc>
          <w:tcPr>
            <w:tcW w:w="10774" w:type="dxa"/>
            <w:gridSpan w:val="3"/>
            <w:tcBorders>
              <w:top w:val="single" w:sz="4" w:space="0" w:color="auto"/>
              <w:bottom w:val="single" w:sz="4" w:space="0" w:color="auto"/>
            </w:tcBorders>
            <w:shd w:val="clear" w:color="auto" w:fill="C5E9F3"/>
            <w:vAlign w:val="center"/>
          </w:tcPr>
          <w:p w14:paraId="238EFCE1" w14:textId="77777777" w:rsidR="00245163" w:rsidRPr="00772028" w:rsidRDefault="00245163" w:rsidP="00751854">
            <w:pPr>
              <w:jc w:val="center"/>
              <w:rPr>
                <w:rFonts w:ascii="Verdana" w:hAnsi="Verdana" w:cs="Arial"/>
              </w:rPr>
            </w:pPr>
            <w:r w:rsidRPr="00772028">
              <w:rPr>
                <w:rFonts w:ascii="Verdana" w:hAnsi="Verdana" w:cs="Arial"/>
                <w:b/>
              </w:rPr>
              <w:t>ANEXOS:</w:t>
            </w:r>
            <w:r w:rsidRPr="00772028">
              <w:rPr>
                <w:rFonts w:ascii="Verdana" w:hAnsi="Verdana" w:cs="Arial"/>
              </w:rPr>
              <w:t xml:space="preserve"> </w:t>
            </w:r>
          </w:p>
        </w:tc>
      </w:tr>
      <w:tr w:rsidR="00245163" w:rsidRPr="00772028" w14:paraId="66BEB5C2" w14:textId="77777777" w:rsidTr="005B3AA8">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5F3D7DFA" w14:textId="77777777" w:rsidR="00245163" w:rsidRPr="00772028" w:rsidRDefault="00245163" w:rsidP="00751854">
            <w:pPr>
              <w:jc w:val="both"/>
              <w:rPr>
                <w:rFonts w:ascii="Verdana" w:hAnsi="Verdana" w:cs="Arial"/>
              </w:rPr>
            </w:pPr>
            <w:r w:rsidRPr="00772028">
              <w:rPr>
                <w:rFonts w:ascii="Verdana" w:hAnsi="Verdana" w:cs="Arial"/>
              </w:rPr>
              <w:t xml:space="preserve">Certificación de cumplimiento de requisitos de consulta, publicidad y de incorporación en la agenda regulatoria </w:t>
            </w:r>
          </w:p>
          <w:p w14:paraId="5516CB57" w14:textId="77777777" w:rsidR="00245163" w:rsidRPr="00772028" w:rsidRDefault="00245163" w:rsidP="00751854">
            <w:pPr>
              <w:jc w:val="both"/>
              <w:rPr>
                <w:rFonts w:ascii="Verdana" w:hAnsi="Verdana" w:cs="Arial"/>
                <w:i/>
                <w:color w:val="808080"/>
              </w:rPr>
            </w:pPr>
            <w:r w:rsidRPr="00772028">
              <w:rPr>
                <w:rFonts w:ascii="Verdana" w:hAnsi="Verdana" w:cs="Arial"/>
                <w:i/>
                <w:color w:val="808080"/>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6683BB8B" w14:textId="77777777" w:rsidR="00245163" w:rsidRPr="00772028" w:rsidRDefault="00245163" w:rsidP="00751854">
            <w:pPr>
              <w:jc w:val="center"/>
              <w:rPr>
                <w:rFonts w:ascii="Verdana" w:hAnsi="Verdana" w:cs="Arial"/>
                <w:iCs/>
              </w:rPr>
            </w:pPr>
            <w:r w:rsidRPr="00772028">
              <w:rPr>
                <w:rFonts w:ascii="Verdana" w:hAnsi="Verdana" w:cs="Arial"/>
                <w:iCs/>
              </w:rPr>
              <w:t>X</w:t>
            </w:r>
          </w:p>
        </w:tc>
      </w:tr>
      <w:tr w:rsidR="00245163" w:rsidRPr="00772028" w14:paraId="09D29E34" w14:textId="77777777" w:rsidTr="005B3AA8">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D4FD3C1" w14:textId="77777777" w:rsidR="00245163" w:rsidRPr="00772028" w:rsidRDefault="00245163" w:rsidP="00751854">
            <w:pPr>
              <w:jc w:val="both"/>
              <w:rPr>
                <w:rFonts w:ascii="Verdana" w:hAnsi="Verdana" w:cs="Arial"/>
              </w:rPr>
            </w:pPr>
            <w:r w:rsidRPr="00772028">
              <w:rPr>
                <w:rFonts w:ascii="Verdana" w:hAnsi="Verdana" w:cs="Arial"/>
              </w:rPr>
              <w:t>Concepto(s) de Ministerio de Comercio, Industria y Turismo</w:t>
            </w:r>
          </w:p>
          <w:p w14:paraId="3A7B6BC1" w14:textId="77777777" w:rsidR="00245163" w:rsidRPr="00772028" w:rsidRDefault="00245163" w:rsidP="00751854">
            <w:pPr>
              <w:jc w:val="both"/>
              <w:rPr>
                <w:rFonts w:ascii="Verdana" w:hAnsi="Verdana" w:cs="Arial"/>
                <w:i/>
                <w:color w:val="808080"/>
              </w:rPr>
            </w:pPr>
            <w:r w:rsidRPr="00772028">
              <w:rPr>
                <w:rFonts w:ascii="Verdana" w:hAnsi="Verdana" w:cs="Arial"/>
                <w:i/>
                <w:color w:val="808080"/>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2BE1A062" w14:textId="77777777" w:rsidR="00245163" w:rsidRPr="00772028" w:rsidRDefault="00245163" w:rsidP="00751854">
            <w:pPr>
              <w:jc w:val="center"/>
              <w:rPr>
                <w:rFonts w:ascii="Verdana" w:hAnsi="Verdana" w:cs="Arial"/>
              </w:rPr>
            </w:pPr>
            <w:r w:rsidRPr="00772028">
              <w:rPr>
                <w:rFonts w:ascii="Verdana" w:hAnsi="Verdana" w:cs="Arial"/>
                <w:iCs/>
              </w:rPr>
              <w:t>N/A</w:t>
            </w:r>
          </w:p>
        </w:tc>
      </w:tr>
      <w:tr w:rsidR="00245163" w:rsidRPr="00772028" w14:paraId="03E1C97A" w14:textId="77777777" w:rsidTr="005B3AA8">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00BF91E" w14:textId="77777777" w:rsidR="00245163" w:rsidRPr="00772028" w:rsidRDefault="00245163" w:rsidP="00751854">
            <w:pPr>
              <w:jc w:val="both"/>
              <w:rPr>
                <w:rFonts w:ascii="Verdana" w:hAnsi="Verdana" w:cs="Arial"/>
              </w:rPr>
            </w:pPr>
            <w:r w:rsidRPr="00772028">
              <w:rPr>
                <w:rFonts w:ascii="Verdana" w:hAnsi="Verdana" w:cs="Arial"/>
              </w:rPr>
              <w:t xml:space="preserve">Informe de observaciones y respuestas </w:t>
            </w:r>
          </w:p>
          <w:p w14:paraId="1660F800" w14:textId="77777777" w:rsidR="00245163" w:rsidRPr="00772028" w:rsidRDefault="00245163" w:rsidP="00751854">
            <w:pPr>
              <w:jc w:val="both"/>
              <w:rPr>
                <w:rFonts w:ascii="Verdana" w:hAnsi="Verdana" w:cs="Arial"/>
                <w:i/>
                <w:color w:val="808080"/>
              </w:rPr>
            </w:pPr>
            <w:r w:rsidRPr="00772028">
              <w:rPr>
                <w:rFonts w:ascii="Verdana" w:hAnsi="Verdana" w:cs="Arial"/>
                <w:i/>
                <w:color w:val="808080"/>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2116D478" w14:textId="77777777" w:rsidR="00245163" w:rsidRPr="00772028" w:rsidRDefault="00245163" w:rsidP="00751854">
            <w:pPr>
              <w:jc w:val="center"/>
              <w:rPr>
                <w:rFonts w:ascii="Verdana" w:hAnsi="Verdana" w:cs="Arial"/>
              </w:rPr>
            </w:pPr>
            <w:r w:rsidRPr="00772028">
              <w:rPr>
                <w:rFonts w:ascii="Verdana" w:hAnsi="Verdana" w:cs="Arial"/>
                <w:iCs/>
              </w:rPr>
              <w:t>X</w:t>
            </w:r>
          </w:p>
        </w:tc>
      </w:tr>
      <w:tr w:rsidR="00245163" w:rsidRPr="00772028" w14:paraId="73BF49B8" w14:textId="77777777" w:rsidTr="005B3AA8">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7FB048C" w14:textId="77777777" w:rsidR="00245163" w:rsidRPr="00772028" w:rsidRDefault="00245163" w:rsidP="00751854">
            <w:pPr>
              <w:jc w:val="both"/>
              <w:rPr>
                <w:rFonts w:ascii="Verdana" w:hAnsi="Verdana" w:cs="Arial"/>
              </w:rPr>
            </w:pPr>
            <w:r w:rsidRPr="00772028">
              <w:rPr>
                <w:rFonts w:ascii="Verdana" w:hAnsi="Verdana" w:cs="Arial"/>
              </w:rPr>
              <w:t>Concepto de Abogacía de la Competencia de la Superintendencia de Industria y Comercio</w:t>
            </w:r>
          </w:p>
          <w:p w14:paraId="43EA1D51" w14:textId="77777777" w:rsidR="00245163" w:rsidRPr="00772028" w:rsidRDefault="00245163" w:rsidP="00751854">
            <w:pPr>
              <w:jc w:val="both"/>
              <w:rPr>
                <w:rFonts w:ascii="Verdana" w:hAnsi="Verdana" w:cs="Arial"/>
                <w:i/>
                <w:color w:val="808080"/>
              </w:rPr>
            </w:pPr>
            <w:r w:rsidRPr="00772028">
              <w:rPr>
                <w:rFonts w:ascii="Verdana" w:hAnsi="Verdana" w:cs="Arial"/>
                <w:i/>
                <w:color w:val="808080"/>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tcPr>
          <w:p w14:paraId="07737795" w14:textId="77777777" w:rsidR="00245163" w:rsidRPr="00772028" w:rsidRDefault="00245163" w:rsidP="00751854">
            <w:pPr>
              <w:jc w:val="center"/>
              <w:rPr>
                <w:rFonts w:ascii="Verdana" w:hAnsi="Verdana" w:cs="Arial"/>
              </w:rPr>
            </w:pPr>
            <w:r w:rsidRPr="00772028">
              <w:rPr>
                <w:rFonts w:ascii="Verdana" w:hAnsi="Verdana" w:cs="Arial"/>
                <w:iCs/>
              </w:rPr>
              <w:t>N/A</w:t>
            </w:r>
          </w:p>
        </w:tc>
      </w:tr>
      <w:tr w:rsidR="00245163" w:rsidRPr="00772028" w14:paraId="201C6230" w14:textId="77777777" w:rsidTr="005B3AA8">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C7C19B3" w14:textId="77777777" w:rsidR="00245163" w:rsidRPr="00772028" w:rsidRDefault="00245163" w:rsidP="00751854">
            <w:pPr>
              <w:jc w:val="both"/>
              <w:rPr>
                <w:rFonts w:ascii="Verdana" w:hAnsi="Verdana" w:cs="Arial"/>
              </w:rPr>
            </w:pPr>
            <w:r w:rsidRPr="00772028">
              <w:rPr>
                <w:rFonts w:ascii="Verdana" w:hAnsi="Verdana" w:cs="Arial"/>
              </w:rPr>
              <w:t>Concepto de aprobación nuevos trámites del Departamento Administrativo de la Función Pública</w:t>
            </w:r>
          </w:p>
          <w:p w14:paraId="0FF29344" w14:textId="77777777" w:rsidR="00245163" w:rsidRPr="00772028" w:rsidRDefault="00245163" w:rsidP="00751854">
            <w:pPr>
              <w:jc w:val="both"/>
              <w:rPr>
                <w:rFonts w:ascii="Verdana" w:hAnsi="Verdana" w:cs="Arial"/>
              </w:rPr>
            </w:pPr>
            <w:r w:rsidRPr="00772028">
              <w:rPr>
                <w:rFonts w:ascii="Verdana" w:hAnsi="Verdana" w:cs="Arial"/>
                <w:i/>
                <w:color w:val="808080"/>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tcPr>
          <w:p w14:paraId="680843C2" w14:textId="77777777" w:rsidR="00245163" w:rsidRPr="00772028" w:rsidRDefault="00245163" w:rsidP="00751854">
            <w:pPr>
              <w:jc w:val="center"/>
              <w:rPr>
                <w:rFonts w:ascii="Verdana" w:hAnsi="Verdana" w:cs="Arial"/>
              </w:rPr>
            </w:pPr>
            <w:r w:rsidRPr="00772028">
              <w:rPr>
                <w:rFonts w:ascii="Verdana" w:hAnsi="Verdana" w:cs="Arial"/>
                <w:iCs/>
              </w:rPr>
              <w:t>N/A</w:t>
            </w:r>
          </w:p>
        </w:tc>
      </w:tr>
      <w:tr w:rsidR="00245163" w:rsidRPr="00772028" w14:paraId="0BFA56BA" w14:textId="77777777" w:rsidTr="005B3AA8">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BEF96D0" w14:textId="77777777" w:rsidR="00245163" w:rsidRPr="00772028" w:rsidRDefault="00245163" w:rsidP="00751854">
            <w:pPr>
              <w:jc w:val="both"/>
              <w:rPr>
                <w:rFonts w:ascii="Verdana" w:hAnsi="Verdana" w:cs="Arial"/>
              </w:rPr>
            </w:pPr>
            <w:r w:rsidRPr="00772028">
              <w:rPr>
                <w:rFonts w:ascii="Verdana" w:hAnsi="Verdana" w:cs="Arial"/>
              </w:rPr>
              <w:t xml:space="preserve">Otro </w:t>
            </w:r>
          </w:p>
          <w:p w14:paraId="31799F6D" w14:textId="77777777" w:rsidR="00245163" w:rsidRPr="00772028" w:rsidRDefault="00245163" w:rsidP="00751854">
            <w:pPr>
              <w:jc w:val="both"/>
              <w:rPr>
                <w:rFonts w:ascii="Verdana" w:hAnsi="Verdana" w:cs="Arial"/>
              </w:rPr>
            </w:pPr>
            <w:r w:rsidRPr="00772028">
              <w:rPr>
                <w:rFonts w:ascii="Verdana" w:hAnsi="Verdana" w:cs="Arial"/>
                <w:i/>
                <w:color w:val="808080"/>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tcPr>
          <w:p w14:paraId="21E5E7CD" w14:textId="77777777" w:rsidR="00245163" w:rsidRPr="00772028" w:rsidRDefault="00245163" w:rsidP="00751854">
            <w:pPr>
              <w:jc w:val="center"/>
              <w:rPr>
                <w:rFonts w:ascii="Verdana" w:hAnsi="Verdana" w:cs="Arial"/>
              </w:rPr>
            </w:pPr>
            <w:r w:rsidRPr="00772028">
              <w:rPr>
                <w:rFonts w:ascii="Verdana" w:hAnsi="Verdana" w:cs="Arial"/>
                <w:iCs/>
              </w:rPr>
              <w:t>N/A</w:t>
            </w:r>
          </w:p>
        </w:tc>
      </w:tr>
    </w:tbl>
    <w:p w14:paraId="1DDDDA57" w14:textId="77777777" w:rsidR="00245163" w:rsidRPr="00772028" w:rsidRDefault="00245163" w:rsidP="00751854">
      <w:pPr>
        <w:ind w:right="-377"/>
        <w:jc w:val="both"/>
        <w:rPr>
          <w:rFonts w:ascii="Verdana" w:hAnsi="Verdana" w:cs="Arial"/>
        </w:rPr>
      </w:pPr>
    </w:p>
    <w:p w14:paraId="630DFAFE" w14:textId="77777777" w:rsidR="00245163" w:rsidRPr="00772028" w:rsidRDefault="00245163" w:rsidP="00751854">
      <w:pPr>
        <w:ind w:left="-1276" w:right="-377" w:firstLine="283"/>
        <w:jc w:val="both"/>
        <w:rPr>
          <w:rFonts w:ascii="Verdana" w:hAnsi="Verdana" w:cs="Arial"/>
          <w:b/>
        </w:rPr>
      </w:pPr>
      <w:r w:rsidRPr="00772028">
        <w:rPr>
          <w:rFonts w:ascii="Verdana" w:hAnsi="Verdana" w:cs="Arial"/>
          <w:b/>
        </w:rPr>
        <w:t>Aprobó:</w:t>
      </w:r>
    </w:p>
    <w:p w14:paraId="2CAE89FB" w14:textId="77777777" w:rsidR="00245163" w:rsidRPr="00772028" w:rsidRDefault="00245163" w:rsidP="005C2388">
      <w:pPr>
        <w:ind w:right="-377"/>
        <w:jc w:val="both"/>
        <w:rPr>
          <w:rFonts w:ascii="Verdana" w:hAnsi="Verdana" w:cs="Arial"/>
          <w:b/>
        </w:rPr>
      </w:pPr>
    </w:p>
    <w:p w14:paraId="3EF01F40" w14:textId="77777777" w:rsidR="00245163" w:rsidRPr="00772028" w:rsidRDefault="00245163" w:rsidP="00751854">
      <w:pPr>
        <w:ind w:left="-1276" w:right="-377" w:firstLine="283"/>
        <w:jc w:val="both"/>
        <w:rPr>
          <w:rFonts w:ascii="Verdana" w:hAnsi="Verdana" w:cs="Arial"/>
          <w:b/>
        </w:rPr>
      </w:pPr>
    </w:p>
    <w:p w14:paraId="1CEBB584" w14:textId="77777777" w:rsidR="00245163" w:rsidRPr="00772028" w:rsidRDefault="00245163" w:rsidP="005C2388">
      <w:pPr>
        <w:ind w:right="-377"/>
        <w:jc w:val="both"/>
        <w:rPr>
          <w:rFonts w:ascii="Verdana" w:hAnsi="Verdana" w:cs="Arial"/>
          <w:b/>
        </w:rPr>
      </w:pPr>
    </w:p>
    <w:p w14:paraId="199F4593" w14:textId="77777777" w:rsidR="00245163" w:rsidRPr="00772028" w:rsidRDefault="00245163" w:rsidP="00751854">
      <w:pPr>
        <w:jc w:val="both"/>
        <w:rPr>
          <w:rFonts w:ascii="Verdana" w:hAnsi="Verdana" w:cs="Arial"/>
          <w:b/>
        </w:rPr>
      </w:pPr>
      <w:r w:rsidRPr="00772028">
        <w:rPr>
          <w:rFonts w:ascii="Verdana" w:hAnsi="Verdana" w:cs="Arial"/>
          <w:b/>
        </w:rPr>
        <w:t>__________________________________</w:t>
      </w:r>
    </w:p>
    <w:p w14:paraId="0E3CC9DC" w14:textId="77777777" w:rsidR="00245163" w:rsidRPr="00772028" w:rsidRDefault="00245163" w:rsidP="00751854">
      <w:pPr>
        <w:rPr>
          <w:rFonts w:ascii="Verdana" w:hAnsi="Verdana" w:cs="Arial"/>
          <w:b/>
        </w:rPr>
      </w:pPr>
      <w:r w:rsidRPr="00772028">
        <w:rPr>
          <w:rFonts w:ascii="Verdana" w:hAnsi="Verdana" w:cs="Arial"/>
          <w:b/>
        </w:rPr>
        <w:t>NELSON ALIRIO MUÑOZ LEGUIZAMON</w:t>
      </w:r>
    </w:p>
    <w:p w14:paraId="4D18ABE7" w14:textId="77777777" w:rsidR="00245163" w:rsidRPr="00772028" w:rsidRDefault="00245163" w:rsidP="00751854">
      <w:pPr>
        <w:rPr>
          <w:rFonts w:ascii="Verdana" w:hAnsi="Verdana" w:cs="Arial"/>
          <w:bCs/>
        </w:rPr>
      </w:pPr>
      <w:r w:rsidRPr="00772028">
        <w:rPr>
          <w:rFonts w:ascii="Verdana" w:hAnsi="Verdana" w:cs="Arial"/>
          <w:bCs/>
        </w:rPr>
        <w:t>Jefe Oficina Asesora Jurídica</w:t>
      </w:r>
    </w:p>
    <w:p w14:paraId="4687927C" w14:textId="77777777" w:rsidR="00245163" w:rsidRPr="00772028" w:rsidRDefault="00245163" w:rsidP="00751854">
      <w:pPr>
        <w:rPr>
          <w:rFonts w:ascii="Verdana" w:hAnsi="Verdana" w:cs="Arial"/>
          <w:bCs/>
        </w:rPr>
      </w:pPr>
      <w:r w:rsidRPr="00772028">
        <w:rPr>
          <w:rFonts w:ascii="Verdana" w:hAnsi="Verdana" w:cs="Arial"/>
          <w:bCs/>
        </w:rPr>
        <w:t>Ministerio de Vivienda, Ciudad y Territorio</w:t>
      </w:r>
    </w:p>
    <w:p w14:paraId="07A7916E" w14:textId="77777777" w:rsidR="00245163" w:rsidRPr="00772028" w:rsidRDefault="00245163" w:rsidP="00751854">
      <w:pPr>
        <w:rPr>
          <w:rFonts w:ascii="Verdana" w:hAnsi="Verdana" w:cs="Arial"/>
          <w:b/>
        </w:rPr>
      </w:pPr>
    </w:p>
    <w:p w14:paraId="4282E1D5" w14:textId="6534F912" w:rsidR="00245163" w:rsidRDefault="00245163" w:rsidP="00751854">
      <w:pPr>
        <w:ind w:left="-1276" w:right="-377"/>
        <w:jc w:val="both"/>
        <w:rPr>
          <w:rFonts w:ascii="Verdana" w:hAnsi="Verdana" w:cs="Arial"/>
          <w:sz w:val="22"/>
          <w:szCs w:val="22"/>
        </w:rPr>
      </w:pPr>
    </w:p>
    <w:p w14:paraId="3C4424F8" w14:textId="77777777" w:rsidR="005C2388" w:rsidRPr="00772028" w:rsidRDefault="005C2388" w:rsidP="00751854">
      <w:pPr>
        <w:ind w:left="-1276" w:right="-377"/>
        <w:jc w:val="both"/>
        <w:rPr>
          <w:rFonts w:ascii="Verdana" w:hAnsi="Verdana" w:cs="Arial"/>
          <w:sz w:val="22"/>
          <w:szCs w:val="22"/>
        </w:rPr>
      </w:pPr>
    </w:p>
    <w:p w14:paraId="321E7D0D" w14:textId="77777777" w:rsidR="00245163" w:rsidRPr="00772028" w:rsidRDefault="00245163" w:rsidP="00751854">
      <w:pPr>
        <w:jc w:val="both"/>
        <w:rPr>
          <w:rFonts w:ascii="Verdana" w:hAnsi="Verdana" w:cs="Arial"/>
          <w:b/>
        </w:rPr>
      </w:pPr>
      <w:r w:rsidRPr="00772028">
        <w:rPr>
          <w:rFonts w:ascii="Verdana" w:hAnsi="Verdana" w:cs="Arial"/>
          <w:b/>
        </w:rPr>
        <w:t>__________________________________</w:t>
      </w:r>
    </w:p>
    <w:p w14:paraId="56B018F0" w14:textId="681D0DA6" w:rsidR="00245163" w:rsidRPr="00772028" w:rsidRDefault="007C19D9" w:rsidP="00751854">
      <w:pPr>
        <w:rPr>
          <w:rFonts w:ascii="Verdana" w:hAnsi="Verdana" w:cs="Arial"/>
          <w:b/>
        </w:rPr>
      </w:pPr>
      <w:r>
        <w:rPr>
          <w:rFonts w:ascii="Verdana" w:hAnsi="Verdana" w:cs="Arial"/>
          <w:b/>
        </w:rPr>
        <w:t xml:space="preserve">SANDRA TIBAMOSCA </w:t>
      </w:r>
      <w:r w:rsidR="00C27F21">
        <w:rPr>
          <w:rFonts w:ascii="Verdana" w:hAnsi="Verdana" w:cs="Arial"/>
          <w:b/>
        </w:rPr>
        <w:t>VILLAMARÍN</w:t>
      </w:r>
    </w:p>
    <w:p w14:paraId="3CB99863" w14:textId="5A6C8AC3" w:rsidR="00245163" w:rsidRPr="00772028" w:rsidRDefault="00245163" w:rsidP="00751854">
      <w:pPr>
        <w:rPr>
          <w:rFonts w:ascii="Verdana" w:hAnsi="Verdana" w:cs="Arial"/>
          <w:bCs/>
        </w:rPr>
      </w:pPr>
      <w:r w:rsidRPr="00772028">
        <w:rPr>
          <w:rFonts w:ascii="Verdana" w:hAnsi="Verdana" w:cs="Arial"/>
          <w:bCs/>
        </w:rPr>
        <w:t>Director</w:t>
      </w:r>
      <w:r w:rsidR="00751854" w:rsidRPr="00772028">
        <w:rPr>
          <w:rFonts w:ascii="Verdana" w:hAnsi="Verdana" w:cs="Arial"/>
          <w:bCs/>
        </w:rPr>
        <w:t>a</w:t>
      </w:r>
      <w:r w:rsidRPr="00772028">
        <w:rPr>
          <w:rFonts w:ascii="Verdana" w:hAnsi="Verdana" w:cs="Arial"/>
          <w:bCs/>
        </w:rPr>
        <w:t xml:space="preserve"> del Sistema Habitacional </w:t>
      </w:r>
    </w:p>
    <w:p w14:paraId="3717E8B4" w14:textId="77777777" w:rsidR="00245163" w:rsidRPr="00772028" w:rsidRDefault="00245163" w:rsidP="00751854">
      <w:pPr>
        <w:rPr>
          <w:rFonts w:ascii="Verdana" w:hAnsi="Verdana" w:cs="Arial"/>
          <w:bCs/>
        </w:rPr>
      </w:pPr>
      <w:r w:rsidRPr="00772028">
        <w:rPr>
          <w:rFonts w:ascii="Verdana" w:hAnsi="Verdana" w:cs="Arial"/>
          <w:bCs/>
        </w:rPr>
        <w:t>Ministerio de Vivienda, Ciudad y Territorio</w:t>
      </w:r>
    </w:p>
    <w:p w14:paraId="2B4719F5" w14:textId="77777777" w:rsidR="00245163" w:rsidRPr="00772028" w:rsidRDefault="00245163" w:rsidP="00751854">
      <w:pPr>
        <w:rPr>
          <w:rFonts w:ascii="Verdana" w:hAnsi="Verdana" w:cs="Arial"/>
          <w:b/>
        </w:rPr>
      </w:pPr>
    </w:p>
    <w:p w14:paraId="61BB9A4D" w14:textId="77777777" w:rsidR="00245163" w:rsidRPr="00772028" w:rsidRDefault="00245163" w:rsidP="00751854">
      <w:pPr>
        <w:jc w:val="both"/>
        <w:rPr>
          <w:rFonts w:ascii="Verdana" w:hAnsi="Verdana" w:cs="Arial"/>
          <w:b/>
        </w:rPr>
      </w:pPr>
    </w:p>
    <w:p w14:paraId="56F971D5" w14:textId="77777777" w:rsidR="008A128B" w:rsidRDefault="008A128B" w:rsidP="008A128B">
      <w:pPr>
        <w:rPr>
          <w:rFonts w:ascii="Verdana" w:hAnsi="Verdana" w:cs="Arial"/>
          <w:b/>
        </w:rPr>
      </w:pPr>
    </w:p>
    <w:p w14:paraId="62E8B3F1" w14:textId="593C7BA3" w:rsidR="008A128B" w:rsidRDefault="008A128B" w:rsidP="008A128B">
      <w:pPr>
        <w:jc w:val="both"/>
        <w:rPr>
          <w:rFonts w:ascii="Verdana" w:hAnsi="Verdana" w:cs="Arial"/>
          <w:b/>
        </w:rPr>
      </w:pPr>
      <w:r w:rsidRPr="00772028">
        <w:rPr>
          <w:rFonts w:ascii="Verdana" w:hAnsi="Verdana" w:cs="Arial"/>
          <w:b/>
        </w:rPr>
        <w:t>__________________________________</w:t>
      </w:r>
    </w:p>
    <w:p w14:paraId="2BBD764C" w14:textId="14B929B6" w:rsidR="008A128B" w:rsidRPr="00772028" w:rsidRDefault="008A128B" w:rsidP="008A128B">
      <w:pPr>
        <w:rPr>
          <w:rFonts w:ascii="Verdana" w:hAnsi="Verdana" w:cs="Arial"/>
          <w:b/>
        </w:rPr>
      </w:pPr>
      <w:r>
        <w:rPr>
          <w:rFonts w:ascii="Verdana" w:hAnsi="Verdana" w:cs="Arial"/>
          <w:b/>
        </w:rPr>
        <w:t>DANIEL EDUARDO CONTRERAS CASTRO</w:t>
      </w:r>
    </w:p>
    <w:p w14:paraId="1E70141C" w14:textId="6C0A07F6" w:rsidR="008A128B" w:rsidRPr="00772028" w:rsidRDefault="008A128B" w:rsidP="008A128B">
      <w:pPr>
        <w:rPr>
          <w:rFonts w:ascii="Verdana" w:hAnsi="Verdana" w:cs="Arial"/>
          <w:bCs/>
        </w:rPr>
      </w:pPr>
      <w:r>
        <w:rPr>
          <w:rFonts w:ascii="Verdana" w:hAnsi="Verdana" w:cs="Arial"/>
          <w:bCs/>
        </w:rPr>
        <w:t>Director de Vivienda Rural</w:t>
      </w:r>
    </w:p>
    <w:p w14:paraId="7B338A6C" w14:textId="1D4B1A7C" w:rsidR="008A128B" w:rsidRPr="005C2388" w:rsidRDefault="008A128B" w:rsidP="008A128B">
      <w:pPr>
        <w:rPr>
          <w:rFonts w:ascii="Verdana" w:hAnsi="Verdana" w:cs="Arial"/>
          <w:bCs/>
        </w:rPr>
      </w:pPr>
      <w:r w:rsidRPr="00772028">
        <w:rPr>
          <w:rFonts w:ascii="Verdana" w:hAnsi="Verdana" w:cs="Arial"/>
          <w:bCs/>
        </w:rPr>
        <w:t>Ministerio de Vivienda, Ciudad y Territorio</w:t>
      </w:r>
    </w:p>
    <w:p w14:paraId="07A56E3C" w14:textId="77777777" w:rsidR="00082DBA" w:rsidRPr="00772028" w:rsidRDefault="00082DBA" w:rsidP="00751854">
      <w:pPr>
        <w:rPr>
          <w:rFonts w:ascii="Verdana" w:hAnsi="Verdana"/>
        </w:rPr>
      </w:pPr>
    </w:p>
    <w:sectPr w:rsidR="00082DBA" w:rsidRPr="00772028" w:rsidSect="00F80CE4">
      <w:headerReference w:type="default" r:id="rId20"/>
      <w:footerReference w:type="default" r:id="rId21"/>
      <w:headerReference w:type="first" r:id="rId22"/>
      <w:pgSz w:w="12240" w:h="18720" w:code="14"/>
      <w:pgMar w:top="1417" w:right="1701" w:bottom="1417" w:left="1701" w:header="57" w:footer="73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6FD3" w14:textId="77777777" w:rsidR="00420A36" w:rsidRDefault="00420A36">
      <w:r>
        <w:separator/>
      </w:r>
    </w:p>
  </w:endnote>
  <w:endnote w:type="continuationSeparator" w:id="0">
    <w:p w14:paraId="33E0588E" w14:textId="77777777" w:rsidR="00420A36" w:rsidRDefault="0042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MT">
    <w:altName w:val="Arial"/>
    <w:panose1 w:val="020B0604020202020204"/>
    <w:charset w:val="01"/>
    <w:family w:val="swiss"/>
    <w:pitch w:val="variable"/>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24CA" w14:textId="77777777" w:rsidR="00245163" w:rsidRPr="00F600DB" w:rsidRDefault="00245163">
    <w:pPr>
      <w:pStyle w:val="Piedepgina"/>
      <w:jc w:val="right"/>
      <w:rPr>
        <w:sz w:val="16"/>
        <w:szCs w:val="16"/>
      </w:rPr>
    </w:pPr>
    <w:r w:rsidRPr="00F600DB">
      <w:rPr>
        <w:sz w:val="16"/>
        <w:szCs w:val="16"/>
      </w:rPr>
      <w:t xml:space="preserve">Página </w:t>
    </w:r>
    <w:r w:rsidRPr="00F600DB">
      <w:rPr>
        <w:b/>
        <w:bCs/>
        <w:sz w:val="16"/>
        <w:szCs w:val="16"/>
      </w:rPr>
      <w:fldChar w:fldCharType="begin"/>
    </w:r>
    <w:r w:rsidRPr="00F600DB">
      <w:rPr>
        <w:b/>
        <w:bCs/>
        <w:sz w:val="16"/>
        <w:szCs w:val="16"/>
      </w:rPr>
      <w:instrText>PAGE</w:instrText>
    </w:r>
    <w:r w:rsidRPr="00F600DB">
      <w:rPr>
        <w:b/>
        <w:bCs/>
        <w:sz w:val="16"/>
        <w:szCs w:val="16"/>
      </w:rPr>
      <w:fldChar w:fldCharType="separate"/>
    </w:r>
    <w:r>
      <w:rPr>
        <w:b/>
        <w:bCs/>
        <w:noProof/>
        <w:sz w:val="16"/>
        <w:szCs w:val="16"/>
      </w:rPr>
      <w:t>2</w:t>
    </w:r>
    <w:r w:rsidRPr="00F600DB">
      <w:rPr>
        <w:b/>
        <w:bCs/>
        <w:sz w:val="16"/>
        <w:szCs w:val="16"/>
      </w:rPr>
      <w:fldChar w:fldCharType="end"/>
    </w:r>
    <w:r w:rsidRPr="00F600DB">
      <w:rPr>
        <w:sz w:val="16"/>
        <w:szCs w:val="16"/>
      </w:rPr>
      <w:t xml:space="preserve"> de </w:t>
    </w:r>
    <w:r w:rsidRPr="00F600DB">
      <w:rPr>
        <w:b/>
        <w:bCs/>
        <w:sz w:val="16"/>
        <w:szCs w:val="16"/>
      </w:rPr>
      <w:fldChar w:fldCharType="begin"/>
    </w:r>
    <w:r w:rsidRPr="00F600DB">
      <w:rPr>
        <w:b/>
        <w:bCs/>
        <w:sz w:val="16"/>
        <w:szCs w:val="16"/>
      </w:rPr>
      <w:instrText>NUMPAGES</w:instrText>
    </w:r>
    <w:r w:rsidRPr="00F600DB">
      <w:rPr>
        <w:b/>
        <w:bCs/>
        <w:sz w:val="16"/>
        <w:szCs w:val="16"/>
      </w:rPr>
      <w:fldChar w:fldCharType="separate"/>
    </w:r>
    <w:r>
      <w:rPr>
        <w:b/>
        <w:bCs/>
        <w:noProof/>
        <w:sz w:val="16"/>
        <w:szCs w:val="16"/>
      </w:rPr>
      <w:t>2</w:t>
    </w:r>
    <w:r w:rsidRPr="00F600DB">
      <w:rPr>
        <w:b/>
        <w:bCs/>
        <w:sz w:val="16"/>
        <w:szCs w:val="16"/>
      </w:rPr>
      <w:fldChar w:fldCharType="end"/>
    </w:r>
  </w:p>
  <w:p w14:paraId="1566231D" w14:textId="77777777" w:rsidR="00245163" w:rsidRPr="0084294E" w:rsidRDefault="00245163"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31C8" w14:textId="77777777" w:rsidR="00420A36" w:rsidRDefault="00420A36">
      <w:r>
        <w:separator/>
      </w:r>
    </w:p>
  </w:footnote>
  <w:footnote w:type="continuationSeparator" w:id="0">
    <w:p w14:paraId="012C62E2" w14:textId="77777777" w:rsidR="00420A36" w:rsidRDefault="00420A36">
      <w:r>
        <w:continuationSeparator/>
      </w:r>
    </w:p>
  </w:footnote>
  <w:footnote w:id="1">
    <w:p w14:paraId="6BEA1B02" w14:textId="093038C0" w:rsidR="004E0794" w:rsidRPr="004E0794" w:rsidRDefault="004E0794" w:rsidP="001B621A">
      <w:pPr>
        <w:pStyle w:val="Textonotapie"/>
        <w:ind w:left="-851" w:right="-93"/>
        <w:jc w:val="both"/>
        <w:rPr>
          <w:lang w:val="es-CO"/>
        </w:rPr>
      </w:pPr>
      <w:r>
        <w:rPr>
          <w:rStyle w:val="Refdenotaalpie"/>
        </w:rPr>
        <w:footnoteRef/>
      </w:r>
      <w:r>
        <w:t xml:space="preserve"> </w:t>
      </w:r>
      <w:r w:rsidRPr="004E0794">
        <w:t>Hace referencia al total de hogares en viviendas distintas de tradicional indígena (ENCV-DANE, 2023).</w:t>
      </w:r>
    </w:p>
  </w:footnote>
  <w:footnote w:id="2">
    <w:p w14:paraId="4D2DAAD3" w14:textId="7C6CACAA" w:rsidR="004E0794" w:rsidRDefault="004E0794" w:rsidP="001B621A">
      <w:pPr>
        <w:pStyle w:val="Textonotapie"/>
        <w:ind w:left="-851" w:right="-943"/>
        <w:jc w:val="both"/>
      </w:pPr>
      <w:r>
        <w:rPr>
          <w:rStyle w:val="Refdenotaalpie"/>
        </w:rPr>
        <w:footnoteRef/>
      </w:r>
      <w:r>
        <w:t xml:space="preserve"> </w:t>
      </w:r>
      <w:r w:rsidRPr="004E0794">
        <w:t>Pozo sin bomba, aljibe, jaguey o barreno, agua lluvia; río, quebrada, manantial o nacimiento; carrotanque;</w:t>
      </w:r>
      <w:r>
        <w:t xml:space="preserve"> </w:t>
      </w:r>
      <w:r w:rsidRPr="004E0794">
        <w:t>aguatero; o agua embotellada o en bolsa. (Metodología 2020, DANE).</w:t>
      </w:r>
    </w:p>
  </w:footnote>
  <w:footnote w:id="3">
    <w:p w14:paraId="18760AFA" w14:textId="074C6ABE" w:rsidR="001B621A" w:rsidRPr="001B621A" w:rsidRDefault="001B621A" w:rsidP="001B621A">
      <w:pPr>
        <w:pStyle w:val="Textonotapie"/>
        <w:ind w:left="-851" w:right="-943"/>
        <w:jc w:val="both"/>
        <w:rPr>
          <w:lang w:val="en-US"/>
        </w:rPr>
      </w:pPr>
      <w:r>
        <w:rPr>
          <w:rStyle w:val="Refdenotaalpie"/>
        </w:rPr>
        <w:footnoteRef/>
      </w:r>
      <w:r>
        <w:t xml:space="preserve"> </w:t>
      </w:r>
      <w:r w:rsidRPr="001B621A">
        <w:t xml:space="preserve">Organización para la Cooperación y el Desarrollo Económico. </w:t>
      </w:r>
      <w:r w:rsidRPr="001B621A">
        <w:rPr>
          <w:lang w:val="en-US"/>
        </w:rPr>
        <w:t>(2022). National Urban Policy</w:t>
      </w:r>
      <w:r>
        <w:rPr>
          <w:lang w:val="en-US"/>
        </w:rPr>
        <w:t xml:space="preserve"> </w:t>
      </w:r>
      <w:r w:rsidRPr="001B621A">
        <w:rPr>
          <w:lang w:val="en-US"/>
        </w:rPr>
        <w:t>Review of Colombia. OECD Urban Studies. OECD Publishing. Paris.</w:t>
      </w:r>
    </w:p>
  </w:footnote>
  <w:footnote w:id="4">
    <w:p w14:paraId="46592236" w14:textId="436D0AFC" w:rsidR="001B621A" w:rsidRPr="001B621A" w:rsidRDefault="001B621A" w:rsidP="001B621A">
      <w:pPr>
        <w:pStyle w:val="Textonotapie"/>
        <w:ind w:left="-851" w:right="-943"/>
        <w:jc w:val="both"/>
        <w:rPr>
          <w:lang w:val="en-US"/>
        </w:rPr>
      </w:pPr>
      <w:r>
        <w:rPr>
          <w:rStyle w:val="Refdenotaalpie"/>
        </w:rPr>
        <w:footnoteRef/>
      </w:r>
      <w:r w:rsidRPr="001B621A">
        <w:rPr>
          <w:lang w:val="en-US"/>
        </w:rPr>
        <w:t xml:space="preserve"> Banco Mundial. (2021). Striking a Balance: Toward a Comprehensive Housing Policy for a Post-COVID Colombia. Global Program for Resilient Housing. Washington, DC: World Bank. License: Creative Commons Attribution CC BY 3.0 IGO.</w:t>
      </w:r>
    </w:p>
  </w:footnote>
  <w:footnote w:id="5">
    <w:p w14:paraId="42034808" w14:textId="781D7757" w:rsidR="00123458" w:rsidRDefault="00123458" w:rsidP="00123458">
      <w:pPr>
        <w:pStyle w:val="Textonotapie"/>
        <w:ind w:left="-851" w:right="-943"/>
        <w:jc w:val="both"/>
      </w:pPr>
      <w:r>
        <w:rPr>
          <w:rStyle w:val="Refdenotaalpie"/>
        </w:rPr>
        <w:footnoteRef/>
      </w:r>
      <w:r>
        <w:t xml:space="preserve"> </w:t>
      </w:r>
      <w:r w:rsidRPr="00123458">
        <w:t>Por disponibilidad de información, las cifras de déficit habitacional a nivel municipal se toman del Censo Nacional de Población y Vivienda 2018 del DANE.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4846" w14:textId="77777777" w:rsidR="00245163" w:rsidRDefault="00245163">
    <w:pPr>
      <w:pStyle w:val="Encabezado"/>
    </w:pPr>
  </w:p>
  <w:p w14:paraId="6FEE72C1" w14:textId="362D3C46" w:rsidR="00245163" w:rsidRDefault="00245163" w:rsidP="00D57A9F">
    <w:pPr>
      <w:pStyle w:val="Encabezado"/>
      <w:rPr>
        <w:noProof/>
      </w:rPr>
    </w:pPr>
    <w:r>
      <w:rPr>
        <w:noProof/>
      </w:rPr>
      <w:drawing>
        <wp:anchor distT="0" distB="0" distL="114300" distR="114300" simplePos="0" relativeHeight="251662336" behindDoc="0" locked="0" layoutInCell="1" allowOverlap="1" wp14:anchorId="751B750E" wp14:editId="5F0DF999">
          <wp:simplePos x="0" y="0"/>
          <wp:positionH relativeFrom="page">
            <wp:posOffset>5080</wp:posOffset>
          </wp:positionH>
          <wp:positionV relativeFrom="paragraph">
            <wp:posOffset>-311785</wp:posOffset>
          </wp:positionV>
          <wp:extent cx="5612130" cy="720725"/>
          <wp:effectExtent l="0" t="0" r="0" b="3175"/>
          <wp:wrapNone/>
          <wp:docPr id="60075178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2577239"/>
                  <pic:cNvPicPr>
                    <a:picLocks noChangeAspect="1" noChangeArrowheads="1"/>
                  </pic:cNvPicPr>
                </pic:nvPicPr>
                <pic:blipFill>
                  <a:blip r:embed="rId1">
                    <a:extLst>
                      <a:ext uri="{28A0092B-C50C-407E-A947-70E740481C1C}">
                        <a14:useLocalDpi xmlns:a14="http://schemas.microsoft.com/office/drawing/2010/main" val="0"/>
                      </a:ext>
                    </a:extLst>
                  </a:blip>
                  <a:srcRect b="90070"/>
                  <a:stretch>
                    <a:fillRect/>
                  </a:stretch>
                </pic:blipFill>
                <pic:spPr bwMode="auto">
                  <a:xfrm>
                    <a:off x="0" y="0"/>
                    <a:ext cx="5612130"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54156" w14:textId="77777777" w:rsidR="00245163" w:rsidRDefault="00245163" w:rsidP="00D57A9F">
    <w:pPr>
      <w:pStyle w:val="Encabezado"/>
      <w:rPr>
        <w:noProof/>
      </w:rPr>
    </w:pPr>
  </w:p>
  <w:p w14:paraId="29985763" w14:textId="77777777" w:rsidR="00245163" w:rsidRDefault="00245163" w:rsidP="00D57A9F">
    <w:pPr>
      <w:pStyle w:val="Encabezado"/>
      <w:rPr>
        <w:noProof/>
      </w:rPr>
    </w:pPr>
  </w:p>
  <w:p w14:paraId="545D2DF5" w14:textId="7B9DAD25" w:rsidR="00245163" w:rsidRDefault="00245163" w:rsidP="00D57A9F">
    <w:pPr>
      <w:pStyle w:val="TableParagraph"/>
      <w:spacing w:before="89" w:line="237" w:lineRule="auto"/>
      <w:ind w:right="57"/>
      <w:jc w:val="center"/>
      <w:rPr>
        <w:rFonts w:ascii="Verdana" w:hAnsi="Verdana"/>
        <w:bCs/>
        <w:spacing w:val="-1"/>
      </w:rPr>
    </w:pPr>
    <w:r>
      <w:rPr>
        <w:noProof/>
      </w:rPr>
      <mc:AlternateContent>
        <mc:Choice Requires="wps">
          <w:drawing>
            <wp:anchor distT="4294967295" distB="4294967295" distL="114300" distR="114300" simplePos="0" relativeHeight="251661312" behindDoc="0" locked="0" layoutInCell="1" allowOverlap="1" wp14:anchorId="3966884E" wp14:editId="20947D75">
              <wp:simplePos x="0" y="0"/>
              <wp:positionH relativeFrom="column">
                <wp:posOffset>-118110</wp:posOffset>
              </wp:positionH>
              <wp:positionV relativeFrom="paragraph">
                <wp:posOffset>266699</wp:posOffset>
              </wp:positionV>
              <wp:extent cx="5937885" cy="0"/>
              <wp:effectExtent l="0" t="0" r="0" b="0"/>
              <wp:wrapNone/>
              <wp:docPr id="1838437741"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9864CF" id="Conector recto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21pt" to="45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" strokecolor="windowText" strokeweight=".5pt">
              <v:stroke joinstyle="miter"/>
              <o:lock v:ext="edit" shapetype="f"/>
            </v:line>
          </w:pict>
        </mc:Fallback>
      </mc:AlternateContent>
    </w:r>
  </w:p>
  <w:p w14:paraId="15B8E44D" w14:textId="77777777" w:rsidR="00245163" w:rsidRPr="00A34631" w:rsidRDefault="00245163" w:rsidP="00D57A9F">
    <w:pPr>
      <w:pStyle w:val="TableParagraph"/>
      <w:spacing w:before="89" w:line="237" w:lineRule="auto"/>
      <w:ind w:right="57"/>
      <w:jc w:val="center"/>
      <w:rPr>
        <w:rFonts w:ascii="Verdana" w:eastAsia="Times New Roman" w:hAnsi="Verdana" w:cs="Times New Roman"/>
        <w:lang w:val="es-CO" w:eastAsia="es-ES"/>
      </w:rPr>
    </w:pPr>
    <w:r>
      <w:rPr>
        <w:rFonts w:ascii="Verdana" w:hAnsi="Verdana"/>
        <w:bCs/>
        <w:spacing w:val="-1"/>
      </w:rPr>
      <w:t xml:space="preserve">FORMATO: </w:t>
    </w:r>
    <w:r w:rsidRPr="006512F3">
      <w:rPr>
        <w:rFonts w:ascii="Verdana" w:hAnsi="Verdana"/>
        <w:bCs/>
        <w:spacing w:val="-1"/>
      </w:rPr>
      <w:t>MEMORIA JUSTIFICATIVA</w:t>
    </w:r>
  </w:p>
  <w:p w14:paraId="711B1EB5" w14:textId="77777777" w:rsidR="00245163" w:rsidRPr="00A34631" w:rsidRDefault="00245163" w:rsidP="00D57A9F">
    <w:pPr>
      <w:widowControl w:val="0"/>
      <w:autoSpaceDE w:val="0"/>
      <w:autoSpaceDN w:val="0"/>
      <w:ind w:left="118"/>
      <w:jc w:val="center"/>
      <w:rPr>
        <w:rFonts w:ascii="Verdana" w:hAnsi="Verdana"/>
        <w:sz w:val="22"/>
        <w:szCs w:val="22"/>
      </w:rPr>
    </w:pPr>
    <w:r w:rsidRPr="00A34631">
      <w:rPr>
        <w:rFonts w:ascii="Verdana" w:hAnsi="Verdana"/>
        <w:sz w:val="22"/>
        <w:szCs w:val="22"/>
      </w:rPr>
      <w:t>PROCESO: GESTIÓN A LA POLÍTICA</w:t>
    </w:r>
    <w:r w:rsidRPr="00A34631">
      <w:rPr>
        <w:rFonts w:ascii="Verdana" w:hAnsi="Verdana"/>
        <w:spacing w:val="1"/>
        <w:sz w:val="22"/>
        <w:szCs w:val="22"/>
      </w:rPr>
      <w:t xml:space="preserve"> </w:t>
    </w:r>
    <w:r w:rsidRPr="00A34631">
      <w:rPr>
        <w:rFonts w:ascii="Verdana" w:hAnsi="Verdana"/>
        <w:sz w:val="22"/>
        <w:szCs w:val="22"/>
      </w:rPr>
      <w:t>DE</w:t>
    </w:r>
    <w:r w:rsidRPr="00A34631">
      <w:rPr>
        <w:rFonts w:ascii="Verdana" w:hAnsi="Verdana"/>
        <w:spacing w:val="1"/>
        <w:sz w:val="22"/>
        <w:szCs w:val="22"/>
      </w:rPr>
      <w:t xml:space="preserve"> </w:t>
    </w:r>
    <w:r>
      <w:rPr>
        <w:rFonts w:ascii="Verdana" w:hAnsi="Verdana"/>
        <w:spacing w:val="1"/>
        <w:sz w:val="22"/>
        <w:szCs w:val="22"/>
      </w:rPr>
      <w:t>VIVIENDA</w:t>
    </w:r>
  </w:p>
  <w:p w14:paraId="3876038F" w14:textId="77777777" w:rsidR="00245163" w:rsidRPr="006512F3" w:rsidRDefault="00245163" w:rsidP="00D57A9F">
    <w:pPr>
      <w:widowControl w:val="0"/>
      <w:autoSpaceDE w:val="0"/>
      <w:autoSpaceDN w:val="0"/>
      <w:ind w:left="118"/>
      <w:jc w:val="center"/>
      <w:rPr>
        <w:rFonts w:ascii="Verdana" w:hAnsi="Verdana"/>
        <w:sz w:val="22"/>
        <w:szCs w:val="22"/>
      </w:rPr>
    </w:pPr>
    <w:r w:rsidRPr="00BA6D7F">
      <w:rPr>
        <w:rFonts w:ascii="Verdana" w:hAnsi="Verdana"/>
        <w:sz w:val="22"/>
        <w:szCs w:val="22"/>
      </w:rPr>
      <w:t>Versión: 6.0, Fecha: 05/06/2023, Código: GPV-F-</w:t>
    </w:r>
    <w:r w:rsidRPr="006512F3">
      <w:rPr>
        <w:rFonts w:ascii="Verdana" w:hAnsi="Verdana"/>
        <w:sz w:val="22"/>
        <w:szCs w:val="22"/>
      </w:rPr>
      <w:t>1</w:t>
    </w:r>
    <w:r>
      <w:rPr>
        <w:rFonts w:ascii="Verdana" w:hAnsi="Verdana"/>
        <w:sz w:val="22"/>
        <w:szCs w:val="22"/>
      </w:rPr>
      <w:t>9</w:t>
    </w:r>
  </w:p>
  <w:p w14:paraId="22735DE4" w14:textId="77777777" w:rsidR="00245163" w:rsidRDefault="00245163" w:rsidP="00E570F8">
    <w:pPr>
      <w:pStyle w:val="Encabezado"/>
      <w:tabs>
        <w:tab w:val="clear" w:pos="4252"/>
        <w:tab w:val="clear" w:pos="8504"/>
        <w:tab w:val="center" w:pos="4394"/>
      </w:tabs>
      <w:ind w:left="-1701" w:right="-1652"/>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EB22" w14:textId="43EBEB90" w:rsidR="00245163" w:rsidRDefault="00245163" w:rsidP="006512F3">
    <w:pPr>
      <w:pStyle w:val="Encabezado"/>
      <w:rPr>
        <w:noProof/>
      </w:rPr>
    </w:pPr>
    <w:r>
      <w:rPr>
        <w:noProof/>
      </w:rPr>
      <w:drawing>
        <wp:anchor distT="0" distB="0" distL="114300" distR="114300" simplePos="0" relativeHeight="251660288" behindDoc="0" locked="0" layoutInCell="1" allowOverlap="1" wp14:anchorId="2D87F9AB" wp14:editId="5BD98C65">
          <wp:simplePos x="0" y="0"/>
          <wp:positionH relativeFrom="page">
            <wp:posOffset>5080</wp:posOffset>
          </wp:positionH>
          <wp:positionV relativeFrom="paragraph">
            <wp:posOffset>-311785</wp:posOffset>
          </wp:positionV>
          <wp:extent cx="5612130" cy="720725"/>
          <wp:effectExtent l="0" t="0" r="0" b="3175"/>
          <wp:wrapNone/>
          <wp:docPr id="941154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2577239"/>
                  <pic:cNvPicPr>
                    <a:picLocks noChangeAspect="1" noChangeArrowheads="1"/>
                  </pic:cNvPicPr>
                </pic:nvPicPr>
                <pic:blipFill>
                  <a:blip r:embed="rId1">
                    <a:extLst>
                      <a:ext uri="{28A0092B-C50C-407E-A947-70E740481C1C}">
                        <a14:useLocalDpi xmlns:a14="http://schemas.microsoft.com/office/drawing/2010/main" val="0"/>
                      </a:ext>
                    </a:extLst>
                  </a:blip>
                  <a:srcRect b="90070"/>
                  <a:stretch>
                    <a:fillRect/>
                  </a:stretch>
                </pic:blipFill>
                <pic:spPr bwMode="auto">
                  <a:xfrm>
                    <a:off x="0" y="0"/>
                    <a:ext cx="5612130"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14681F" w14:textId="77777777" w:rsidR="00245163" w:rsidRDefault="00245163" w:rsidP="006512F3">
    <w:pPr>
      <w:pStyle w:val="Encabezado"/>
      <w:rPr>
        <w:noProof/>
      </w:rPr>
    </w:pPr>
  </w:p>
  <w:p w14:paraId="01EB2EE7" w14:textId="77777777" w:rsidR="00245163" w:rsidRDefault="00245163" w:rsidP="006512F3">
    <w:pPr>
      <w:pStyle w:val="Encabezado"/>
      <w:rPr>
        <w:noProof/>
      </w:rPr>
    </w:pPr>
  </w:p>
  <w:p w14:paraId="36730BE4" w14:textId="087A7930" w:rsidR="00245163" w:rsidRDefault="00245163" w:rsidP="006512F3">
    <w:pPr>
      <w:pStyle w:val="TableParagraph"/>
      <w:spacing w:before="89" w:line="237" w:lineRule="auto"/>
      <w:ind w:right="57"/>
      <w:jc w:val="center"/>
      <w:rPr>
        <w:rFonts w:ascii="Verdana" w:hAnsi="Verdana"/>
        <w:bCs/>
        <w:spacing w:val="-1"/>
      </w:rPr>
    </w:pPr>
    <w:r>
      <w:rPr>
        <w:noProof/>
      </w:rPr>
      <mc:AlternateContent>
        <mc:Choice Requires="wps">
          <w:drawing>
            <wp:anchor distT="4294967295" distB="4294967295" distL="114300" distR="114300" simplePos="0" relativeHeight="251659264" behindDoc="0" locked="0" layoutInCell="1" allowOverlap="1" wp14:anchorId="5481ED16" wp14:editId="10E6FCBC">
              <wp:simplePos x="0" y="0"/>
              <wp:positionH relativeFrom="column">
                <wp:posOffset>-118110</wp:posOffset>
              </wp:positionH>
              <wp:positionV relativeFrom="paragraph">
                <wp:posOffset>266699</wp:posOffset>
              </wp:positionV>
              <wp:extent cx="5937885" cy="0"/>
              <wp:effectExtent l="0" t="0" r="0" b="0"/>
              <wp:wrapNone/>
              <wp:docPr id="2034282862"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25AE66" id="Conector rec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21pt" to="45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" strokecolor="windowText" strokeweight=".5pt">
              <v:stroke joinstyle="miter"/>
              <o:lock v:ext="edit" shapetype="f"/>
            </v:line>
          </w:pict>
        </mc:Fallback>
      </mc:AlternateContent>
    </w:r>
  </w:p>
  <w:p w14:paraId="769BF79A" w14:textId="77777777" w:rsidR="00245163" w:rsidRPr="00A34631" w:rsidRDefault="00245163" w:rsidP="006512F3">
    <w:pPr>
      <w:pStyle w:val="TableParagraph"/>
      <w:spacing w:before="89" w:line="237" w:lineRule="auto"/>
      <w:ind w:right="57"/>
      <w:jc w:val="center"/>
      <w:rPr>
        <w:rFonts w:ascii="Verdana" w:eastAsia="Times New Roman" w:hAnsi="Verdana" w:cs="Times New Roman"/>
        <w:lang w:val="es-CO" w:eastAsia="es-ES"/>
      </w:rPr>
    </w:pPr>
    <w:r>
      <w:rPr>
        <w:rFonts w:ascii="Verdana" w:hAnsi="Verdana"/>
        <w:bCs/>
        <w:spacing w:val="-1"/>
      </w:rPr>
      <w:t xml:space="preserve">FORMATO: </w:t>
    </w:r>
    <w:r w:rsidRPr="006512F3">
      <w:rPr>
        <w:rFonts w:ascii="Verdana" w:hAnsi="Verdana"/>
        <w:bCs/>
        <w:spacing w:val="-1"/>
      </w:rPr>
      <w:t>MEMORIA JUSTIFICATIVA</w:t>
    </w:r>
  </w:p>
  <w:p w14:paraId="5876D49E" w14:textId="77777777" w:rsidR="00245163" w:rsidRPr="00A34631" w:rsidRDefault="00245163" w:rsidP="006512F3">
    <w:pPr>
      <w:widowControl w:val="0"/>
      <w:autoSpaceDE w:val="0"/>
      <w:autoSpaceDN w:val="0"/>
      <w:ind w:left="118"/>
      <w:jc w:val="center"/>
      <w:rPr>
        <w:rFonts w:ascii="Verdana" w:hAnsi="Verdana"/>
        <w:sz w:val="22"/>
        <w:szCs w:val="22"/>
      </w:rPr>
    </w:pPr>
    <w:r w:rsidRPr="00A34631">
      <w:rPr>
        <w:rFonts w:ascii="Verdana" w:hAnsi="Verdana"/>
        <w:sz w:val="22"/>
        <w:szCs w:val="22"/>
      </w:rPr>
      <w:t>PROCESO: GESTIÓN A LA POLÍTICA</w:t>
    </w:r>
    <w:r w:rsidRPr="00A34631">
      <w:rPr>
        <w:rFonts w:ascii="Verdana" w:hAnsi="Verdana"/>
        <w:spacing w:val="1"/>
        <w:sz w:val="22"/>
        <w:szCs w:val="22"/>
      </w:rPr>
      <w:t xml:space="preserve"> </w:t>
    </w:r>
    <w:r w:rsidRPr="00A34631">
      <w:rPr>
        <w:rFonts w:ascii="Verdana" w:hAnsi="Verdana"/>
        <w:sz w:val="22"/>
        <w:szCs w:val="22"/>
      </w:rPr>
      <w:t>DE</w:t>
    </w:r>
    <w:r w:rsidRPr="00A34631">
      <w:rPr>
        <w:rFonts w:ascii="Verdana" w:hAnsi="Verdana"/>
        <w:spacing w:val="1"/>
        <w:sz w:val="22"/>
        <w:szCs w:val="22"/>
      </w:rPr>
      <w:t xml:space="preserve"> </w:t>
    </w:r>
    <w:r>
      <w:rPr>
        <w:rFonts w:ascii="Verdana" w:hAnsi="Verdana"/>
        <w:spacing w:val="1"/>
        <w:sz w:val="22"/>
        <w:szCs w:val="22"/>
      </w:rPr>
      <w:t>VIVIENDA</w:t>
    </w:r>
  </w:p>
  <w:p w14:paraId="61C78D09" w14:textId="77777777" w:rsidR="00245163" w:rsidRPr="006512F3" w:rsidRDefault="00245163" w:rsidP="006512F3">
    <w:pPr>
      <w:widowControl w:val="0"/>
      <w:autoSpaceDE w:val="0"/>
      <w:autoSpaceDN w:val="0"/>
      <w:ind w:left="118"/>
      <w:jc w:val="center"/>
      <w:rPr>
        <w:rFonts w:ascii="Verdana" w:hAnsi="Verdana"/>
        <w:sz w:val="22"/>
        <w:szCs w:val="22"/>
      </w:rPr>
    </w:pPr>
    <w:r w:rsidRPr="00C254DA">
      <w:rPr>
        <w:rFonts w:ascii="Verdana" w:hAnsi="Verdana"/>
        <w:sz w:val="22"/>
        <w:szCs w:val="22"/>
      </w:rPr>
      <w:t>Versión: 6.0, Fecha: 05/06/2023, Código:</w:t>
    </w:r>
    <w:r w:rsidRPr="00A34631">
      <w:rPr>
        <w:rFonts w:ascii="Verdana" w:hAnsi="Verdana"/>
        <w:sz w:val="22"/>
        <w:szCs w:val="22"/>
      </w:rPr>
      <w:t xml:space="preserve"> </w:t>
    </w:r>
    <w:r w:rsidRPr="006512F3">
      <w:rPr>
        <w:rFonts w:ascii="Verdana" w:hAnsi="Verdana"/>
        <w:sz w:val="22"/>
        <w:szCs w:val="22"/>
      </w:rPr>
      <w:t>GP</w:t>
    </w:r>
    <w:r>
      <w:rPr>
        <w:rFonts w:ascii="Verdana" w:hAnsi="Verdana"/>
        <w:sz w:val="22"/>
        <w:szCs w:val="22"/>
      </w:rPr>
      <w:t>V</w:t>
    </w:r>
    <w:r w:rsidRPr="006512F3">
      <w:rPr>
        <w:rFonts w:ascii="Verdana" w:hAnsi="Verdana"/>
        <w:sz w:val="22"/>
        <w:szCs w:val="22"/>
      </w:rPr>
      <w:t>-F-1</w:t>
    </w:r>
    <w:r>
      <w:rPr>
        <w:rFonts w:ascii="Verdana" w:hAnsi="Verdana"/>
        <w:sz w:val="22"/>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59C"/>
    <w:multiLevelType w:val="hybridMultilevel"/>
    <w:tmpl w:val="B3009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6A5BD5"/>
    <w:multiLevelType w:val="hybridMultilevel"/>
    <w:tmpl w:val="514A1BC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67691B"/>
    <w:multiLevelType w:val="hybridMultilevel"/>
    <w:tmpl w:val="510A5974"/>
    <w:lvl w:ilvl="0" w:tplc="3E2A6136">
      <w:start w:val="1"/>
      <w:numFmt w:val="decimal"/>
      <w:lvlText w:val="%1."/>
      <w:lvlJc w:val="left"/>
      <w:pPr>
        <w:ind w:left="502" w:hanging="360"/>
      </w:pPr>
      <w:rPr>
        <w:rFonts w:hint="default"/>
        <w:b/>
        <w:bCs w:val="0"/>
        <w:sz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274E14AB"/>
    <w:multiLevelType w:val="hybridMultilevel"/>
    <w:tmpl w:val="EC784102"/>
    <w:lvl w:ilvl="0" w:tplc="1DCEDC82">
      <w:start w:val="1"/>
      <w:numFmt w:val="decimal"/>
      <w:lvlText w:val="%1."/>
      <w:lvlJc w:val="left"/>
      <w:pPr>
        <w:ind w:left="502" w:hanging="360"/>
      </w:pPr>
      <w:rPr>
        <w:rFonts w:cs="Arial"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2C8D575C"/>
    <w:multiLevelType w:val="multilevel"/>
    <w:tmpl w:val="9CB2F022"/>
    <w:lvl w:ilvl="0">
      <w:start w:val="1"/>
      <w:numFmt w:val="decimal"/>
      <w:lvlText w:val="%1."/>
      <w:lvlJc w:val="left"/>
      <w:pPr>
        <w:ind w:left="720" w:hanging="360"/>
      </w:pPr>
      <w:rPr>
        <w:rFonts w:hint="default"/>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E85EEF"/>
    <w:multiLevelType w:val="hybridMultilevel"/>
    <w:tmpl w:val="39CA6E56"/>
    <w:lvl w:ilvl="0" w:tplc="1388CBD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4A7861"/>
    <w:multiLevelType w:val="hybridMultilevel"/>
    <w:tmpl w:val="48B48DF8"/>
    <w:lvl w:ilvl="0" w:tplc="0CC40FD0">
      <w:start w:val="1"/>
      <w:numFmt w:val="upperRoman"/>
      <w:lvlText w:val="%1."/>
      <w:lvlJc w:val="left"/>
      <w:pPr>
        <w:ind w:left="862" w:hanging="720"/>
      </w:pPr>
      <w:rPr>
        <w:rFonts w:cs="Arial" w:hint="default"/>
        <w:b/>
        <w:sz w:val="22"/>
        <w:lang w:val="es-ES"/>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493034801">
    <w:abstractNumId w:val="4"/>
  </w:num>
  <w:num w:numId="2" w16cid:durableId="478153304">
    <w:abstractNumId w:val="0"/>
  </w:num>
  <w:num w:numId="3" w16cid:durableId="854811636">
    <w:abstractNumId w:val="5"/>
  </w:num>
  <w:num w:numId="4" w16cid:durableId="346833095">
    <w:abstractNumId w:val="2"/>
  </w:num>
  <w:num w:numId="5" w16cid:durableId="1696729883">
    <w:abstractNumId w:val="1"/>
  </w:num>
  <w:num w:numId="6" w16cid:durableId="1695229169">
    <w:abstractNumId w:val="6"/>
  </w:num>
  <w:num w:numId="7" w16cid:durableId="831683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63"/>
    <w:rsid w:val="00017E04"/>
    <w:rsid w:val="0002462D"/>
    <w:rsid w:val="00074F47"/>
    <w:rsid w:val="000767C1"/>
    <w:rsid w:val="00082DBA"/>
    <w:rsid w:val="000A384F"/>
    <w:rsid w:val="000C0344"/>
    <w:rsid w:val="000E3D66"/>
    <w:rsid w:val="00100FEC"/>
    <w:rsid w:val="00101F25"/>
    <w:rsid w:val="0010276D"/>
    <w:rsid w:val="00116BB1"/>
    <w:rsid w:val="00123458"/>
    <w:rsid w:val="00123F30"/>
    <w:rsid w:val="00163557"/>
    <w:rsid w:val="00193BA6"/>
    <w:rsid w:val="0019678D"/>
    <w:rsid w:val="001B621A"/>
    <w:rsid w:val="0020063E"/>
    <w:rsid w:val="00207813"/>
    <w:rsid w:val="00226534"/>
    <w:rsid w:val="00245163"/>
    <w:rsid w:val="002631AD"/>
    <w:rsid w:val="00272CE3"/>
    <w:rsid w:val="00290194"/>
    <w:rsid w:val="002A47C0"/>
    <w:rsid w:val="002E38C4"/>
    <w:rsid w:val="002F468D"/>
    <w:rsid w:val="00311357"/>
    <w:rsid w:val="00327F88"/>
    <w:rsid w:val="003751B0"/>
    <w:rsid w:val="00387E73"/>
    <w:rsid w:val="0039235C"/>
    <w:rsid w:val="003B7408"/>
    <w:rsid w:val="003C55EB"/>
    <w:rsid w:val="003D707F"/>
    <w:rsid w:val="003F4DC7"/>
    <w:rsid w:val="003F59DC"/>
    <w:rsid w:val="00400B0C"/>
    <w:rsid w:val="00403BDD"/>
    <w:rsid w:val="00420A36"/>
    <w:rsid w:val="00424162"/>
    <w:rsid w:val="00424A5A"/>
    <w:rsid w:val="004431D5"/>
    <w:rsid w:val="00451610"/>
    <w:rsid w:val="0045596A"/>
    <w:rsid w:val="00486547"/>
    <w:rsid w:val="004A1919"/>
    <w:rsid w:val="004B0509"/>
    <w:rsid w:val="004B510F"/>
    <w:rsid w:val="004D1B07"/>
    <w:rsid w:val="004D5EDD"/>
    <w:rsid w:val="004E0794"/>
    <w:rsid w:val="004E485F"/>
    <w:rsid w:val="005020AB"/>
    <w:rsid w:val="00502417"/>
    <w:rsid w:val="00516CA6"/>
    <w:rsid w:val="00587E95"/>
    <w:rsid w:val="005900F4"/>
    <w:rsid w:val="00596EC8"/>
    <w:rsid w:val="005A0022"/>
    <w:rsid w:val="005B27B2"/>
    <w:rsid w:val="005C2388"/>
    <w:rsid w:val="005C5323"/>
    <w:rsid w:val="005D2017"/>
    <w:rsid w:val="005E0517"/>
    <w:rsid w:val="005F37B4"/>
    <w:rsid w:val="005F4A9C"/>
    <w:rsid w:val="00650428"/>
    <w:rsid w:val="00664DA0"/>
    <w:rsid w:val="00687CE9"/>
    <w:rsid w:val="006B5134"/>
    <w:rsid w:val="006F1D06"/>
    <w:rsid w:val="006F3F58"/>
    <w:rsid w:val="006F6C16"/>
    <w:rsid w:val="00726146"/>
    <w:rsid w:val="00751854"/>
    <w:rsid w:val="007613D8"/>
    <w:rsid w:val="00772028"/>
    <w:rsid w:val="00790345"/>
    <w:rsid w:val="007C19D9"/>
    <w:rsid w:val="00805903"/>
    <w:rsid w:val="00814C70"/>
    <w:rsid w:val="00816AE2"/>
    <w:rsid w:val="00836813"/>
    <w:rsid w:val="00860098"/>
    <w:rsid w:val="00860B2B"/>
    <w:rsid w:val="0086468D"/>
    <w:rsid w:val="008A128B"/>
    <w:rsid w:val="008B0F83"/>
    <w:rsid w:val="008C1BAF"/>
    <w:rsid w:val="008C2067"/>
    <w:rsid w:val="008F66D9"/>
    <w:rsid w:val="009062B2"/>
    <w:rsid w:val="009070BA"/>
    <w:rsid w:val="00911022"/>
    <w:rsid w:val="0091504E"/>
    <w:rsid w:val="00915CCB"/>
    <w:rsid w:val="00915D8D"/>
    <w:rsid w:val="009B3E50"/>
    <w:rsid w:val="009D32B9"/>
    <w:rsid w:val="009E109C"/>
    <w:rsid w:val="009E2456"/>
    <w:rsid w:val="00A0726C"/>
    <w:rsid w:val="00A17EC1"/>
    <w:rsid w:val="00A3664E"/>
    <w:rsid w:val="00A67A33"/>
    <w:rsid w:val="00A779E2"/>
    <w:rsid w:val="00A954BA"/>
    <w:rsid w:val="00AA42E9"/>
    <w:rsid w:val="00AC3C60"/>
    <w:rsid w:val="00AF4D8E"/>
    <w:rsid w:val="00B0336D"/>
    <w:rsid w:val="00B121D6"/>
    <w:rsid w:val="00B154DC"/>
    <w:rsid w:val="00B16F23"/>
    <w:rsid w:val="00B20C4C"/>
    <w:rsid w:val="00B455D2"/>
    <w:rsid w:val="00B507A0"/>
    <w:rsid w:val="00B63C38"/>
    <w:rsid w:val="00B66DF1"/>
    <w:rsid w:val="00B8491C"/>
    <w:rsid w:val="00B90FD3"/>
    <w:rsid w:val="00B95757"/>
    <w:rsid w:val="00BC36E3"/>
    <w:rsid w:val="00BD63B8"/>
    <w:rsid w:val="00C1242A"/>
    <w:rsid w:val="00C25C96"/>
    <w:rsid w:val="00C27F21"/>
    <w:rsid w:val="00C3658E"/>
    <w:rsid w:val="00C63DAC"/>
    <w:rsid w:val="00C67FD2"/>
    <w:rsid w:val="00C80765"/>
    <w:rsid w:val="00CA54FD"/>
    <w:rsid w:val="00CB02A5"/>
    <w:rsid w:val="00CC2DE9"/>
    <w:rsid w:val="00CC3410"/>
    <w:rsid w:val="00CD0DD6"/>
    <w:rsid w:val="00CD4B09"/>
    <w:rsid w:val="00CE56C2"/>
    <w:rsid w:val="00CF1141"/>
    <w:rsid w:val="00D04B8E"/>
    <w:rsid w:val="00D127E0"/>
    <w:rsid w:val="00D2329E"/>
    <w:rsid w:val="00D258B9"/>
    <w:rsid w:val="00D6384A"/>
    <w:rsid w:val="00D644EC"/>
    <w:rsid w:val="00D70B5F"/>
    <w:rsid w:val="00D804FE"/>
    <w:rsid w:val="00D8169E"/>
    <w:rsid w:val="00D932B6"/>
    <w:rsid w:val="00D93FBA"/>
    <w:rsid w:val="00DB64F7"/>
    <w:rsid w:val="00DB74BA"/>
    <w:rsid w:val="00DD65C2"/>
    <w:rsid w:val="00DE693A"/>
    <w:rsid w:val="00E06308"/>
    <w:rsid w:val="00E10FD8"/>
    <w:rsid w:val="00E21FCE"/>
    <w:rsid w:val="00E34116"/>
    <w:rsid w:val="00E360C6"/>
    <w:rsid w:val="00E3610C"/>
    <w:rsid w:val="00E44BC8"/>
    <w:rsid w:val="00E46422"/>
    <w:rsid w:val="00E54D23"/>
    <w:rsid w:val="00E76FC6"/>
    <w:rsid w:val="00E809EC"/>
    <w:rsid w:val="00E97783"/>
    <w:rsid w:val="00EA103E"/>
    <w:rsid w:val="00EF04B6"/>
    <w:rsid w:val="00F02281"/>
    <w:rsid w:val="00F0349A"/>
    <w:rsid w:val="00F07921"/>
    <w:rsid w:val="00F26D19"/>
    <w:rsid w:val="00F27B28"/>
    <w:rsid w:val="00F36FB8"/>
    <w:rsid w:val="00F44559"/>
    <w:rsid w:val="00F56984"/>
    <w:rsid w:val="00F60F31"/>
    <w:rsid w:val="00F64307"/>
    <w:rsid w:val="00F72DE7"/>
    <w:rsid w:val="00F767DE"/>
    <w:rsid w:val="00F80CE4"/>
    <w:rsid w:val="00F87425"/>
    <w:rsid w:val="00FA3942"/>
    <w:rsid w:val="00FD2549"/>
    <w:rsid w:val="00FD7164"/>
    <w:rsid w:val="00FE308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747CF"/>
  <w15:chartTrackingRefBased/>
  <w15:docId w15:val="{957102E0-2D0A-4F4E-9FCD-2643A31E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8D"/>
    <w:pPr>
      <w:spacing w:after="0" w:line="240" w:lineRule="auto"/>
    </w:pPr>
    <w:rPr>
      <w:rFonts w:ascii="Arial" w:eastAsia="Times New Roman" w:hAnsi="Arial" w:cs="Times New Roman"/>
      <w:kern w:val="0"/>
      <w:sz w:val="20"/>
      <w:szCs w:val="20"/>
      <w:lang w:eastAsia="es-ES"/>
      <w14:ligatures w14:val="none"/>
    </w:rPr>
  </w:style>
  <w:style w:type="paragraph" w:styleId="Ttulo1">
    <w:name w:val="heading 1"/>
    <w:basedOn w:val="Normal"/>
    <w:next w:val="Normal"/>
    <w:link w:val="Ttulo1Car"/>
    <w:uiPriority w:val="9"/>
    <w:qFormat/>
    <w:rsid w:val="004E48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245163"/>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45163"/>
    <w:rPr>
      <w:rFonts w:ascii="Arial" w:eastAsia="Times New Roman" w:hAnsi="Arial" w:cs="Times New Roman"/>
      <w:b/>
      <w:kern w:val="0"/>
      <w:sz w:val="20"/>
      <w:szCs w:val="20"/>
      <w:lang w:eastAsia="es-ES"/>
      <w14:ligatures w14:val="none"/>
    </w:rPr>
  </w:style>
  <w:style w:type="paragraph" w:styleId="Encabezado">
    <w:name w:val="header"/>
    <w:aliases w:val="Encabezado1,encabezado,Encabezado Car Car Car Car Car,Encabezado Car Car Car"/>
    <w:basedOn w:val="Normal"/>
    <w:link w:val="EncabezadoCar1"/>
    <w:uiPriority w:val="99"/>
    <w:rsid w:val="00245163"/>
    <w:pPr>
      <w:tabs>
        <w:tab w:val="center" w:pos="4252"/>
        <w:tab w:val="right" w:pos="8504"/>
      </w:tabs>
    </w:pPr>
  </w:style>
  <w:style w:type="character" w:customStyle="1" w:styleId="EncabezadoCar">
    <w:name w:val="Encabezado Car"/>
    <w:basedOn w:val="Fuentedeprrafopredeter"/>
    <w:uiPriority w:val="99"/>
    <w:semiHidden/>
    <w:rsid w:val="00245163"/>
    <w:rPr>
      <w:rFonts w:ascii="Arial" w:eastAsia="Times New Roman" w:hAnsi="Arial" w:cs="Times New Roman"/>
      <w:kern w:val="0"/>
      <w:sz w:val="20"/>
      <w:szCs w:val="20"/>
      <w:lang w:eastAsia="es-ES"/>
      <w14:ligatures w14:val="none"/>
    </w:rPr>
  </w:style>
  <w:style w:type="paragraph" w:styleId="Piedepgina">
    <w:name w:val="footer"/>
    <w:basedOn w:val="Normal"/>
    <w:link w:val="PiedepginaCar"/>
    <w:uiPriority w:val="99"/>
    <w:rsid w:val="00245163"/>
    <w:pPr>
      <w:tabs>
        <w:tab w:val="center" w:pos="4252"/>
        <w:tab w:val="right" w:pos="8504"/>
      </w:tabs>
    </w:pPr>
  </w:style>
  <w:style w:type="character" w:customStyle="1" w:styleId="PiedepginaCar">
    <w:name w:val="Pie de página Car"/>
    <w:basedOn w:val="Fuentedeprrafopredeter"/>
    <w:link w:val="Piedepgina"/>
    <w:uiPriority w:val="99"/>
    <w:rsid w:val="00245163"/>
    <w:rPr>
      <w:rFonts w:ascii="Arial" w:eastAsia="Times New Roman" w:hAnsi="Arial" w:cs="Times New Roman"/>
      <w:kern w:val="0"/>
      <w:sz w:val="20"/>
      <w:szCs w:val="20"/>
      <w:lang w:eastAsia="es-ES"/>
      <w14:ligatures w14:val="none"/>
    </w:rPr>
  </w:style>
  <w:style w:type="paragraph" w:customStyle="1" w:styleId="Default">
    <w:name w:val="Default"/>
    <w:rsid w:val="00245163"/>
    <w:pPr>
      <w:autoSpaceDE w:val="0"/>
      <w:autoSpaceDN w:val="0"/>
      <w:adjustRightInd w:val="0"/>
      <w:spacing w:after="0" w:line="240" w:lineRule="auto"/>
    </w:pPr>
    <w:rPr>
      <w:rFonts w:ascii="Arial" w:eastAsia="Times New Roman" w:hAnsi="Arial" w:cs="Arial"/>
      <w:color w:val="000000"/>
      <w:kern w:val="0"/>
      <w:sz w:val="24"/>
      <w:szCs w:val="24"/>
      <w:lang w:val="es-CO" w:eastAsia="es-CO"/>
      <w14:ligatures w14:val="none"/>
    </w:rPr>
  </w:style>
  <w:style w:type="character" w:customStyle="1" w:styleId="Listavistosa-nfasis1Car">
    <w:name w:val="Lista vistosa - Énfasis 1 Car"/>
    <w:aliases w:val="Normal. Viñetas Car"/>
    <w:link w:val="Listavistosa-nfasis1"/>
    <w:uiPriority w:val="34"/>
    <w:locked/>
    <w:rsid w:val="00245163"/>
    <w:rPr>
      <w:rFonts w:ascii="Calibri" w:hAnsi="Calibri"/>
      <w:sz w:val="22"/>
      <w:szCs w:val="22"/>
    </w:rPr>
  </w:style>
  <w:style w:type="character" w:customStyle="1" w:styleId="EncabezadoCar1">
    <w:name w:val="Encabezado Car1"/>
    <w:aliases w:val="Encabezado1 Car,encabezado Car,Encabezado Car Car Car Car Car Car,Encabezado Car Car Car Car"/>
    <w:link w:val="Encabezado"/>
    <w:uiPriority w:val="99"/>
    <w:locked/>
    <w:rsid w:val="00245163"/>
    <w:rPr>
      <w:rFonts w:ascii="Arial" w:eastAsia="Times New Roman" w:hAnsi="Arial" w:cs="Times New Roman"/>
      <w:kern w:val="0"/>
      <w:sz w:val="20"/>
      <w:szCs w:val="20"/>
      <w:lang w:eastAsia="es-ES"/>
      <w14:ligatures w14:val="none"/>
    </w:rPr>
  </w:style>
  <w:style w:type="paragraph" w:customStyle="1" w:styleId="TableParagraph">
    <w:name w:val="Table Paragraph"/>
    <w:basedOn w:val="Normal"/>
    <w:uiPriority w:val="1"/>
    <w:qFormat/>
    <w:rsid w:val="00245163"/>
    <w:pPr>
      <w:widowControl w:val="0"/>
      <w:autoSpaceDE w:val="0"/>
      <w:autoSpaceDN w:val="0"/>
    </w:pPr>
    <w:rPr>
      <w:rFonts w:ascii="Arial MT" w:eastAsia="Arial MT" w:hAnsi="Arial MT" w:cs="Arial MT"/>
      <w:sz w:val="22"/>
      <w:szCs w:val="22"/>
      <w:lang w:eastAsia="en-US"/>
    </w:rPr>
  </w:style>
  <w:style w:type="paragraph" w:styleId="Prrafodelista">
    <w:name w:val="List Paragraph"/>
    <w:aliases w:val="List,titulo 3,Párrafo de lista1,HOJA,Bolita,Párrafo de lista3,Guión,Párrafo de lista31,BOLA,Párrafo de lista21,BOLADEF,Párrafo de lista2,Titulo 8,Párrafo de lista5,Colorful List - Accent 11,Colorful List - Accent 12,Bullets,Ha,Fluvia"/>
    <w:basedOn w:val="Normal"/>
    <w:link w:val="PrrafodelistaCar"/>
    <w:uiPriority w:val="34"/>
    <w:qFormat/>
    <w:rsid w:val="00245163"/>
    <w:pPr>
      <w:spacing w:after="160" w:line="259" w:lineRule="auto"/>
      <w:ind w:left="720"/>
      <w:contextualSpacing/>
    </w:pPr>
    <w:rPr>
      <w:rFonts w:ascii="Calibri" w:eastAsia="Calibri" w:hAnsi="Calibri" w:cs="Calibri"/>
      <w:sz w:val="22"/>
      <w:szCs w:val="22"/>
      <w:lang w:val="es-CO" w:eastAsia="en-US"/>
    </w:rPr>
  </w:style>
  <w:style w:type="paragraph" w:styleId="Descripcin">
    <w:name w:val="caption"/>
    <w:basedOn w:val="Normal"/>
    <w:next w:val="Normal"/>
    <w:link w:val="DescripcinCar"/>
    <w:uiPriority w:val="35"/>
    <w:unhideWhenUsed/>
    <w:qFormat/>
    <w:rsid w:val="00245163"/>
    <w:pPr>
      <w:spacing w:after="200"/>
    </w:pPr>
    <w:rPr>
      <w:rFonts w:ascii="Calibri" w:eastAsia="Calibri" w:hAnsi="Calibri" w:cs="Arial"/>
      <w:i/>
      <w:iCs/>
      <w:color w:val="44546A"/>
      <w:sz w:val="18"/>
      <w:szCs w:val="18"/>
      <w:lang w:val="es-CO" w:eastAsia="en-US"/>
    </w:rPr>
  </w:style>
  <w:style w:type="character" w:customStyle="1" w:styleId="DescripcinCar">
    <w:name w:val="Descripción Car"/>
    <w:link w:val="Descripcin"/>
    <w:uiPriority w:val="35"/>
    <w:rsid w:val="00245163"/>
    <w:rPr>
      <w:rFonts w:ascii="Calibri" w:eastAsia="Calibri" w:hAnsi="Calibri" w:cs="Arial"/>
      <w:i/>
      <w:iCs/>
      <w:color w:val="44546A"/>
      <w:kern w:val="0"/>
      <w:sz w:val="18"/>
      <w:szCs w:val="18"/>
      <w:lang w:val="es-CO"/>
      <w14:ligatures w14:val="none"/>
    </w:rPr>
  </w:style>
  <w:style w:type="character" w:customStyle="1" w:styleId="PrrafodelistaCar">
    <w:name w:val="Párrafo de lista Car"/>
    <w:aliases w:val="List Car,titulo 3 Car,Párrafo de lista1 Car,HOJA Car,Bolita Car,Párrafo de lista3 Car,Guión Car,Párrafo de lista31 Car,BOLA Car,Párrafo de lista21 Car,BOLADEF Car,Párrafo de lista2 Car,Titulo 8 Car,Párrafo de lista5 Car,Bullets Car"/>
    <w:link w:val="Prrafodelista"/>
    <w:uiPriority w:val="34"/>
    <w:qFormat/>
    <w:locked/>
    <w:rsid w:val="00245163"/>
    <w:rPr>
      <w:rFonts w:ascii="Calibri" w:eastAsia="Calibri" w:hAnsi="Calibri" w:cs="Calibri"/>
      <w:kern w:val="0"/>
      <w:lang w:val="es-CO"/>
      <w14:ligatures w14:val="none"/>
    </w:rPr>
  </w:style>
  <w:style w:type="table" w:styleId="Listavistosa-nfasis1">
    <w:name w:val="Colorful List Accent 1"/>
    <w:basedOn w:val="Tablanormal"/>
    <w:link w:val="Listavistosa-nfasis1Car"/>
    <w:uiPriority w:val="34"/>
    <w:semiHidden/>
    <w:unhideWhenUsed/>
    <w:rsid w:val="00245163"/>
    <w:pPr>
      <w:spacing w:after="0" w:line="240" w:lineRule="auto"/>
    </w:pPr>
    <w:rPr>
      <w:rFonts w:ascii="Calibri" w:hAnsi="Calibri"/>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Ttulo1Car">
    <w:name w:val="Título 1 Car"/>
    <w:basedOn w:val="Fuentedeprrafopredeter"/>
    <w:link w:val="Ttulo1"/>
    <w:uiPriority w:val="9"/>
    <w:rsid w:val="004E485F"/>
    <w:rPr>
      <w:rFonts w:asciiTheme="majorHAnsi" w:eastAsiaTheme="majorEastAsia" w:hAnsiTheme="majorHAnsi" w:cstheme="majorBidi"/>
      <w:color w:val="2F5496" w:themeColor="accent1" w:themeShade="BF"/>
      <w:kern w:val="0"/>
      <w:sz w:val="32"/>
      <w:szCs w:val="32"/>
      <w:lang w:eastAsia="es-ES"/>
      <w14:ligatures w14:val="none"/>
    </w:rPr>
  </w:style>
  <w:style w:type="character" w:styleId="Hipervnculo">
    <w:name w:val="Hyperlink"/>
    <w:basedOn w:val="Fuentedeprrafopredeter"/>
    <w:uiPriority w:val="99"/>
    <w:semiHidden/>
    <w:unhideWhenUsed/>
    <w:rsid w:val="00FE3080"/>
    <w:rPr>
      <w:color w:val="0000FF"/>
      <w:u w:val="single"/>
    </w:rPr>
  </w:style>
  <w:style w:type="paragraph" w:styleId="Revisin">
    <w:name w:val="Revision"/>
    <w:hidden/>
    <w:uiPriority w:val="99"/>
    <w:semiHidden/>
    <w:rsid w:val="003F4DC7"/>
    <w:pPr>
      <w:spacing w:after="0" w:line="240" w:lineRule="auto"/>
    </w:pPr>
    <w:rPr>
      <w:rFonts w:ascii="Arial" w:eastAsia="Times New Roman" w:hAnsi="Arial" w:cs="Times New Roman"/>
      <w:kern w:val="0"/>
      <w:sz w:val="20"/>
      <w:szCs w:val="20"/>
      <w:lang w:eastAsia="es-ES"/>
      <w14:ligatures w14:val="none"/>
    </w:rPr>
  </w:style>
  <w:style w:type="paragraph" w:styleId="Textonotapie">
    <w:name w:val="footnote text"/>
    <w:basedOn w:val="Normal"/>
    <w:link w:val="TextonotapieCar"/>
    <w:uiPriority w:val="99"/>
    <w:unhideWhenUsed/>
    <w:rsid w:val="004E0794"/>
  </w:style>
  <w:style w:type="character" w:customStyle="1" w:styleId="TextonotapieCar">
    <w:name w:val="Texto nota pie Car"/>
    <w:basedOn w:val="Fuentedeprrafopredeter"/>
    <w:link w:val="Textonotapie"/>
    <w:uiPriority w:val="99"/>
    <w:rsid w:val="004E0794"/>
    <w:rPr>
      <w:rFonts w:ascii="Arial" w:eastAsia="Times New Roman" w:hAnsi="Arial" w:cs="Times New Roman"/>
      <w:kern w:val="0"/>
      <w:sz w:val="20"/>
      <w:szCs w:val="20"/>
      <w:lang w:eastAsia="es-ES"/>
      <w14:ligatures w14:val="none"/>
    </w:rPr>
  </w:style>
  <w:style w:type="character" w:styleId="Refdenotaalpie">
    <w:name w:val="footnote reference"/>
    <w:basedOn w:val="Fuentedeprrafopredeter"/>
    <w:uiPriority w:val="99"/>
    <w:unhideWhenUsed/>
    <w:rsid w:val="004E0794"/>
    <w:rPr>
      <w:vertAlign w:val="superscript"/>
    </w:rPr>
  </w:style>
  <w:style w:type="character" w:customStyle="1" w:styleId="normaltextrun">
    <w:name w:val="normaltextrun"/>
    <w:basedOn w:val="Fuentedeprrafopredeter"/>
    <w:rsid w:val="003D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0548">
      <w:bodyDiv w:val="1"/>
      <w:marLeft w:val="0"/>
      <w:marRight w:val="0"/>
      <w:marTop w:val="0"/>
      <w:marBottom w:val="0"/>
      <w:divBdr>
        <w:top w:val="none" w:sz="0" w:space="0" w:color="auto"/>
        <w:left w:val="none" w:sz="0" w:space="0" w:color="auto"/>
        <w:bottom w:val="none" w:sz="0" w:space="0" w:color="auto"/>
        <w:right w:val="none" w:sz="0" w:space="0" w:color="auto"/>
      </w:divBdr>
    </w:div>
    <w:div w:id="431126147">
      <w:bodyDiv w:val="1"/>
      <w:marLeft w:val="0"/>
      <w:marRight w:val="0"/>
      <w:marTop w:val="0"/>
      <w:marBottom w:val="0"/>
      <w:divBdr>
        <w:top w:val="none" w:sz="0" w:space="0" w:color="auto"/>
        <w:left w:val="none" w:sz="0" w:space="0" w:color="auto"/>
        <w:bottom w:val="none" w:sz="0" w:space="0" w:color="auto"/>
        <w:right w:val="none" w:sz="0" w:space="0" w:color="auto"/>
      </w:divBdr>
    </w:div>
    <w:div w:id="471560026">
      <w:bodyDiv w:val="1"/>
      <w:marLeft w:val="0"/>
      <w:marRight w:val="0"/>
      <w:marTop w:val="0"/>
      <w:marBottom w:val="0"/>
      <w:divBdr>
        <w:top w:val="none" w:sz="0" w:space="0" w:color="auto"/>
        <w:left w:val="none" w:sz="0" w:space="0" w:color="auto"/>
        <w:bottom w:val="none" w:sz="0" w:space="0" w:color="auto"/>
        <w:right w:val="none" w:sz="0" w:space="0" w:color="auto"/>
      </w:divBdr>
    </w:div>
    <w:div w:id="540243230">
      <w:bodyDiv w:val="1"/>
      <w:marLeft w:val="0"/>
      <w:marRight w:val="0"/>
      <w:marTop w:val="0"/>
      <w:marBottom w:val="0"/>
      <w:divBdr>
        <w:top w:val="none" w:sz="0" w:space="0" w:color="auto"/>
        <w:left w:val="none" w:sz="0" w:space="0" w:color="auto"/>
        <w:bottom w:val="none" w:sz="0" w:space="0" w:color="auto"/>
        <w:right w:val="none" w:sz="0" w:space="0" w:color="auto"/>
      </w:divBdr>
    </w:div>
    <w:div w:id="663975092">
      <w:bodyDiv w:val="1"/>
      <w:marLeft w:val="0"/>
      <w:marRight w:val="0"/>
      <w:marTop w:val="0"/>
      <w:marBottom w:val="0"/>
      <w:divBdr>
        <w:top w:val="none" w:sz="0" w:space="0" w:color="auto"/>
        <w:left w:val="none" w:sz="0" w:space="0" w:color="auto"/>
        <w:bottom w:val="none" w:sz="0" w:space="0" w:color="auto"/>
        <w:right w:val="none" w:sz="0" w:space="0" w:color="auto"/>
      </w:divBdr>
    </w:div>
    <w:div w:id="1038817868">
      <w:bodyDiv w:val="1"/>
      <w:marLeft w:val="0"/>
      <w:marRight w:val="0"/>
      <w:marTop w:val="0"/>
      <w:marBottom w:val="0"/>
      <w:divBdr>
        <w:top w:val="none" w:sz="0" w:space="0" w:color="auto"/>
        <w:left w:val="none" w:sz="0" w:space="0" w:color="auto"/>
        <w:bottom w:val="none" w:sz="0" w:space="0" w:color="auto"/>
        <w:right w:val="none" w:sz="0" w:space="0" w:color="auto"/>
      </w:divBdr>
    </w:div>
    <w:div w:id="1068453344">
      <w:bodyDiv w:val="1"/>
      <w:marLeft w:val="0"/>
      <w:marRight w:val="0"/>
      <w:marTop w:val="0"/>
      <w:marBottom w:val="0"/>
      <w:divBdr>
        <w:top w:val="none" w:sz="0" w:space="0" w:color="auto"/>
        <w:left w:val="none" w:sz="0" w:space="0" w:color="auto"/>
        <w:bottom w:val="none" w:sz="0" w:space="0" w:color="auto"/>
        <w:right w:val="none" w:sz="0" w:space="0" w:color="auto"/>
      </w:divBdr>
    </w:div>
    <w:div w:id="1283730758">
      <w:bodyDiv w:val="1"/>
      <w:marLeft w:val="0"/>
      <w:marRight w:val="0"/>
      <w:marTop w:val="0"/>
      <w:marBottom w:val="0"/>
      <w:divBdr>
        <w:top w:val="none" w:sz="0" w:space="0" w:color="auto"/>
        <w:left w:val="none" w:sz="0" w:space="0" w:color="auto"/>
        <w:bottom w:val="none" w:sz="0" w:space="0" w:color="auto"/>
        <w:right w:val="none" w:sz="0" w:space="0" w:color="auto"/>
      </w:divBdr>
    </w:div>
    <w:div w:id="1625189945">
      <w:bodyDiv w:val="1"/>
      <w:marLeft w:val="0"/>
      <w:marRight w:val="0"/>
      <w:marTop w:val="0"/>
      <w:marBottom w:val="0"/>
      <w:divBdr>
        <w:top w:val="none" w:sz="0" w:space="0" w:color="auto"/>
        <w:left w:val="none" w:sz="0" w:space="0" w:color="auto"/>
        <w:bottom w:val="none" w:sz="0" w:space="0" w:color="auto"/>
        <w:right w:val="none" w:sz="0" w:space="0" w:color="auto"/>
      </w:divBdr>
    </w:div>
    <w:div w:id="1771924811">
      <w:bodyDiv w:val="1"/>
      <w:marLeft w:val="0"/>
      <w:marRight w:val="0"/>
      <w:marTop w:val="0"/>
      <w:marBottom w:val="0"/>
      <w:divBdr>
        <w:top w:val="none" w:sz="0" w:space="0" w:color="auto"/>
        <w:left w:val="none" w:sz="0" w:space="0" w:color="auto"/>
        <w:bottom w:val="none" w:sz="0" w:space="0" w:color="auto"/>
        <w:right w:val="none" w:sz="0" w:space="0" w:color="auto"/>
      </w:divBdr>
      <w:divsChild>
        <w:div w:id="1591620271">
          <w:marLeft w:val="0"/>
          <w:marRight w:val="0"/>
          <w:marTop w:val="0"/>
          <w:marBottom w:val="0"/>
          <w:divBdr>
            <w:top w:val="none" w:sz="0" w:space="0" w:color="auto"/>
            <w:left w:val="none" w:sz="0" w:space="0" w:color="auto"/>
            <w:bottom w:val="none" w:sz="0" w:space="0" w:color="auto"/>
            <w:right w:val="none" w:sz="0" w:space="0" w:color="auto"/>
          </w:divBdr>
          <w:divsChild>
            <w:div w:id="905534216">
              <w:marLeft w:val="0"/>
              <w:marRight w:val="0"/>
              <w:marTop w:val="0"/>
              <w:marBottom w:val="0"/>
              <w:divBdr>
                <w:top w:val="none" w:sz="0" w:space="0" w:color="auto"/>
                <w:left w:val="none" w:sz="0" w:space="0" w:color="auto"/>
                <w:bottom w:val="none" w:sz="0" w:space="0" w:color="auto"/>
                <w:right w:val="none" w:sz="0" w:space="0" w:color="auto"/>
              </w:divBdr>
              <w:divsChild>
                <w:div w:id="12598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0.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60.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0.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0.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ARITZA\Desktop\DD%20-%20Jul23\MINISTERIO%20DE%20VIVIENDA\PROGRAMAS\AUTOGESTI&#211;N\FORMULACI&#211;N%20PROGRAMA\Gr&#225;ficos%20-%20Memoria%20Justificativa%2013-09-202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ARITZA\Desktop\DD%20-%20Jul23\MINISTERIO%20DE%20VIVIENDA\PROGRAMAS\AUTOGESTI&#211;N\FORMULACI&#211;N%20PROGRAMA\Gr&#225;ficos%20-%20Memoria%20Justificativa%2013-09-202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ARITZA\Desktop\DD%20-%20Jul23\MINISTERIO%20DE%20VIVIENDA\PROGRAMAS\AUTOGESTI&#211;N\FORMULACI&#211;N%20PROGRAMA\Gr&#225;ficos%20-%20Memoria%20Justificativa%2013-09-2023.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C:\Users\MARITZA\Desktop\DD%20-%20Jul23\MINISTERIO%20DE%20VIVIENDA\PROGRAMAS\AUTOGESTI&#211;N\FORMULACI&#211;N%20PROGRAMA\Gr&#225;ficos%20-%20Memoria%20Justificativa%2013-09-2023.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MARITZA\Desktop\DD%20-%20Jul23\MINISTERIO%20DE%20VIVIENDA\PROGRAMAS\AUTOGESTI&#211;N\FORMULACI&#211;N%20PROGRAMA\Gr&#225;ficos%20-%20Memoria%20Justificativa%2013-09-2023.xlsx" TargetMode="External"/></Relationships>
</file>

<file path=word/charts/_rels/chart40.xml.rels><?xml version="1.0" encoding="UTF-8" standalone="yes"?>
<Relationships xmlns="http://schemas.openxmlformats.org/package/2006/relationships"><Relationship Id="rId3" Type="http://schemas.openxmlformats.org/officeDocument/2006/relationships/themeOverride" Target="../theme/themeOverride40.xml"/><Relationship Id="rId2" Type="http://schemas.microsoft.com/office/2011/relationships/chartColorStyle" Target="colors40.xml"/><Relationship Id="rId1" Type="http://schemas.microsoft.com/office/2011/relationships/chartStyle" Target="style40.xml"/><Relationship Id="rId4" Type="http://schemas.openxmlformats.org/officeDocument/2006/relationships/oleObject" Target="file:///C:\Users\MARITZA\Desktop\DD%20-%20Jul23\MINISTERIO%20DE%20VIVIENDA\PROGRAMAS\AUTOGESTI&#211;N\FORMULACI&#211;N%20PROGRAMA\Gr&#225;ficos%20-%20Memoria%20Justificativa%2013-09-2023.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MARITZA\Desktop\DD%20-%20Jul23\MINISTERIO%20DE%20VIVIENDA\PROGRAMAS\AUTOGESTI&#211;N\FORMULACI&#211;N%20PROGRAMA\Gr&#225;ficos%20-%20Memoria%20Justificativa%2013-09-2023.xlsx" TargetMode="External"/></Relationships>
</file>

<file path=word/charts/_rels/chart50.xml.rels><?xml version="1.0" encoding="UTF-8" standalone="yes"?>
<Relationships xmlns="http://schemas.openxmlformats.org/package/2006/relationships"><Relationship Id="rId3" Type="http://schemas.openxmlformats.org/officeDocument/2006/relationships/themeOverride" Target="../theme/themeOverride50.xml"/><Relationship Id="rId2" Type="http://schemas.microsoft.com/office/2011/relationships/chartColorStyle" Target="colors50.xml"/><Relationship Id="rId1" Type="http://schemas.microsoft.com/office/2011/relationships/chartStyle" Target="style50.xml"/><Relationship Id="rId4" Type="http://schemas.openxmlformats.org/officeDocument/2006/relationships/oleObject" Target="file:///C:\Users\MARITZA\Desktop\DD%20-%20Jul23\MINISTERIO%20DE%20VIVIENDA\PROGRAMAS\AUTOGESTI&#211;N\FORMULACI&#211;N%20PROGRAMA\Gr&#225;ficos%20-%20Memoria%20Justificativa%2013-09-2023.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MARITZA\Desktop\DD%20-%20Jul23\MINISTERIO%20DE%20VIVIENDA\PROGRAMAS\AUTOGESTI&#211;N\FORMULACI&#211;N%20PROGRAMA\Gr&#225;ficos%20-%20Memoria%20Justificativa%2013-09-2023.xlsx" TargetMode="External"/></Relationships>
</file>

<file path=word/charts/_rels/chart60.xml.rels><?xml version="1.0" encoding="UTF-8" standalone="yes"?>
<Relationships xmlns="http://schemas.openxmlformats.org/package/2006/relationships"><Relationship Id="rId3" Type="http://schemas.openxmlformats.org/officeDocument/2006/relationships/themeOverride" Target="../theme/themeOverride60.xml"/><Relationship Id="rId2" Type="http://schemas.microsoft.com/office/2011/relationships/chartColorStyle" Target="colors60.xml"/><Relationship Id="rId1" Type="http://schemas.microsoft.com/office/2011/relationships/chartStyle" Target="style60.xml"/><Relationship Id="rId4" Type="http://schemas.openxmlformats.org/officeDocument/2006/relationships/oleObject" Target="file:///C:\Users\MARITZA\Desktop\DD%20-%20Jul23\MINISTERIO%20DE%20VIVIENDA\PROGRAMAS\AUTOGESTI&#211;N\FORMULACI&#211;N%20PROGRAMA\Gr&#225;ficos%20-%20Memoria%20Justificativa%2013-09-2023.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RITZA\Desktop\DD%20-%20Jul23\MINISTERIO%20DE%20VIVIENDA\PROGRAMAS\AUTOGESTI&#211;N\FORMULACI&#211;N%20PROGRAMA\Gr&#225;ficos%20-%20Memoria%20Justificativa%2013-09-20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RITZA\Desktop\DD%20-%20Jul23\MINISTERIO%20DE%20VIVIENDA\PROGRAMAS\AUTOGESTI&#211;N\FORMULACI&#211;N%20PROGRAMA\Gr&#225;ficos%20-%20Memoria%20Justificativa%2013-09-2023.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0.17592592592592593"/>
          <c:w val="0.93888888888888888"/>
          <c:h val="0.71262321376494608"/>
        </c:manualLayout>
      </c:layout>
      <c:barChart>
        <c:barDir val="col"/>
        <c:grouping val="stacked"/>
        <c:varyColors val="0"/>
        <c:ser>
          <c:idx val="0"/>
          <c:order val="0"/>
          <c:tx>
            <c:strRef>
              <c:f>'ECV 2023'!$C$9</c:f>
              <c:strCache>
                <c:ptCount val="1"/>
                <c:pt idx="0">
                  <c:v>Cualitativo</c:v>
                </c:pt>
              </c:strCache>
            </c:strRef>
          </c:tx>
          <c:spPr>
            <a:solidFill>
              <a:srgbClr val="0D54BD"/>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'ECV 2023'!$B$10:$B$14</c:f>
              <c:numCache>
                <c:formatCode>General</c:formatCode>
                <c:ptCount val="5"/>
                <c:pt idx="0">
                  <c:v>2019</c:v>
                </c:pt>
                <c:pt idx="1">
                  <c:v>2020</c:v>
                </c:pt>
                <c:pt idx="2">
                  <c:v>2021</c:v>
                </c:pt>
                <c:pt idx="3">
                  <c:v>2022</c:v>
                </c:pt>
                <c:pt idx="4">
                  <c:v>2023</c:v>
                </c:pt>
              </c:numCache>
            </c:numRef>
          </c:cat>
          <c:val>
            <c:numRef>
              <c:f>'ECV 2023'!$C$10:$C$14</c:f>
              <c:numCache>
                <c:formatCode>0.0%</c:formatCode>
                <c:ptCount val="5"/>
                <c:pt idx="0">
                  <c:v>0.246</c:v>
                </c:pt>
                <c:pt idx="1">
                  <c:v>0.23400000000000001</c:v>
                </c:pt>
                <c:pt idx="2">
                  <c:v>0.23499999999999999</c:v>
                </c:pt>
                <c:pt idx="3">
                  <c:v>0.23100000000000001</c:v>
                </c:pt>
                <c:pt idx="4">
                  <c:v>0.22096056092499999</c:v>
                </c:pt>
              </c:numCache>
            </c:numRef>
          </c:val>
          <c:extLst>
            <c:ext xmlns:c16="http://schemas.microsoft.com/office/drawing/2014/chart" uri="{C3380CC4-5D6E-409C-BE32-E72D297353CC}">
              <c16:uniqueId val="{00000000-FE63-4A7E-89F2-60AE05285508}"/>
            </c:ext>
          </c:extLst>
        </c:ser>
        <c:ser>
          <c:idx val="1"/>
          <c:order val="1"/>
          <c:tx>
            <c:strRef>
              <c:f>'ECV 2023'!$D$9</c:f>
              <c:strCache>
                <c:ptCount val="1"/>
                <c:pt idx="0">
                  <c:v>Cuantitativo</c:v>
                </c:pt>
              </c:strCache>
            </c:strRef>
          </c:tx>
          <c:spPr>
            <a:solidFill>
              <a:srgbClr val="7B9AF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'ECV 2023'!$B$10:$B$14</c:f>
              <c:numCache>
                <c:formatCode>General</c:formatCode>
                <c:ptCount val="5"/>
                <c:pt idx="0">
                  <c:v>2019</c:v>
                </c:pt>
                <c:pt idx="1">
                  <c:v>2020</c:v>
                </c:pt>
                <c:pt idx="2">
                  <c:v>2021</c:v>
                </c:pt>
                <c:pt idx="3">
                  <c:v>2022</c:v>
                </c:pt>
                <c:pt idx="4">
                  <c:v>2023</c:v>
                </c:pt>
              </c:numCache>
            </c:numRef>
          </c:cat>
          <c:val>
            <c:numRef>
              <c:f>'ECV 2023'!$D$10:$D$14</c:f>
              <c:numCache>
                <c:formatCode>0.0%</c:formatCode>
                <c:ptCount val="5"/>
                <c:pt idx="0">
                  <c:v>8.2000000000000003E-2</c:v>
                </c:pt>
                <c:pt idx="1">
                  <c:v>0.08</c:v>
                </c:pt>
                <c:pt idx="2">
                  <c:v>7.4999999999999997E-2</c:v>
                </c:pt>
                <c:pt idx="3">
                  <c:v>7.2999999999999995E-2</c:v>
                </c:pt>
                <c:pt idx="4">
                  <c:v>6.7700030479000001E-2</c:v>
                </c:pt>
              </c:numCache>
            </c:numRef>
          </c:val>
          <c:extLst>
            <c:ext xmlns:c16="http://schemas.microsoft.com/office/drawing/2014/chart" uri="{C3380CC4-5D6E-409C-BE32-E72D297353CC}">
              <c16:uniqueId val="{00000001-FE63-4A7E-89F2-60AE05285508}"/>
            </c:ext>
          </c:extLst>
        </c:ser>
        <c:dLbls>
          <c:showLegendKey val="0"/>
          <c:showVal val="0"/>
          <c:showCatName val="0"/>
          <c:showSerName val="0"/>
          <c:showPercent val="0"/>
          <c:showBubbleSize val="0"/>
        </c:dLbls>
        <c:gapWidth val="10"/>
        <c:overlap val="100"/>
        <c:axId val="1337967583"/>
        <c:axId val="1337975487"/>
      </c:barChart>
      <c:lineChart>
        <c:grouping val="standard"/>
        <c:varyColors val="0"/>
        <c:ser>
          <c:idx val="2"/>
          <c:order val="2"/>
          <c:tx>
            <c:strRef>
              <c:f>'ECV 2023'!$E$9</c:f>
              <c:strCache>
                <c:ptCount val="1"/>
                <c:pt idx="0">
                  <c:v>Déficit Total</c:v>
                </c:pt>
              </c:strCache>
            </c:strRef>
          </c:tx>
          <c:spPr>
            <a:ln w="57150" cap="rnd">
              <a:noFill/>
              <a:round/>
            </a:ln>
            <a:effectLst/>
          </c:spPr>
          <c:marker>
            <c:symbol val="circle"/>
            <c:size val="5"/>
            <c:spPr>
              <a:solidFill>
                <a:srgbClr val="00B0F0"/>
              </a:solidFill>
              <a:ln w="57150">
                <a:solidFill>
                  <a:srgbClr val="375CF7"/>
                </a:solidFill>
              </a:ln>
              <a:effectLst/>
            </c:spPr>
          </c:marker>
          <c:dPt>
            <c:idx val="0"/>
            <c:marker>
              <c:symbol val="circle"/>
              <c:size val="5"/>
              <c:spPr>
                <a:solidFill>
                  <a:srgbClr val="00B0F0"/>
                </a:solidFill>
                <a:ln w="57150">
                  <a:solidFill>
                    <a:srgbClr val="375CF7"/>
                  </a:solidFill>
                </a:ln>
                <a:effectLst/>
              </c:spPr>
            </c:marker>
            <c:bubble3D val="0"/>
            <c:spPr>
              <a:ln w="57150" cap="rnd">
                <a:noFill/>
                <a:round/>
              </a:ln>
              <a:effectLst/>
            </c:spPr>
            <c:extLst>
              <c:ext xmlns:c16="http://schemas.microsoft.com/office/drawing/2014/chart" uri="{C3380CC4-5D6E-409C-BE32-E72D297353CC}">
                <c16:uniqueId val="{00000003-FE63-4A7E-89F2-60AE05285508}"/>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375CF7"/>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'ECV 2023'!$B$10:$B$14</c:f>
              <c:numCache>
                <c:formatCode>General</c:formatCode>
                <c:ptCount val="5"/>
                <c:pt idx="0">
                  <c:v>2019</c:v>
                </c:pt>
                <c:pt idx="1">
                  <c:v>2020</c:v>
                </c:pt>
                <c:pt idx="2">
                  <c:v>2021</c:v>
                </c:pt>
                <c:pt idx="3">
                  <c:v>2022</c:v>
                </c:pt>
                <c:pt idx="4">
                  <c:v>2023</c:v>
                </c:pt>
              </c:numCache>
            </c:numRef>
          </c:cat>
          <c:val>
            <c:numRef>
              <c:f>'ECV 2023'!$E$10:$E$14</c:f>
              <c:numCache>
                <c:formatCode>0.0%</c:formatCode>
                <c:ptCount val="5"/>
                <c:pt idx="0">
                  <c:v>0.32800000000000001</c:v>
                </c:pt>
                <c:pt idx="1">
                  <c:v>0.314</c:v>
                </c:pt>
                <c:pt idx="2">
                  <c:v>0.31</c:v>
                </c:pt>
                <c:pt idx="3">
                  <c:v>0.30399999999999999</c:v>
                </c:pt>
                <c:pt idx="4">
                  <c:v>0.28866059140400002</c:v>
                </c:pt>
              </c:numCache>
            </c:numRef>
          </c:val>
          <c:smooth val="0"/>
          <c:extLst>
            <c:ext xmlns:c16="http://schemas.microsoft.com/office/drawing/2014/chart" uri="{C3380CC4-5D6E-409C-BE32-E72D297353CC}">
              <c16:uniqueId val="{00000004-FE63-4A7E-89F2-60AE05285508}"/>
            </c:ext>
          </c:extLst>
        </c:ser>
        <c:dLbls>
          <c:showLegendKey val="0"/>
          <c:showVal val="0"/>
          <c:showCatName val="0"/>
          <c:showSerName val="0"/>
          <c:showPercent val="0"/>
          <c:showBubbleSize val="0"/>
        </c:dLbls>
        <c:marker val="1"/>
        <c:smooth val="0"/>
        <c:axId val="1337967583"/>
        <c:axId val="1337975487"/>
      </c:lineChart>
      <c:catAx>
        <c:axId val="1337967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7975487"/>
        <c:crosses val="autoZero"/>
        <c:auto val="1"/>
        <c:lblAlgn val="ctr"/>
        <c:lblOffset val="100"/>
        <c:noMultiLvlLbl val="0"/>
      </c:catAx>
      <c:valAx>
        <c:axId val="1337975487"/>
        <c:scaling>
          <c:orientation val="minMax"/>
        </c:scaling>
        <c:delete val="1"/>
        <c:axPos val="l"/>
        <c:numFmt formatCode="0.0%" sourceLinked="1"/>
        <c:majorTickMark val="none"/>
        <c:minorTickMark val="none"/>
        <c:tickLblPos val="nextTo"/>
        <c:crossAx val="1337967583"/>
        <c:crosses val="autoZero"/>
        <c:crossBetween val="between"/>
      </c:valAx>
      <c:spPr>
        <a:noFill/>
        <a:ln>
          <a:noFill/>
        </a:ln>
        <a:effectLst/>
      </c:spPr>
    </c:plotArea>
    <c:legend>
      <c:legendPos val="b"/>
      <c:layout>
        <c:manualLayout>
          <c:xMode val="edge"/>
          <c:yMode val="edge"/>
          <c:x val="8.771796968001952E-2"/>
          <c:y val="2.3726305045202681E-2"/>
          <c:w val="0.82919380979016966"/>
          <c:h val="8.37171916010498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0.1388888888888889"/>
          <c:w val="0.93888888888888888"/>
          <c:h val="0.74966025080198317"/>
        </c:manualLayout>
      </c:layout>
      <c:barChart>
        <c:barDir val="col"/>
        <c:grouping val="stacked"/>
        <c:varyColors val="0"/>
        <c:ser>
          <c:idx val="0"/>
          <c:order val="0"/>
          <c:tx>
            <c:strRef>
              <c:f>'ECV 2023'!$H$9</c:f>
              <c:strCache>
                <c:ptCount val="1"/>
                <c:pt idx="0">
                  <c:v>Cualitativo</c:v>
                </c:pt>
              </c:strCache>
            </c:strRef>
          </c:tx>
          <c:spPr>
            <a:solidFill>
              <a:srgbClr val="0D54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'ECV 2023'!$G$10:$G$14</c:f>
              <c:numCache>
                <c:formatCode>General</c:formatCode>
                <c:ptCount val="5"/>
                <c:pt idx="0">
                  <c:v>2019</c:v>
                </c:pt>
                <c:pt idx="1">
                  <c:v>2020</c:v>
                </c:pt>
                <c:pt idx="2">
                  <c:v>2021</c:v>
                </c:pt>
                <c:pt idx="3">
                  <c:v>2022</c:v>
                </c:pt>
                <c:pt idx="4">
                  <c:v>2023</c:v>
                </c:pt>
              </c:numCache>
            </c:numRef>
          </c:cat>
          <c:val>
            <c:numRef>
              <c:f>'ECV 2023'!$H$10:$H$14</c:f>
              <c:numCache>
                <c:formatCode>#,##0</c:formatCode>
                <c:ptCount val="5"/>
                <c:pt idx="0">
                  <c:v>3907</c:v>
                </c:pt>
                <c:pt idx="1">
                  <c:v>3800</c:v>
                </c:pt>
                <c:pt idx="2">
                  <c:v>3977</c:v>
                </c:pt>
                <c:pt idx="3">
                  <c:v>4013</c:v>
                </c:pt>
                <c:pt idx="4">
                  <c:v>3944</c:v>
                </c:pt>
              </c:numCache>
            </c:numRef>
          </c:val>
          <c:extLst>
            <c:ext xmlns:c16="http://schemas.microsoft.com/office/drawing/2014/chart" uri="{C3380CC4-5D6E-409C-BE32-E72D297353CC}">
              <c16:uniqueId val="{00000000-0498-475D-884C-3B80EE51A06A}"/>
            </c:ext>
          </c:extLst>
        </c:ser>
        <c:ser>
          <c:idx val="1"/>
          <c:order val="1"/>
          <c:tx>
            <c:strRef>
              <c:f>'ECV 2023'!$I$9</c:f>
              <c:strCache>
                <c:ptCount val="1"/>
                <c:pt idx="0">
                  <c:v>Cuantitativo</c:v>
                </c:pt>
              </c:strCache>
            </c:strRef>
          </c:tx>
          <c:spPr>
            <a:solidFill>
              <a:srgbClr val="7B9AF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'ECV 2023'!$G$10:$G$14</c:f>
              <c:numCache>
                <c:formatCode>General</c:formatCode>
                <c:ptCount val="5"/>
                <c:pt idx="0">
                  <c:v>2019</c:v>
                </c:pt>
                <c:pt idx="1">
                  <c:v>2020</c:v>
                </c:pt>
                <c:pt idx="2">
                  <c:v>2021</c:v>
                </c:pt>
                <c:pt idx="3">
                  <c:v>2022</c:v>
                </c:pt>
                <c:pt idx="4">
                  <c:v>2023</c:v>
                </c:pt>
              </c:numCache>
            </c:numRef>
          </c:cat>
          <c:val>
            <c:numRef>
              <c:f>'ECV 2023'!$I$10:$I$14</c:f>
              <c:numCache>
                <c:formatCode>#,##0</c:formatCode>
                <c:ptCount val="5"/>
                <c:pt idx="0">
                  <c:v>1299</c:v>
                </c:pt>
                <c:pt idx="1">
                  <c:v>1303</c:v>
                </c:pt>
                <c:pt idx="2">
                  <c:v>1263</c:v>
                </c:pt>
                <c:pt idx="3">
                  <c:v>1268</c:v>
                </c:pt>
                <c:pt idx="4">
                  <c:v>1208</c:v>
                </c:pt>
              </c:numCache>
            </c:numRef>
          </c:val>
          <c:extLst>
            <c:ext xmlns:c16="http://schemas.microsoft.com/office/drawing/2014/chart" uri="{C3380CC4-5D6E-409C-BE32-E72D297353CC}">
              <c16:uniqueId val="{00000001-0498-475D-884C-3B80EE51A06A}"/>
            </c:ext>
          </c:extLst>
        </c:ser>
        <c:dLbls>
          <c:showLegendKey val="0"/>
          <c:showVal val="0"/>
          <c:showCatName val="0"/>
          <c:showSerName val="0"/>
          <c:showPercent val="0"/>
          <c:showBubbleSize val="0"/>
        </c:dLbls>
        <c:gapWidth val="10"/>
        <c:overlap val="100"/>
        <c:axId val="1337967583"/>
        <c:axId val="1337975487"/>
      </c:barChart>
      <c:lineChart>
        <c:grouping val="standard"/>
        <c:varyColors val="0"/>
        <c:ser>
          <c:idx val="2"/>
          <c:order val="2"/>
          <c:tx>
            <c:strRef>
              <c:f>'ECV 2023'!$J$9</c:f>
              <c:strCache>
                <c:ptCount val="1"/>
                <c:pt idx="0">
                  <c:v>Déficit Total</c:v>
                </c:pt>
              </c:strCache>
            </c:strRef>
          </c:tx>
          <c:spPr>
            <a:ln w="25400" cap="rnd">
              <a:noFill/>
              <a:round/>
            </a:ln>
            <a:effectLst/>
          </c:spPr>
          <c:marker>
            <c:symbol val="circle"/>
            <c:size val="5"/>
            <c:spPr>
              <a:solidFill>
                <a:srgbClr val="00B0F0"/>
              </a:solidFill>
              <a:ln w="57150">
                <a:solidFill>
                  <a:srgbClr val="375CF7"/>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375CF7"/>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'ECV 2023'!$G$10:$G$14</c:f>
              <c:numCache>
                <c:formatCode>General</c:formatCode>
                <c:ptCount val="5"/>
                <c:pt idx="0">
                  <c:v>2019</c:v>
                </c:pt>
                <c:pt idx="1">
                  <c:v>2020</c:v>
                </c:pt>
                <c:pt idx="2">
                  <c:v>2021</c:v>
                </c:pt>
                <c:pt idx="3">
                  <c:v>2022</c:v>
                </c:pt>
                <c:pt idx="4">
                  <c:v>2023</c:v>
                </c:pt>
              </c:numCache>
            </c:numRef>
          </c:cat>
          <c:val>
            <c:numRef>
              <c:f>'ECV 2023'!$J$10:$J$14</c:f>
              <c:numCache>
                <c:formatCode>#,##0</c:formatCode>
                <c:ptCount val="5"/>
                <c:pt idx="0">
                  <c:v>5206</c:v>
                </c:pt>
                <c:pt idx="1">
                  <c:v>5103</c:v>
                </c:pt>
                <c:pt idx="2">
                  <c:v>5240</c:v>
                </c:pt>
                <c:pt idx="3">
                  <c:v>5281</c:v>
                </c:pt>
                <c:pt idx="4">
                  <c:v>5152</c:v>
                </c:pt>
              </c:numCache>
            </c:numRef>
          </c:val>
          <c:smooth val="0"/>
          <c:extLst>
            <c:ext xmlns:c16="http://schemas.microsoft.com/office/drawing/2014/chart" uri="{C3380CC4-5D6E-409C-BE32-E72D297353CC}">
              <c16:uniqueId val="{00000002-0498-475D-884C-3B80EE51A06A}"/>
            </c:ext>
          </c:extLst>
        </c:ser>
        <c:dLbls>
          <c:showLegendKey val="0"/>
          <c:showVal val="0"/>
          <c:showCatName val="0"/>
          <c:showSerName val="0"/>
          <c:showPercent val="0"/>
          <c:showBubbleSize val="0"/>
        </c:dLbls>
        <c:marker val="1"/>
        <c:smooth val="0"/>
        <c:axId val="1337967583"/>
        <c:axId val="1337975487"/>
      </c:lineChart>
      <c:catAx>
        <c:axId val="1337967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7975487"/>
        <c:crosses val="autoZero"/>
        <c:auto val="1"/>
        <c:lblAlgn val="ctr"/>
        <c:lblOffset val="100"/>
        <c:noMultiLvlLbl val="0"/>
      </c:catAx>
      <c:valAx>
        <c:axId val="1337975487"/>
        <c:scaling>
          <c:orientation val="minMax"/>
        </c:scaling>
        <c:delete val="1"/>
        <c:axPos val="l"/>
        <c:numFmt formatCode="#,##0" sourceLinked="1"/>
        <c:majorTickMark val="none"/>
        <c:minorTickMark val="none"/>
        <c:tickLblPos val="nextTo"/>
        <c:crossAx val="1337967583"/>
        <c:crosses val="autoZero"/>
        <c:crossBetween val="between"/>
      </c:valAx>
      <c:spPr>
        <a:noFill/>
        <a:ln>
          <a:noFill/>
        </a:ln>
        <a:effectLst/>
      </c:spPr>
    </c:plotArea>
    <c:legend>
      <c:legendPos val="b"/>
      <c:layout>
        <c:manualLayout>
          <c:xMode val="edge"/>
          <c:yMode val="edge"/>
          <c:x val="7.7165948540968046E-2"/>
          <c:y val="2.8355934674832307E-2"/>
          <c:w val="0.83216198077967229"/>
          <c:h val="8.37171916010498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000000000000001E-2"/>
          <c:y val="9.9950944419101254E-2"/>
          <c:w val="0.93888888888888888"/>
          <c:h val="0.7227143456825571"/>
        </c:manualLayout>
      </c:layout>
      <c:barChart>
        <c:barDir val="col"/>
        <c:grouping val="stacked"/>
        <c:varyColors val="0"/>
        <c:ser>
          <c:idx val="2"/>
          <c:order val="0"/>
          <c:tx>
            <c:strRef>
              <c:f>'ECV 2023'!$U$5</c:f>
              <c:strCache>
                <c:ptCount val="1"/>
                <c:pt idx="0">
                  <c:v>Cualitativo</c:v>
                </c:pt>
              </c:strCache>
            </c:strRef>
          </c:tx>
          <c:spPr>
            <a:solidFill>
              <a:srgbClr val="0D54BD"/>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5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'ECV 2023'!$S$6:$T$15</c:f>
              <c:multiLvlStrCache>
                <c:ptCount val="10"/>
                <c:lvl>
                  <c:pt idx="0">
                    <c:v>2019</c:v>
                  </c:pt>
                  <c:pt idx="1">
                    <c:v>2020</c:v>
                  </c:pt>
                  <c:pt idx="2">
                    <c:v>2021</c:v>
                  </c:pt>
                  <c:pt idx="3">
                    <c:v>2022</c:v>
                  </c:pt>
                  <c:pt idx="4">
                    <c:v>2023</c:v>
                  </c:pt>
                  <c:pt idx="5">
                    <c:v>2019</c:v>
                  </c:pt>
                  <c:pt idx="6">
                    <c:v>2020</c:v>
                  </c:pt>
                  <c:pt idx="7">
                    <c:v>2021</c:v>
                  </c:pt>
                  <c:pt idx="8">
                    <c:v>2022</c:v>
                  </c:pt>
                  <c:pt idx="9">
                    <c:v>2023</c:v>
                  </c:pt>
                </c:lvl>
                <c:lvl>
                  <c:pt idx="0">
                    <c:v>Urbano</c:v>
                  </c:pt>
                  <c:pt idx="5">
                    <c:v>Rural</c:v>
                  </c:pt>
                </c:lvl>
              </c:multiLvlStrCache>
            </c:multiLvlStrRef>
          </c:cat>
          <c:val>
            <c:numRef>
              <c:f>'ECV 2023'!$U$6:$U$15</c:f>
              <c:numCache>
                <c:formatCode>0.0%</c:formatCode>
                <c:ptCount val="10"/>
                <c:pt idx="0">
                  <c:v>0.17499999999999999</c:v>
                </c:pt>
                <c:pt idx="1">
                  <c:v>0.17399999999999999</c:v>
                </c:pt>
                <c:pt idx="2">
                  <c:v>0.16699999999999998</c:v>
                </c:pt>
                <c:pt idx="3">
                  <c:v>0.17100000000000001</c:v>
                </c:pt>
                <c:pt idx="4">
                  <c:v>0.164845082246</c:v>
                </c:pt>
                <c:pt idx="5">
                  <c:v>0.48299999999999998</c:v>
                </c:pt>
                <c:pt idx="6">
                  <c:v>0.436</c:v>
                </c:pt>
                <c:pt idx="7">
                  <c:v>0.47499999999999998</c:v>
                </c:pt>
                <c:pt idx="8">
                  <c:v>0.44299999999999995</c:v>
                </c:pt>
                <c:pt idx="9">
                  <c:v>0.42142681729300002</c:v>
                </c:pt>
              </c:numCache>
            </c:numRef>
          </c:val>
          <c:extLst>
            <c:ext xmlns:c16="http://schemas.microsoft.com/office/drawing/2014/chart" uri="{C3380CC4-5D6E-409C-BE32-E72D297353CC}">
              <c16:uniqueId val="{00000000-076B-40A9-810B-86C94E4336CD}"/>
            </c:ext>
          </c:extLst>
        </c:ser>
        <c:ser>
          <c:idx val="3"/>
          <c:order val="1"/>
          <c:tx>
            <c:strRef>
              <c:f>'ECV 2023'!$V$5</c:f>
              <c:strCache>
                <c:ptCount val="1"/>
                <c:pt idx="0">
                  <c:v>Cuantitativo</c:v>
                </c:pt>
              </c:strCache>
            </c:strRef>
          </c:tx>
          <c:spPr>
            <a:solidFill>
              <a:srgbClr val="7B9AF1"/>
            </a:solidFill>
            <a:ln>
              <a:noFill/>
            </a:ln>
            <a:effectLst/>
          </c:spPr>
          <c:invertIfNegative val="0"/>
          <c:dLbls>
            <c:dLbl>
              <c:idx val="0"/>
              <c:layout>
                <c:manualLayout>
                  <c:x val="0"/>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6B-40A9-810B-86C94E4336CD}"/>
                </c:ext>
              </c:extLst>
            </c:dLbl>
            <c:dLbl>
              <c:idx val="1"/>
              <c:layout>
                <c:manualLayout>
                  <c:x val="0"/>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6B-40A9-810B-86C94E4336CD}"/>
                </c:ext>
              </c:extLst>
            </c:dLbl>
            <c:dLbl>
              <c:idx val="2"/>
              <c:layout>
                <c:manualLayout>
                  <c:x val="-5.0925337632079971E-17"/>
                  <c:y val="1.8518518518518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6B-40A9-810B-86C94E4336CD}"/>
                </c:ext>
              </c:extLst>
            </c:dLbl>
            <c:dLbl>
              <c:idx val="3"/>
              <c:layout>
                <c:manualLayout>
                  <c:x val="0"/>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6B-40A9-810B-86C94E4336CD}"/>
                </c:ext>
              </c:extLst>
            </c:dLbl>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'ECV 2023'!$S$6:$T$15</c:f>
              <c:multiLvlStrCache>
                <c:ptCount val="10"/>
                <c:lvl>
                  <c:pt idx="0">
                    <c:v>2019</c:v>
                  </c:pt>
                  <c:pt idx="1">
                    <c:v>2020</c:v>
                  </c:pt>
                  <c:pt idx="2">
                    <c:v>2021</c:v>
                  </c:pt>
                  <c:pt idx="3">
                    <c:v>2022</c:v>
                  </c:pt>
                  <c:pt idx="4">
                    <c:v>2023</c:v>
                  </c:pt>
                  <c:pt idx="5">
                    <c:v>2019</c:v>
                  </c:pt>
                  <c:pt idx="6">
                    <c:v>2020</c:v>
                  </c:pt>
                  <c:pt idx="7">
                    <c:v>2021</c:v>
                  </c:pt>
                  <c:pt idx="8">
                    <c:v>2022</c:v>
                  </c:pt>
                  <c:pt idx="9">
                    <c:v>2023</c:v>
                  </c:pt>
                </c:lvl>
                <c:lvl>
                  <c:pt idx="0">
                    <c:v>Urbano</c:v>
                  </c:pt>
                  <c:pt idx="5">
                    <c:v>Rural</c:v>
                  </c:pt>
                </c:lvl>
              </c:multiLvlStrCache>
            </c:multiLvlStrRef>
          </c:cat>
          <c:val>
            <c:numRef>
              <c:f>'ECV 2023'!$V$6:$V$15</c:f>
              <c:numCache>
                <c:formatCode>0.0%</c:formatCode>
                <c:ptCount val="10"/>
                <c:pt idx="0">
                  <c:v>4.0999999999999995E-2</c:v>
                </c:pt>
                <c:pt idx="1">
                  <c:v>4.2000000000000003E-2</c:v>
                </c:pt>
                <c:pt idx="2">
                  <c:v>3.7000000000000005E-2</c:v>
                </c:pt>
                <c:pt idx="3">
                  <c:v>3.4000000000000002E-2</c:v>
                </c:pt>
                <c:pt idx="4">
                  <c:v>3.0878986421999998E-2</c:v>
                </c:pt>
                <c:pt idx="5">
                  <c:v>0.22</c:v>
                </c:pt>
                <c:pt idx="6">
                  <c:v>0.20899999999999999</c:v>
                </c:pt>
                <c:pt idx="7">
                  <c:v>0.20699999999999999</c:v>
                </c:pt>
                <c:pt idx="8">
                  <c:v>0.21199999999999999</c:v>
                </c:pt>
                <c:pt idx="9">
                  <c:v>0.19923908229500001</c:v>
                </c:pt>
              </c:numCache>
            </c:numRef>
          </c:val>
          <c:extLst>
            <c:ext xmlns:c16="http://schemas.microsoft.com/office/drawing/2014/chart" uri="{C3380CC4-5D6E-409C-BE32-E72D297353CC}">
              <c16:uniqueId val="{00000005-076B-40A9-810B-86C94E4336CD}"/>
            </c:ext>
          </c:extLst>
        </c:ser>
        <c:dLbls>
          <c:showLegendKey val="0"/>
          <c:showVal val="0"/>
          <c:showCatName val="0"/>
          <c:showSerName val="0"/>
          <c:showPercent val="0"/>
          <c:showBubbleSize val="0"/>
        </c:dLbls>
        <c:gapWidth val="15"/>
        <c:overlap val="100"/>
        <c:axId val="1127301088"/>
        <c:axId val="1127296096"/>
      </c:barChart>
      <c:lineChart>
        <c:grouping val="standard"/>
        <c:varyColors val="0"/>
        <c:ser>
          <c:idx val="4"/>
          <c:order val="2"/>
          <c:tx>
            <c:strRef>
              <c:f>'ECV 2023'!$W$5</c:f>
              <c:strCache>
                <c:ptCount val="1"/>
                <c:pt idx="0">
                  <c:v>Déficit Total</c:v>
                </c:pt>
              </c:strCache>
            </c:strRef>
          </c:tx>
          <c:spPr>
            <a:ln w="25400" cap="rnd">
              <a:noFill/>
              <a:round/>
            </a:ln>
            <a:effectLst/>
          </c:spPr>
          <c:marker>
            <c:symbol val="circle"/>
            <c:size val="5"/>
            <c:spPr>
              <a:solidFill>
                <a:srgbClr val="224AF6"/>
              </a:solidFill>
              <a:ln w="57150">
                <a:solidFill>
                  <a:srgbClr val="224AF6"/>
                </a:solidFill>
              </a:ln>
              <a:effectLst/>
            </c:spPr>
          </c:marker>
          <c:dLbls>
            <c:spPr>
              <a:noFill/>
              <a:ln>
                <a:noFill/>
              </a:ln>
              <a:effectLst/>
            </c:spPr>
            <c:txPr>
              <a:bodyPr rot="-5400000" spcFirstLastPara="1" vertOverflow="ellipsis" wrap="square" lIns="38100" tIns="19050" rIns="38100" bIns="19050" anchor="ctr" anchorCtr="1">
                <a:spAutoFit/>
              </a:bodyPr>
              <a:lstStyle/>
              <a:p>
                <a:pPr>
                  <a:defRPr sz="850" b="1" i="0" u="none" strike="noStrike" kern="1200" baseline="0">
                    <a:solidFill>
                      <a:srgbClr val="224AF6"/>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'ECV 2023'!$S$6:$T$15</c:f>
              <c:multiLvlStrCache>
                <c:ptCount val="10"/>
                <c:lvl>
                  <c:pt idx="0">
                    <c:v>2019</c:v>
                  </c:pt>
                  <c:pt idx="1">
                    <c:v>2020</c:v>
                  </c:pt>
                  <c:pt idx="2">
                    <c:v>2021</c:v>
                  </c:pt>
                  <c:pt idx="3">
                    <c:v>2022</c:v>
                  </c:pt>
                  <c:pt idx="4">
                    <c:v>2023</c:v>
                  </c:pt>
                  <c:pt idx="5">
                    <c:v>2019</c:v>
                  </c:pt>
                  <c:pt idx="6">
                    <c:v>2020</c:v>
                  </c:pt>
                  <c:pt idx="7">
                    <c:v>2021</c:v>
                  </c:pt>
                  <c:pt idx="8">
                    <c:v>2022</c:v>
                  </c:pt>
                  <c:pt idx="9">
                    <c:v>2023</c:v>
                  </c:pt>
                </c:lvl>
                <c:lvl>
                  <c:pt idx="0">
                    <c:v>Urbano</c:v>
                  </c:pt>
                  <c:pt idx="5">
                    <c:v>Rural</c:v>
                  </c:pt>
                </c:lvl>
              </c:multiLvlStrCache>
            </c:multiLvlStrRef>
          </c:cat>
          <c:val>
            <c:numRef>
              <c:f>'ECV 2023'!$W$6:$W$15</c:f>
              <c:numCache>
                <c:formatCode>0.0%</c:formatCode>
                <c:ptCount val="10"/>
                <c:pt idx="0">
                  <c:v>0.21599999999999997</c:v>
                </c:pt>
                <c:pt idx="1">
                  <c:v>0.216</c:v>
                </c:pt>
                <c:pt idx="2">
                  <c:v>0.20399999999999999</c:v>
                </c:pt>
                <c:pt idx="3">
                  <c:v>0.20500000000000002</c:v>
                </c:pt>
                <c:pt idx="4">
                  <c:v>0.19572406866799999</c:v>
                </c:pt>
                <c:pt idx="5">
                  <c:v>0.70299999999999996</c:v>
                </c:pt>
                <c:pt idx="6">
                  <c:v>0.64500000000000002</c:v>
                </c:pt>
                <c:pt idx="7">
                  <c:v>0.68199999999999994</c:v>
                </c:pt>
                <c:pt idx="8">
                  <c:v>0.65499999999999992</c:v>
                </c:pt>
                <c:pt idx="9">
                  <c:v>0.620665899588</c:v>
                </c:pt>
              </c:numCache>
            </c:numRef>
          </c:val>
          <c:smooth val="0"/>
          <c:extLst>
            <c:ext xmlns:c16="http://schemas.microsoft.com/office/drawing/2014/chart" uri="{C3380CC4-5D6E-409C-BE32-E72D297353CC}">
              <c16:uniqueId val="{00000006-076B-40A9-810B-86C94E4336CD}"/>
            </c:ext>
          </c:extLst>
        </c:ser>
        <c:dLbls>
          <c:showLegendKey val="0"/>
          <c:showVal val="0"/>
          <c:showCatName val="0"/>
          <c:showSerName val="0"/>
          <c:showPercent val="0"/>
          <c:showBubbleSize val="0"/>
        </c:dLbls>
        <c:marker val="1"/>
        <c:smooth val="0"/>
        <c:axId val="1127301088"/>
        <c:axId val="1127296096"/>
      </c:lineChart>
      <c:catAx>
        <c:axId val="112730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es-CO"/>
          </a:p>
        </c:txPr>
        <c:crossAx val="1127296096"/>
        <c:crosses val="autoZero"/>
        <c:auto val="1"/>
        <c:lblAlgn val="ctr"/>
        <c:lblOffset val="100"/>
        <c:noMultiLvlLbl val="0"/>
      </c:catAx>
      <c:valAx>
        <c:axId val="1127296096"/>
        <c:scaling>
          <c:orientation val="minMax"/>
        </c:scaling>
        <c:delete val="1"/>
        <c:axPos val="l"/>
        <c:numFmt formatCode="0.0%" sourceLinked="1"/>
        <c:majorTickMark val="none"/>
        <c:minorTickMark val="none"/>
        <c:tickLblPos val="nextTo"/>
        <c:crossAx val="1127301088"/>
        <c:crosses val="autoZero"/>
        <c:crossBetween val="between"/>
      </c:valAx>
      <c:spPr>
        <a:noFill/>
        <a:ln>
          <a:noFill/>
        </a:ln>
        <a:effectLst/>
      </c:spPr>
    </c:plotArea>
    <c:legend>
      <c:legendPos val="b"/>
      <c:layout>
        <c:manualLayout>
          <c:xMode val="edge"/>
          <c:yMode val="edge"/>
          <c:x val="7.1981950255362109E-2"/>
          <c:y val="2.3805586498779733E-2"/>
          <c:w val="0.29859858358706659"/>
          <c:h val="0.236036569742190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000000000000001E-2"/>
          <c:y val="9.9950944419101254E-2"/>
          <c:w val="0.93888888888888888"/>
          <c:h val="0.7227143456825571"/>
        </c:manualLayout>
      </c:layout>
      <c:barChart>
        <c:barDir val="col"/>
        <c:grouping val="stacked"/>
        <c:varyColors val="0"/>
        <c:ser>
          <c:idx val="2"/>
          <c:order val="0"/>
          <c:tx>
            <c:strRef>
              <c:f>'ECV 2023'!$U$5</c:f>
              <c:strCache>
                <c:ptCount val="1"/>
                <c:pt idx="0">
                  <c:v>Cualitativo</c:v>
                </c:pt>
              </c:strCache>
            </c:strRef>
          </c:tx>
          <c:spPr>
            <a:solidFill>
              <a:srgbClr val="0D54BD"/>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5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'ECV 2023'!$S$6:$T$15</c:f>
              <c:multiLvlStrCache>
                <c:ptCount val="10"/>
                <c:lvl>
                  <c:pt idx="0">
                    <c:v>2019</c:v>
                  </c:pt>
                  <c:pt idx="1">
                    <c:v>2020</c:v>
                  </c:pt>
                  <c:pt idx="2">
                    <c:v>2021</c:v>
                  </c:pt>
                  <c:pt idx="3">
                    <c:v>2022</c:v>
                  </c:pt>
                  <c:pt idx="4">
                    <c:v>2023</c:v>
                  </c:pt>
                  <c:pt idx="5">
                    <c:v>2019</c:v>
                  </c:pt>
                  <c:pt idx="6">
                    <c:v>2020</c:v>
                  </c:pt>
                  <c:pt idx="7">
                    <c:v>2021</c:v>
                  </c:pt>
                  <c:pt idx="8">
                    <c:v>2022</c:v>
                  </c:pt>
                  <c:pt idx="9">
                    <c:v>2023</c:v>
                  </c:pt>
                </c:lvl>
                <c:lvl>
                  <c:pt idx="0">
                    <c:v>Urbano</c:v>
                  </c:pt>
                  <c:pt idx="5">
                    <c:v>Rural</c:v>
                  </c:pt>
                </c:lvl>
              </c:multiLvlStrCache>
            </c:multiLvlStrRef>
          </c:cat>
          <c:val>
            <c:numRef>
              <c:f>'ECV 2023'!$U$6:$U$15</c:f>
              <c:numCache>
                <c:formatCode>0.0%</c:formatCode>
                <c:ptCount val="10"/>
                <c:pt idx="0">
                  <c:v>0.17499999999999999</c:v>
                </c:pt>
                <c:pt idx="1">
                  <c:v>0.17399999999999999</c:v>
                </c:pt>
                <c:pt idx="2">
                  <c:v>0.16699999999999998</c:v>
                </c:pt>
                <c:pt idx="3">
                  <c:v>0.17100000000000001</c:v>
                </c:pt>
                <c:pt idx="4">
                  <c:v>0.164845082246</c:v>
                </c:pt>
                <c:pt idx="5">
                  <c:v>0.48299999999999998</c:v>
                </c:pt>
                <c:pt idx="6">
                  <c:v>0.436</c:v>
                </c:pt>
                <c:pt idx="7">
                  <c:v>0.47499999999999998</c:v>
                </c:pt>
                <c:pt idx="8">
                  <c:v>0.44299999999999995</c:v>
                </c:pt>
                <c:pt idx="9">
                  <c:v>0.42142681729300002</c:v>
                </c:pt>
              </c:numCache>
            </c:numRef>
          </c:val>
          <c:extLst>
            <c:ext xmlns:c16="http://schemas.microsoft.com/office/drawing/2014/chart" uri="{C3380CC4-5D6E-409C-BE32-E72D297353CC}">
              <c16:uniqueId val="{00000000-076B-40A9-810B-86C94E4336CD}"/>
            </c:ext>
          </c:extLst>
        </c:ser>
        <c:ser>
          <c:idx val="3"/>
          <c:order val="1"/>
          <c:tx>
            <c:strRef>
              <c:f>'ECV 2023'!$V$5</c:f>
              <c:strCache>
                <c:ptCount val="1"/>
                <c:pt idx="0">
                  <c:v>Cuantitativo</c:v>
                </c:pt>
              </c:strCache>
            </c:strRef>
          </c:tx>
          <c:spPr>
            <a:solidFill>
              <a:srgbClr val="7B9AF1"/>
            </a:solidFill>
            <a:ln>
              <a:noFill/>
            </a:ln>
            <a:effectLst/>
          </c:spPr>
          <c:invertIfNegative val="0"/>
          <c:dLbls>
            <c:dLbl>
              <c:idx val="0"/>
              <c:layout>
                <c:manualLayout>
                  <c:x val="0"/>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6B-40A9-810B-86C94E4336CD}"/>
                </c:ext>
              </c:extLst>
            </c:dLbl>
            <c:dLbl>
              <c:idx val="1"/>
              <c:layout>
                <c:manualLayout>
                  <c:x val="0"/>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6B-40A9-810B-86C94E4336CD}"/>
                </c:ext>
              </c:extLst>
            </c:dLbl>
            <c:dLbl>
              <c:idx val="2"/>
              <c:layout>
                <c:manualLayout>
                  <c:x val="-5.0925337632079971E-17"/>
                  <c:y val="1.8518518518518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6B-40A9-810B-86C94E4336CD}"/>
                </c:ext>
              </c:extLst>
            </c:dLbl>
            <c:dLbl>
              <c:idx val="3"/>
              <c:layout>
                <c:manualLayout>
                  <c:x val="0"/>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6B-40A9-810B-86C94E4336CD}"/>
                </c:ext>
              </c:extLst>
            </c:dLbl>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'ECV 2023'!$S$6:$T$15</c:f>
              <c:multiLvlStrCache>
                <c:ptCount val="10"/>
                <c:lvl>
                  <c:pt idx="0">
                    <c:v>2019</c:v>
                  </c:pt>
                  <c:pt idx="1">
                    <c:v>2020</c:v>
                  </c:pt>
                  <c:pt idx="2">
                    <c:v>2021</c:v>
                  </c:pt>
                  <c:pt idx="3">
                    <c:v>2022</c:v>
                  </c:pt>
                  <c:pt idx="4">
                    <c:v>2023</c:v>
                  </c:pt>
                  <c:pt idx="5">
                    <c:v>2019</c:v>
                  </c:pt>
                  <c:pt idx="6">
                    <c:v>2020</c:v>
                  </c:pt>
                  <c:pt idx="7">
                    <c:v>2021</c:v>
                  </c:pt>
                  <c:pt idx="8">
                    <c:v>2022</c:v>
                  </c:pt>
                  <c:pt idx="9">
                    <c:v>2023</c:v>
                  </c:pt>
                </c:lvl>
                <c:lvl>
                  <c:pt idx="0">
                    <c:v>Urbano</c:v>
                  </c:pt>
                  <c:pt idx="5">
                    <c:v>Rural</c:v>
                  </c:pt>
                </c:lvl>
              </c:multiLvlStrCache>
            </c:multiLvlStrRef>
          </c:cat>
          <c:val>
            <c:numRef>
              <c:f>'ECV 2023'!$V$6:$V$15</c:f>
              <c:numCache>
                <c:formatCode>0.0%</c:formatCode>
                <c:ptCount val="10"/>
                <c:pt idx="0">
                  <c:v>4.0999999999999995E-2</c:v>
                </c:pt>
                <c:pt idx="1">
                  <c:v>4.2000000000000003E-2</c:v>
                </c:pt>
                <c:pt idx="2">
                  <c:v>3.7000000000000005E-2</c:v>
                </c:pt>
                <c:pt idx="3">
                  <c:v>3.4000000000000002E-2</c:v>
                </c:pt>
                <c:pt idx="4">
                  <c:v>3.0878986421999998E-2</c:v>
                </c:pt>
                <c:pt idx="5">
                  <c:v>0.22</c:v>
                </c:pt>
                <c:pt idx="6">
                  <c:v>0.20899999999999999</c:v>
                </c:pt>
                <c:pt idx="7">
                  <c:v>0.20699999999999999</c:v>
                </c:pt>
                <c:pt idx="8">
                  <c:v>0.21199999999999999</c:v>
                </c:pt>
                <c:pt idx="9">
                  <c:v>0.19923908229500001</c:v>
                </c:pt>
              </c:numCache>
            </c:numRef>
          </c:val>
          <c:extLst>
            <c:ext xmlns:c16="http://schemas.microsoft.com/office/drawing/2014/chart" uri="{C3380CC4-5D6E-409C-BE32-E72D297353CC}">
              <c16:uniqueId val="{00000005-076B-40A9-810B-86C94E4336CD}"/>
            </c:ext>
          </c:extLst>
        </c:ser>
        <c:dLbls>
          <c:showLegendKey val="0"/>
          <c:showVal val="0"/>
          <c:showCatName val="0"/>
          <c:showSerName val="0"/>
          <c:showPercent val="0"/>
          <c:showBubbleSize val="0"/>
        </c:dLbls>
        <c:gapWidth val="15"/>
        <c:overlap val="100"/>
        <c:axId val="1127301088"/>
        <c:axId val="1127296096"/>
      </c:barChart>
      <c:lineChart>
        <c:grouping val="standard"/>
        <c:varyColors val="0"/>
        <c:ser>
          <c:idx val="4"/>
          <c:order val="2"/>
          <c:tx>
            <c:strRef>
              <c:f>'ECV 2023'!$W$5</c:f>
              <c:strCache>
                <c:ptCount val="1"/>
                <c:pt idx="0">
                  <c:v>Déficit Total</c:v>
                </c:pt>
              </c:strCache>
            </c:strRef>
          </c:tx>
          <c:spPr>
            <a:ln w="25400" cap="rnd">
              <a:noFill/>
              <a:round/>
            </a:ln>
            <a:effectLst/>
          </c:spPr>
          <c:marker>
            <c:symbol val="circle"/>
            <c:size val="5"/>
            <c:spPr>
              <a:solidFill>
                <a:srgbClr val="224AF6"/>
              </a:solidFill>
              <a:ln w="57150">
                <a:solidFill>
                  <a:srgbClr val="224AF6"/>
                </a:solidFill>
              </a:ln>
              <a:effectLst/>
            </c:spPr>
          </c:marker>
          <c:dLbls>
            <c:spPr>
              <a:noFill/>
              <a:ln>
                <a:noFill/>
              </a:ln>
              <a:effectLst/>
            </c:spPr>
            <c:txPr>
              <a:bodyPr rot="-5400000" spcFirstLastPara="1" vertOverflow="ellipsis" wrap="square" lIns="38100" tIns="19050" rIns="38100" bIns="19050" anchor="ctr" anchorCtr="1">
                <a:spAutoFit/>
              </a:bodyPr>
              <a:lstStyle/>
              <a:p>
                <a:pPr>
                  <a:defRPr sz="850" b="1" i="0" u="none" strike="noStrike" kern="1200" baseline="0">
                    <a:solidFill>
                      <a:srgbClr val="224AF6"/>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'ECV 2023'!$S$6:$T$15</c:f>
              <c:multiLvlStrCache>
                <c:ptCount val="10"/>
                <c:lvl>
                  <c:pt idx="0">
                    <c:v>2019</c:v>
                  </c:pt>
                  <c:pt idx="1">
                    <c:v>2020</c:v>
                  </c:pt>
                  <c:pt idx="2">
                    <c:v>2021</c:v>
                  </c:pt>
                  <c:pt idx="3">
                    <c:v>2022</c:v>
                  </c:pt>
                  <c:pt idx="4">
                    <c:v>2023</c:v>
                  </c:pt>
                  <c:pt idx="5">
                    <c:v>2019</c:v>
                  </c:pt>
                  <c:pt idx="6">
                    <c:v>2020</c:v>
                  </c:pt>
                  <c:pt idx="7">
                    <c:v>2021</c:v>
                  </c:pt>
                  <c:pt idx="8">
                    <c:v>2022</c:v>
                  </c:pt>
                  <c:pt idx="9">
                    <c:v>2023</c:v>
                  </c:pt>
                </c:lvl>
                <c:lvl>
                  <c:pt idx="0">
                    <c:v>Urbano</c:v>
                  </c:pt>
                  <c:pt idx="5">
                    <c:v>Rural</c:v>
                  </c:pt>
                </c:lvl>
              </c:multiLvlStrCache>
            </c:multiLvlStrRef>
          </c:cat>
          <c:val>
            <c:numRef>
              <c:f>'ECV 2023'!$W$6:$W$15</c:f>
              <c:numCache>
                <c:formatCode>0.0%</c:formatCode>
                <c:ptCount val="10"/>
                <c:pt idx="0">
                  <c:v>0.21599999999999997</c:v>
                </c:pt>
                <c:pt idx="1">
                  <c:v>0.216</c:v>
                </c:pt>
                <c:pt idx="2">
                  <c:v>0.20399999999999999</c:v>
                </c:pt>
                <c:pt idx="3">
                  <c:v>0.20500000000000002</c:v>
                </c:pt>
                <c:pt idx="4">
                  <c:v>0.19572406866799999</c:v>
                </c:pt>
                <c:pt idx="5">
                  <c:v>0.70299999999999996</c:v>
                </c:pt>
                <c:pt idx="6">
                  <c:v>0.64500000000000002</c:v>
                </c:pt>
                <c:pt idx="7">
                  <c:v>0.68199999999999994</c:v>
                </c:pt>
                <c:pt idx="8">
                  <c:v>0.65499999999999992</c:v>
                </c:pt>
                <c:pt idx="9">
                  <c:v>0.620665899588</c:v>
                </c:pt>
              </c:numCache>
            </c:numRef>
          </c:val>
          <c:smooth val="0"/>
          <c:extLst>
            <c:ext xmlns:c16="http://schemas.microsoft.com/office/drawing/2014/chart" uri="{C3380CC4-5D6E-409C-BE32-E72D297353CC}">
              <c16:uniqueId val="{00000006-076B-40A9-810B-86C94E4336CD}"/>
            </c:ext>
          </c:extLst>
        </c:ser>
        <c:dLbls>
          <c:showLegendKey val="0"/>
          <c:showVal val="0"/>
          <c:showCatName val="0"/>
          <c:showSerName val="0"/>
          <c:showPercent val="0"/>
          <c:showBubbleSize val="0"/>
        </c:dLbls>
        <c:marker val="1"/>
        <c:smooth val="0"/>
        <c:axId val="1127301088"/>
        <c:axId val="1127296096"/>
      </c:lineChart>
      <c:catAx>
        <c:axId val="112730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es-CO"/>
          </a:p>
        </c:txPr>
        <c:crossAx val="1127296096"/>
        <c:crosses val="autoZero"/>
        <c:auto val="1"/>
        <c:lblAlgn val="ctr"/>
        <c:lblOffset val="100"/>
        <c:noMultiLvlLbl val="0"/>
      </c:catAx>
      <c:valAx>
        <c:axId val="1127296096"/>
        <c:scaling>
          <c:orientation val="minMax"/>
        </c:scaling>
        <c:delete val="1"/>
        <c:axPos val="l"/>
        <c:numFmt formatCode="0.0%" sourceLinked="1"/>
        <c:majorTickMark val="none"/>
        <c:minorTickMark val="none"/>
        <c:tickLblPos val="nextTo"/>
        <c:crossAx val="1127301088"/>
        <c:crosses val="autoZero"/>
        <c:crossBetween val="between"/>
      </c:valAx>
      <c:spPr>
        <a:noFill/>
        <a:ln>
          <a:noFill/>
        </a:ln>
        <a:effectLst/>
      </c:spPr>
    </c:plotArea>
    <c:legend>
      <c:legendPos val="b"/>
      <c:layout>
        <c:manualLayout>
          <c:xMode val="edge"/>
          <c:yMode val="edge"/>
          <c:x val="7.1981950255362109E-2"/>
          <c:y val="2.3805586498779733E-2"/>
          <c:w val="0.29859858358706659"/>
          <c:h val="0.236036569742190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40666334334E-2"/>
          <c:y val="0.15506105215108981"/>
          <c:w val="0.93888888888888888"/>
          <c:h val="0.6613800086583379"/>
        </c:manualLayout>
      </c:layout>
      <c:barChart>
        <c:barDir val="col"/>
        <c:grouping val="stacked"/>
        <c:varyColors val="0"/>
        <c:ser>
          <c:idx val="2"/>
          <c:order val="0"/>
          <c:tx>
            <c:strRef>
              <c:f>'ECV 2023'!$O$5</c:f>
              <c:strCache>
                <c:ptCount val="1"/>
                <c:pt idx="0">
                  <c:v>Cualitativo</c:v>
                </c:pt>
              </c:strCache>
            </c:strRef>
          </c:tx>
          <c:spPr>
            <a:solidFill>
              <a:srgbClr val="0D54BD"/>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'ECV 2023'!$M$6:$N$15</c:f>
              <c:multiLvlStrCache>
                <c:ptCount val="10"/>
                <c:lvl>
                  <c:pt idx="0">
                    <c:v>2019</c:v>
                  </c:pt>
                  <c:pt idx="1">
                    <c:v>2020</c:v>
                  </c:pt>
                  <c:pt idx="2">
                    <c:v>2021</c:v>
                  </c:pt>
                  <c:pt idx="3">
                    <c:v>2022</c:v>
                  </c:pt>
                  <c:pt idx="4">
                    <c:v>2023</c:v>
                  </c:pt>
                  <c:pt idx="5">
                    <c:v>2019</c:v>
                  </c:pt>
                  <c:pt idx="6">
                    <c:v>2020</c:v>
                  </c:pt>
                  <c:pt idx="7">
                    <c:v>2021</c:v>
                  </c:pt>
                  <c:pt idx="8">
                    <c:v>2022</c:v>
                  </c:pt>
                  <c:pt idx="9">
                    <c:v>2023</c:v>
                  </c:pt>
                </c:lvl>
                <c:lvl>
                  <c:pt idx="0">
                    <c:v>Urbano</c:v>
                  </c:pt>
                  <c:pt idx="5">
                    <c:v>Rural</c:v>
                  </c:pt>
                </c:lvl>
              </c:multiLvlStrCache>
            </c:multiLvlStrRef>
          </c:cat>
          <c:val>
            <c:numRef>
              <c:f>'ECV 2023'!$O$6:$O$15</c:f>
              <c:numCache>
                <c:formatCode>#,##0</c:formatCode>
                <c:ptCount val="10"/>
                <c:pt idx="0">
                  <c:v>2142</c:v>
                </c:pt>
                <c:pt idx="1">
                  <c:v>2183</c:v>
                </c:pt>
                <c:pt idx="2">
                  <c:v>2196</c:v>
                </c:pt>
                <c:pt idx="3">
                  <c:v>2321</c:v>
                </c:pt>
                <c:pt idx="4">
                  <c:v>2299</c:v>
                </c:pt>
                <c:pt idx="5">
                  <c:v>1764</c:v>
                </c:pt>
                <c:pt idx="6">
                  <c:v>1617</c:v>
                </c:pt>
                <c:pt idx="7">
                  <c:v>1781</c:v>
                </c:pt>
                <c:pt idx="8">
                  <c:v>1692.54</c:v>
                </c:pt>
                <c:pt idx="9">
                  <c:v>1645</c:v>
                </c:pt>
              </c:numCache>
            </c:numRef>
          </c:val>
          <c:extLst>
            <c:ext xmlns:c16="http://schemas.microsoft.com/office/drawing/2014/chart" uri="{C3380CC4-5D6E-409C-BE32-E72D297353CC}">
              <c16:uniqueId val="{00000000-65D7-42F8-BF54-4ABC6834FEA0}"/>
            </c:ext>
          </c:extLst>
        </c:ser>
        <c:ser>
          <c:idx val="3"/>
          <c:order val="1"/>
          <c:tx>
            <c:strRef>
              <c:f>'ECV 2023'!$P$5</c:f>
              <c:strCache>
                <c:ptCount val="1"/>
                <c:pt idx="0">
                  <c:v>Cuantitativo</c:v>
                </c:pt>
              </c:strCache>
            </c:strRef>
          </c:tx>
          <c:spPr>
            <a:solidFill>
              <a:srgbClr val="7B9AF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'ECV 2023'!$M$6:$N$15</c:f>
              <c:multiLvlStrCache>
                <c:ptCount val="10"/>
                <c:lvl>
                  <c:pt idx="0">
                    <c:v>2019</c:v>
                  </c:pt>
                  <c:pt idx="1">
                    <c:v>2020</c:v>
                  </c:pt>
                  <c:pt idx="2">
                    <c:v>2021</c:v>
                  </c:pt>
                  <c:pt idx="3">
                    <c:v>2022</c:v>
                  </c:pt>
                  <c:pt idx="4">
                    <c:v>2023</c:v>
                  </c:pt>
                  <c:pt idx="5">
                    <c:v>2019</c:v>
                  </c:pt>
                  <c:pt idx="6">
                    <c:v>2020</c:v>
                  </c:pt>
                  <c:pt idx="7">
                    <c:v>2021</c:v>
                  </c:pt>
                  <c:pt idx="8">
                    <c:v>2022</c:v>
                  </c:pt>
                  <c:pt idx="9">
                    <c:v>2023</c:v>
                  </c:pt>
                </c:lvl>
                <c:lvl>
                  <c:pt idx="0">
                    <c:v>Urbano</c:v>
                  </c:pt>
                  <c:pt idx="5">
                    <c:v>Rural</c:v>
                  </c:pt>
                </c:lvl>
              </c:multiLvlStrCache>
            </c:multiLvlStrRef>
          </c:cat>
          <c:val>
            <c:numRef>
              <c:f>'ECV 2023'!$P$6:$P$15</c:f>
              <c:numCache>
                <c:formatCode>#,##0</c:formatCode>
                <c:ptCount val="10"/>
                <c:pt idx="0">
                  <c:v>497</c:v>
                </c:pt>
                <c:pt idx="1">
                  <c:v>527</c:v>
                </c:pt>
                <c:pt idx="2">
                  <c:v>485</c:v>
                </c:pt>
                <c:pt idx="3">
                  <c:v>457</c:v>
                </c:pt>
                <c:pt idx="4">
                  <c:v>431</c:v>
                </c:pt>
                <c:pt idx="5">
                  <c:v>802</c:v>
                </c:pt>
                <c:pt idx="6">
                  <c:v>776</c:v>
                </c:pt>
                <c:pt idx="7">
                  <c:v>777</c:v>
                </c:pt>
                <c:pt idx="8">
                  <c:v>810.83</c:v>
                </c:pt>
                <c:pt idx="9">
                  <c:v>778</c:v>
                </c:pt>
              </c:numCache>
            </c:numRef>
          </c:val>
          <c:extLst>
            <c:ext xmlns:c16="http://schemas.microsoft.com/office/drawing/2014/chart" uri="{C3380CC4-5D6E-409C-BE32-E72D297353CC}">
              <c16:uniqueId val="{00000001-65D7-42F8-BF54-4ABC6834FEA0}"/>
            </c:ext>
          </c:extLst>
        </c:ser>
        <c:dLbls>
          <c:showLegendKey val="0"/>
          <c:showVal val="0"/>
          <c:showCatName val="0"/>
          <c:showSerName val="0"/>
          <c:showPercent val="0"/>
          <c:showBubbleSize val="0"/>
        </c:dLbls>
        <c:gapWidth val="15"/>
        <c:overlap val="100"/>
        <c:axId val="1127301088"/>
        <c:axId val="1127296096"/>
      </c:barChart>
      <c:lineChart>
        <c:grouping val="standard"/>
        <c:varyColors val="0"/>
        <c:ser>
          <c:idx val="4"/>
          <c:order val="2"/>
          <c:tx>
            <c:strRef>
              <c:f>'ECV 2023'!$Q$5</c:f>
              <c:strCache>
                <c:ptCount val="1"/>
                <c:pt idx="0">
                  <c:v>Déficit Total</c:v>
                </c:pt>
              </c:strCache>
            </c:strRef>
          </c:tx>
          <c:spPr>
            <a:ln w="28575" cap="rnd">
              <a:noFill/>
              <a:round/>
            </a:ln>
            <a:effectLst/>
          </c:spPr>
          <c:marker>
            <c:symbol val="circle"/>
            <c:size val="5"/>
            <c:spPr>
              <a:solidFill>
                <a:srgbClr val="224AF6"/>
              </a:solidFill>
              <a:ln w="57150">
                <a:solidFill>
                  <a:srgbClr val="224AF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224AF6"/>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'ECV 2023'!$M$6:$N$15</c:f>
              <c:multiLvlStrCache>
                <c:ptCount val="10"/>
                <c:lvl>
                  <c:pt idx="0">
                    <c:v>2019</c:v>
                  </c:pt>
                  <c:pt idx="1">
                    <c:v>2020</c:v>
                  </c:pt>
                  <c:pt idx="2">
                    <c:v>2021</c:v>
                  </c:pt>
                  <c:pt idx="3">
                    <c:v>2022</c:v>
                  </c:pt>
                  <c:pt idx="4">
                    <c:v>2023</c:v>
                  </c:pt>
                  <c:pt idx="5">
                    <c:v>2019</c:v>
                  </c:pt>
                  <c:pt idx="6">
                    <c:v>2020</c:v>
                  </c:pt>
                  <c:pt idx="7">
                    <c:v>2021</c:v>
                  </c:pt>
                  <c:pt idx="8">
                    <c:v>2022</c:v>
                  </c:pt>
                  <c:pt idx="9">
                    <c:v>2023</c:v>
                  </c:pt>
                </c:lvl>
                <c:lvl>
                  <c:pt idx="0">
                    <c:v>Urbano</c:v>
                  </c:pt>
                  <c:pt idx="5">
                    <c:v>Rural</c:v>
                  </c:pt>
                </c:lvl>
              </c:multiLvlStrCache>
            </c:multiLvlStrRef>
          </c:cat>
          <c:val>
            <c:numRef>
              <c:f>'ECV 2023'!$Q$6:$Q$15</c:f>
              <c:numCache>
                <c:formatCode>#,##0</c:formatCode>
                <c:ptCount val="10"/>
                <c:pt idx="0">
                  <c:v>2639</c:v>
                </c:pt>
                <c:pt idx="1">
                  <c:v>2710</c:v>
                </c:pt>
                <c:pt idx="2">
                  <c:v>2681</c:v>
                </c:pt>
                <c:pt idx="3">
                  <c:v>2778</c:v>
                </c:pt>
                <c:pt idx="4">
                  <c:v>2730</c:v>
                </c:pt>
                <c:pt idx="5">
                  <c:v>2566</c:v>
                </c:pt>
                <c:pt idx="6">
                  <c:v>2393</c:v>
                </c:pt>
                <c:pt idx="7">
                  <c:v>2558</c:v>
                </c:pt>
                <c:pt idx="8">
                  <c:v>2503.37</c:v>
                </c:pt>
                <c:pt idx="9">
                  <c:v>2423</c:v>
                </c:pt>
              </c:numCache>
            </c:numRef>
          </c:val>
          <c:smooth val="0"/>
          <c:extLst>
            <c:ext xmlns:c16="http://schemas.microsoft.com/office/drawing/2014/chart" uri="{C3380CC4-5D6E-409C-BE32-E72D297353CC}">
              <c16:uniqueId val="{00000002-65D7-42F8-BF54-4ABC6834FEA0}"/>
            </c:ext>
          </c:extLst>
        </c:ser>
        <c:dLbls>
          <c:showLegendKey val="0"/>
          <c:showVal val="0"/>
          <c:showCatName val="0"/>
          <c:showSerName val="0"/>
          <c:showPercent val="0"/>
          <c:showBubbleSize val="0"/>
        </c:dLbls>
        <c:marker val="1"/>
        <c:smooth val="0"/>
        <c:axId val="1127301088"/>
        <c:axId val="1127296096"/>
      </c:lineChart>
      <c:catAx>
        <c:axId val="112730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es-CO"/>
          </a:p>
        </c:txPr>
        <c:crossAx val="1127296096"/>
        <c:crosses val="autoZero"/>
        <c:auto val="1"/>
        <c:lblAlgn val="ctr"/>
        <c:lblOffset val="100"/>
        <c:noMultiLvlLbl val="0"/>
      </c:catAx>
      <c:valAx>
        <c:axId val="1127296096"/>
        <c:scaling>
          <c:orientation val="minMax"/>
        </c:scaling>
        <c:delete val="1"/>
        <c:axPos val="l"/>
        <c:numFmt formatCode="#,##0" sourceLinked="1"/>
        <c:majorTickMark val="none"/>
        <c:minorTickMark val="none"/>
        <c:tickLblPos val="nextTo"/>
        <c:crossAx val="1127301088"/>
        <c:crosses val="autoZero"/>
        <c:crossBetween val="between"/>
      </c:valAx>
      <c:spPr>
        <a:noFill/>
        <a:ln>
          <a:noFill/>
        </a:ln>
        <a:effectLst/>
      </c:spPr>
    </c:plotArea>
    <c:legend>
      <c:legendPos val="b"/>
      <c:layout>
        <c:manualLayout>
          <c:xMode val="edge"/>
          <c:yMode val="edge"/>
          <c:x val="7.7135695002045784E-2"/>
          <c:y val="1.743878169075019E-2"/>
          <c:w val="0.87620446355029324"/>
          <c:h val="8.37171916010498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40666334334E-2"/>
          <c:y val="0.15506105215108981"/>
          <c:w val="0.93888888888888888"/>
          <c:h val="0.6613800086583379"/>
        </c:manualLayout>
      </c:layout>
      <c:barChart>
        <c:barDir val="col"/>
        <c:grouping val="stacked"/>
        <c:varyColors val="0"/>
        <c:ser>
          <c:idx val="2"/>
          <c:order val="0"/>
          <c:tx>
            <c:strRef>
              <c:f>'ECV 2023'!$O$5</c:f>
              <c:strCache>
                <c:ptCount val="1"/>
                <c:pt idx="0">
                  <c:v>Cualitativo</c:v>
                </c:pt>
              </c:strCache>
            </c:strRef>
          </c:tx>
          <c:spPr>
            <a:solidFill>
              <a:srgbClr val="0D54BD"/>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'ECV 2023'!$M$6:$N$15</c:f>
              <c:multiLvlStrCache>
                <c:ptCount val="10"/>
                <c:lvl>
                  <c:pt idx="0">
                    <c:v>2019</c:v>
                  </c:pt>
                  <c:pt idx="1">
                    <c:v>2020</c:v>
                  </c:pt>
                  <c:pt idx="2">
                    <c:v>2021</c:v>
                  </c:pt>
                  <c:pt idx="3">
                    <c:v>2022</c:v>
                  </c:pt>
                  <c:pt idx="4">
                    <c:v>2023</c:v>
                  </c:pt>
                  <c:pt idx="5">
                    <c:v>2019</c:v>
                  </c:pt>
                  <c:pt idx="6">
                    <c:v>2020</c:v>
                  </c:pt>
                  <c:pt idx="7">
                    <c:v>2021</c:v>
                  </c:pt>
                  <c:pt idx="8">
                    <c:v>2022</c:v>
                  </c:pt>
                  <c:pt idx="9">
                    <c:v>2023</c:v>
                  </c:pt>
                </c:lvl>
                <c:lvl>
                  <c:pt idx="0">
                    <c:v>Urbano</c:v>
                  </c:pt>
                  <c:pt idx="5">
                    <c:v>Rural</c:v>
                  </c:pt>
                </c:lvl>
              </c:multiLvlStrCache>
            </c:multiLvlStrRef>
          </c:cat>
          <c:val>
            <c:numRef>
              <c:f>'ECV 2023'!$O$6:$O$15</c:f>
              <c:numCache>
                <c:formatCode>#,##0</c:formatCode>
                <c:ptCount val="10"/>
                <c:pt idx="0">
                  <c:v>2142</c:v>
                </c:pt>
                <c:pt idx="1">
                  <c:v>2183</c:v>
                </c:pt>
                <c:pt idx="2">
                  <c:v>2196</c:v>
                </c:pt>
                <c:pt idx="3">
                  <c:v>2321</c:v>
                </c:pt>
                <c:pt idx="4">
                  <c:v>2299</c:v>
                </c:pt>
                <c:pt idx="5">
                  <c:v>1764</c:v>
                </c:pt>
                <c:pt idx="6">
                  <c:v>1617</c:v>
                </c:pt>
                <c:pt idx="7">
                  <c:v>1781</c:v>
                </c:pt>
                <c:pt idx="8">
                  <c:v>1692.54</c:v>
                </c:pt>
                <c:pt idx="9">
                  <c:v>1645</c:v>
                </c:pt>
              </c:numCache>
            </c:numRef>
          </c:val>
          <c:extLst>
            <c:ext xmlns:c16="http://schemas.microsoft.com/office/drawing/2014/chart" uri="{C3380CC4-5D6E-409C-BE32-E72D297353CC}">
              <c16:uniqueId val="{00000000-65D7-42F8-BF54-4ABC6834FEA0}"/>
            </c:ext>
          </c:extLst>
        </c:ser>
        <c:ser>
          <c:idx val="3"/>
          <c:order val="1"/>
          <c:tx>
            <c:strRef>
              <c:f>'ECV 2023'!$P$5</c:f>
              <c:strCache>
                <c:ptCount val="1"/>
                <c:pt idx="0">
                  <c:v>Cuantitativo</c:v>
                </c:pt>
              </c:strCache>
            </c:strRef>
          </c:tx>
          <c:spPr>
            <a:solidFill>
              <a:srgbClr val="7B9AF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'ECV 2023'!$M$6:$N$15</c:f>
              <c:multiLvlStrCache>
                <c:ptCount val="10"/>
                <c:lvl>
                  <c:pt idx="0">
                    <c:v>2019</c:v>
                  </c:pt>
                  <c:pt idx="1">
                    <c:v>2020</c:v>
                  </c:pt>
                  <c:pt idx="2">
                    <c:v>2021</c:v>
                  </c:pt>
                  <c:pt idx="3">
                    <c:v>2022</c:v>
                  </c:pt>
                  <c:pt idx="4">
                    <c:v>2023</c:v>
                  </c:pt>
                  <c:pt idx="5">
                    <c:v>2019</c:v>
                  </c:pt>
                  <c:pt idx="6">
                    <c:v>2020</c:v>
                  </c:pt>
                  <c:pt idx="7">
                    <c:v>2021</c:v>
                  </c:pt>
                  <c:pt idx="8">
                    <c:v>2022</c:v>
                  </c:pt>
                  <c:pt idx="9">
                    <c:v>2023</c:v>
                  </c:pt>
                </c:lvl>
                <c:lvl>
                  <c:pt idx="0">
                    <c:v>Urbano</c:v>
                  </c:pt>
                  <c:pt idx="5">
                    <c:v>Rural</c:v>
                  </c:pt>
                </c:lvl>
              </c:multiLvlStrCache>
            </c:multiLvlStrRef>
          </c:cat>
          <c:val>
            <c:numRef>
              <c:f>'ECV 2023'!$P$6:$P$15</c:f>
              <c:numCache>
                <c:formatCode>#,##0</c:formatCode>
                <c:ptCount val="10"/>
                <c:pt idx="0">
                  <c:v>497</c:v>
                </c:pt>
                <c:pt idx="1">
                  <c:v>527</c:v>
                </c:pt>
                <c:pt idx="2">
                  <c:v>485</c:v>
                </c:pt>
                <c:pt idx="3">
                  <c:v>457</c:v>
                </c:pt>
                <c:pt idx="4">
                  <c:v>431</c:v>
                </c:pt>
                <c:pt idx="5">
                  <c:v>802</c:v>
                </c:pt>
                <c:pt idx="6">
                  <c:v>776</c:v>
                </c:pt>
                <c:pt idx="7">
                  <c:v>777</c:v>
                </c:pt>
                <c:pt idx="8">
                  <c:v>810.83</c:v>
                </c:pt>
                <c:pt idx="9">
                  <c:v>778</c:v>
                </c:pt>
              </c:numCache>
            </c:numRef>
          </c:val>
          <c:extLst>
            <c:ext xmlns:c16="http://schemas.microsoft.com/office/drawing/2014/chart" uri="{C3380CC4-5D6E-409C-BE32-E72D297353CC}">
              <c16:uniqueId val="{00000001-65D7-42F8-BF54-4ABC6834FEA0}"/>
            </c:ext>
          </c:extLst>
        </c:ser>
        <c:dLbls>
          <c:showLegendKey val="0"/>
          <c:showVal val="0"/>
          <c:showCatName val="0"/>
          <c:showSerName val="0"/>
          <c:showPercent val="0"/>
          <c:showBubbleSize val="0"/>
        </c:dLbls>
        <c:gapWidth val="15"/>
        <c:overlap val="100"/>
        <c:axId val="1127301088"/>
        <c:axId val="1127296096"/>
      </c:barChart>
      <c:lineChart>
        <c:grouping val="standard"/>
        <c:varyColors val="0"/>
        <c:ser>
          <c:idx val="4"/>
          <c:order val="2"/>
          <c:tx>
            <c:strRef>
              <c:f>'ECV 2023'!$Q$5</c:f>
              <c:strCache>
                <c:ptCount val="1"/>
                <c:pt idx="0">
                  <c:v>Déficit Total</c:v>
                </c:pt>
              </c:strCache>
            </c:strRef>
          </c:tx>
          <c:spPr>
            <a:ln w="28575" cap="rnd">
              <a:noFill/>
              <a:round/>
            </a:ln>
            <a:effectLst/>
          </c:spPr>
          <c:marker>
            <c:symbol val="circle"/>
            <c:size val="5"/>
            <c:spPr>
              <a:solidFill>
                <a:srgbClr val="224AF6"/>
              </a:solidFill>
              <a:ln w="57150">
                <a:solidFill>
                  <a:srgbClr val="224AF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224AF6"/>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'ECV 2023'!$M$6:$N$15</c:f>
              <c:multiLvlStrCache>
                <c:ptCount val="10"/>
                <c:lvl>
                  <c:pt idx="0">
                    <c:v>2019</c:v>
                  </c:pt>
                  <c:pt idx="1">
                    <c:v>2020</c:v>
                  </c:pt>
                  <c:pt idx="2">
                    <c:v>2021</c:v>
                  </c:pt>
                  <c:pt idx="3">
                    <c:v>2022</c:v>
                  </c:pt>
                  <c:pt idx="4">
                    <c:v>2023</c:v>
                  </c:pt>
                  <c:pt idx="5">
                    <c:v>2019</c:v>
                  </c:pt>
                  <c:pt idx="6">
                    <c:v>2020</c:v>
                  </c:pt>
                  <c:pt idx="7">
                    <c:v>2021</c:v>
                  </c:pt>
                  <c:pt idx="8">
                    <c:v>2022</c:v>
                  </c:pt>
                  <c:pt idx="9">
                    <c:v>2023</c:v>
                  </c:pt>
                </c:lvl>
                <c:lvl>
                  <c:pt idx="0">
                    <c:v>Urbano</c:v>
                  </c:pt>
                  <c:pt idx="5">
                    <c:v>Rural</c:v>
                  </c:pt>
                </c:lvl>
              </c:multiLvlStrCache>
            </c:multiLvlStrRef>
          </c:cat>
          <c:val>
            <c:numRef>
              <c:f>'ECV 2023'!$Q$6:$Q$15</c:f>
              <c:numCache>
                <c:formatCode>#,##0</c:formatCode>
                <c:ptCount val="10"/>
                <c:pt idx="0">
                  <c:v>2639</c:v>
                </c:pt>
                <c:pt idx="1">
                  <c:v>2710</c:v>
                </c:pt>
                <c:pt idx="2">
                  <c:v>2681</c:v>
                </c:pt>
                <c:pt idx="3">
                  <c:v>2778</c:v>
                </c:pt>
                <c:pt idx="4">
                  <c:v>2730</c:v>
                </c:pt>
                <c:pt idx="5">
                  <c:v>2566</c:v>
                </c:pt>
                <c:pt idx="6">
                  <c:v>2393</c:v>
                </c:pt>
                <c:pt idx="7">
                  <c:v>2558</c:v>
                </c:pt>
                <c:pt idx="8">
                  <c:v>2503.37</c:v>
                </c:pt>
                <c:pt idx="9">
                  <c:v>2423</c:v>
                </c:pt>
              </c:numCache>
            </c:numRef>
          </c:val>
          <c:smooth val="0"/>
          <c:extLst>
            <c:ext xmlns:c16="http://schemas.microsoft.com/office/drawing/2014/chart" uri="{C3380CC4-5D6E-409C-BE32-E72D297353CC}">
              <c16:uniqueId val="{00000002-65D7-42F8-BF54-4ABC6834FEA0}"/>
            </c:ext>
          </c:extLst>
        </c:ser>
        <c:dLbls>
          <c:showLegendKey val="0"/>
          <c:showVal val="0"/>
          <c:showCatName val="0"/>
          <c:showSerName val="0"/>
          <c:showPercent val="0"/>
          <c:showBubbleSize val="0"/>
        </c:dLbls>
        <c:marker val="1"/>
        <c:smooth val="0"/>
        <c:axId val="1127301088"/>
        <c:axId val="1127296096"/>
      </c:lineChart>
      <c:catAx>
        <c:axId val="112730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es-CO"/>
          </a:p>
        </c:txPr>
        <c:crossAx val="1127296096"/>
        <c:crosses val="autoZero"/>
        <c:auto val="1"/>
        <c:lblAlgn val="ctr"/>
        <c:lblOffset val="100"/>
        <c:noMultiLvlLbl val="0"/>
      </c:catAx>
      <c:valAx>
        <c:axId val="1127296096"/>
        <c:scaling>
          <c:orientation val="minMax"/>
        </c:scaling>
        <c:delete val="1"/>
        <c:axPos val="l"/>
        <c:numFmt formatCode="#,##0" sourceLinked="1"/>
        <c:majorTickMark val="none"/>
        <c:minorTickMark val="none"/>
        <c:tickLblPos val="nextTo"/>
        <c:crossAx val="1127301088"/>
        <c:crosses val="autoZero"/>
        <c:crossBetween val="between"/>
      </c:valAx>
      <c:spPr>
        <a:noFill/>
        <a:ln>
          <a:noFill/>
        </a:ln>
        <a:effectLst/>
      </c:spPr>
    </c:plotArea>
    <c:legend>
      <c:legendPos val="b"/>
      <c:layout>
        <c:manualLayout>
          <c:xMode val="edge"/>
          <c:yMode val="edge"/>
          <c:x val="7.7135695002045784E-2"/>
          <c:y val="1.743878169075019E-2"/>
          <c:w val="0.87620446355029324"/>
          <c:h val="8.37171916010498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179251976404813"/>
          <c:y val="5.0925925925925923E-2"/>
          <c:w val="0.48888393767154781"/>
          <c:h val="0.73577136191309422"/>
        </c:manualLayout>
      </c:layout>
      <c:barChart>
        <c:barDir val="bar"/>
        <c:grouping val="stacked"/>
        <c:varyColors val="0"/>
        <c:ser>
          <c:idx val="0"/>
          <c:order val="0"/>
          <c:tx>
            <c:strRef>
              <c:f>'ECV 2023'!$AF$16</c:f>
              <c:strCache>
                <c:ptCount val="1"/>
                <c:pt idx="0">
                  <c:v>Urbano</c:v>
                </c:pt>
              </c:strCache>
            </c:strRef>
          </c:tx>
          <c:spPr>
            <a:solidFill>
              <a:srgbClr val="0D54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'ECV 2023'!$AC$17:$AC$23</c:f>
              <c:strCache>
                <c:ptCount val="7"/>
                <c:pt idx="0">
                  <c:v>Hacinamiento mitigable</c:v>
                </c:pt>
                <c:pt idx="1">
                  <c:v>Materiales de los pisos</c:v>
                </c:pt>
                <c:pt idx="2">
                  <c:v>Cocina </c:v>
                </c:pt>
                <c:pt idx="3">
                  <c:v>Agua para cocinar</c:v>
                </c:pt>
                <c:pt idx="4">
                  <c:v>Alcantarillado</c:v>
                </c:pt>
                <c:pt idx="5">
                  <c:v>Energía</c:v>
                </c:pt>
                <c:pt idx="6">
                  <c:v>Recolección de basuras</c:v>
                </c:pt>
              </c:strCache>
            </c:strRef>
          </c:cat>
          <c:val>
            <c:numRef>
              <c:f>'ECV 2023'!$AF$17:$AF$23</c:f>
              <c:numCache>
                <c:formatCode>#,##0</c:formatCode>
                <c:ptCount val="7"/>
                <c:pt idx="0">
                  <c:v>1433</c:v>
                </c:pt>
                <c:pt idx="1">
                  <c:v>199</c:v>
                </c:pt>
                <c:pt idx="2">
                  <c:v>554</c:v>
                </c:pt>
                <c:pt idx="3">
                  <c:v>282</c:v>
                </c:pt>
                <c:pt idx="4">
                  <c:v>973</c:v>
                </c:pt>
                <c:pt idx="5">
                  <c:v>23</c:v>
                </c:pt>
                <c:pt idx="6">
                  <c:v>228</c:v>
                </c:pt>
              </c:numCache>
            </c:numRef>
          </c:val>
          <c:extLst>
            <c:ext xmlns:c16="http://schemas.microsoft.com/office/drawing/2014/chart" uri="{C3380CC4-5D6E-409C-BE32-E72D297353CC}">
              <c16:uniqueId val="{00000000-94E6-4A6E-A525-E9BC442B9D2C}"/>
            </c:ext>
          </c:extLst>
        </c:ser>
        <c:ser>
          <c:idx val="1"/>
          <c:order val="1"/>
          <c:tx>
            <c:strRef>
              <c:f>'ECV 2023'!$AG$16</c:f>
              <c:strCache>
                <c:ptCount val="1"/>
                <c:pt idx="0">
                  <c:v>Rural</c:v>
                </c:pt>
              </c:strCache>
            </c:strRef>
          </c:tx>
          <c:spPr>
            <a:solidFill>
              <a:srgbClr val="7B9AF1"/>
            </a:solidFill>
            <a:ln>
              <a:noFill/>
            </a:ln>
            <a:effectLst/>
          </c:spPr>
          <c:invertIfNegative val="0"/>
          <c:dLbls>
            <c:dLbl>
              <c:idx val="0"/>
              <c:layout>
                <c:manualLayout>
                  <c:x val="-2.1026450561831486E-2"/>
                  <c:y val="-8.55888027429915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E6-4A6E-A525-E9BC442B9D2C}"/>
                </c:ext>
              </c:extLst>
            </c:dLbl>
            <c:dLbl>
              <c:idx val="1"/>
              <c:layout>
                <c:manualLayout>
                  <c:x val="7.2220352347588095E-3"/>
                  <c:y val="-8.55888027429915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E6-4A6E-A525-E9BC442B9D2C}"/>
                </c:ext>
              </c:extLst>
            </c:dLbl>
            <c:dLbl>
              <c:idx val="2"/>
              <c:layout>
                <c:manualLayout>
                  <c:x val="3.5105184398608815E-3"/>
                  <c:y val="-9.29810244307696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E6-4A6E-A525-E9BC442B9D2C}"/>
                </c:ext>
              </c:extLst>
            </c:dLbl>
            <c:dLbl>
              <c:idx val="3"/>
              <c:layout>
                <c:manualLayout>
                  <c:x val="7.8830543533051745E-2"/>
                  <c:y val="-8.55888027429915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E6-4A6E-A525-E9BC442B9D2C}"/>
                </c:ext>
              </c:extLst>
            </c:dLbl>
            <c:dLbl>
              <c:idx val="4"/>
              <c:layout>
                <c:manualLayout>
                  <c:x val="3.1413893853274363E-3"/>
                  <c:y val="-4.279440137149577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E6-4A6E-A525-E9BC442B9D2C}"/>
                </c:ext>
              </c:extLst>
            </c:dLbl>
            <c:dLbl>
              <c:idx val="5"/>
              <c:layout>
                <c:manualLayout>
                  <c:x val="4.3478260869565216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E6-4A6E-A525-E9BC442B9D2C}"/>
                </c:ext>
              </c:extLst>
            </c:dLbl>
            <c:dLbl>
              <c:idx val="6"/>
              <c:layout>
                <c:manualLayout>
                  <c:x val="-8.6312359660642192E-3"/>
                  <c:y val="-4.62956836277818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4E6-4A6E-A525-E9BC442B9D2C}"/>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'ECV 2023'!$AC$17:$AC$23</c:f>
              <c:strCache>
                <c:ptCount val="7"/>
                <c:pt idx="0">
                  <c:v>Hacinamiento mitigable</c:v>
                </c:pt>
                <c:pt idx="1">
                  <c:v>Materiales de los pisos</c:v>
                </c:pt>
                <c:pt idx="2">
                  <c:v>Cocina </c:v>
                </c:pt>
                <c:pt idx="3">
                  <c:v>Agua para cocinar</c:v>
                </c:pt>
                <c:pt idx="4">
                  <c:v>Alcantarillado</c:v>
                </c:pt>
                <c:pt idx="5">
                  <c:v>Energía</c:v>
                </c:pt>
                <c:pt idx="6">
                  <c:v>Recolección de basuras</c:v>
                </c:pt>
              </c:strCache>
            </c:strRef>
          </c:cat>
          <c:val>
            <c:numRef>
              <c:f>'ECV 2023'!$AG$17:$AG$23</c:f>
              <c:numCache>
                <c:formatCode>#,##0</c:formatCode>
                <c:ptCount val="7"/>
                <c:pt idx="0">
                  <c:v>740</c:v>
                </c:pt>
                <c:pt idx="1">
                  <c:v>638</c:v>
                </c:pt>
                <c:pt idx="2">
                  <c:v>228</c:v>
                </c:pt>
                <c:pt idx="3">
                  <c:v>1261</c:v>
                </c:pt>
                <c:pt idx="4">
                  <c:v>745</c:v>
                </c:pt>
                <c:pt idx="5">
                  <c:v>99</c:v>
                </c:pt>
                <c:pt idx="6">
                  <c:v>425</c:v>
                </c:pt>
              </c:numCache>
            </c:numRef>
          </c:val>
          <c:extLst>
            <c:ext xmlns:c16="http://schemas.microsoft.com/office/drawing/2014/chart" uri="{C3380CC4-5D6E-409C-BE32-E72D297353CC}">
              <c16:uniqueId val="{00000008-94E6-4A6E-A525-E9BC442B9D2C}"/>
            </c:ext>
          </c:extLst>
        </c:ser>
        <c:dLbls>
          <c:showLegendKey val="0"/>
          <c:showVal val="0"/>
          <c:showCatName val="0"/>
          <c:showSerName val="0"/>
          <c:showPercent val="0"/>
          <c:showBubbleSize val="0"/>
        </c:dLbls>
        <c:gapWidth val="20"/>
        <c:overlap val="100"/>
        <c:axId val="1289493071"/>
        <c:axId val="1289473935"/>
      </c:barChart>
      <c:catAx>
        <c:axId val="1289493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9473935"/>
        <c:crosses val="autoZero"/>
        <c:auto val="1"/>
        <c:lblAlgn val="ctr"/>
        <c:lblOffset val="100"/>
        <c:noMultiLvlLbl val="0"/>
      </c:catAx>
      <c:valAx>
        <c:axId val="1289473935"/>
        <c:scaling>
          <c:orientation val="minMax"/>
          <c:max val="2000"/>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9493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179251976404813"/>
          <c:y val="5.0925925925925923E-2"/>
          <c:w val="0.48888393767154781"/>
          <c:h val="0.73577136191309422"/>
        </c:manualLayout>
      </c:layout>
      <c:barChart>
        <c:barDir val="bar"/>
        <c:grouping val="stacked"/>
        <c:varyColors val="0"/>
        <c:ser>
          <c:idx val="0"/>
          <c:order val="0"/>
          <c:tx>
            <c:strRef>
              <c:f>'ECV 2023'!$AF$16</c:f>
              <c:strCache>
                <c:ptCount val="1"/>
                <c:pt idx="0">
                  <c:v>Urbano</c:v>
                </c:pt>
              </c:strCache>
            </c:strRef>
          </c:tx>
          <c:spPr>
            <a:solidFill>
              <a:srgbClr val="0D54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'ECV 2023'!$AC$17:$AC$23</c:f>
              <c:strCache>
                <c:ptCount val="7"/>
                <c:pt idx="0">
                  <c:v>Hacinamiento mitigable</c:v>
                </c:pt>
                <c:pt idx="1">
                  <c:v>Materiales de los pisos</c:v>
                </c:pt>
                <c:pt idx="2">
                  <c:v>Cocina </c:v>
                </c:pt>
                <c:pt idx="3">
                  <c:v>Agua para cocinar</c:v>
                </c:pt>
                <c:pt idx="4">
                  <c:v>Alcantarillado</c:v>
                </c:pt>
                <c:pt idx="5">
                  <c:v>Energía</c:v>
                </c:pt>
                <c:pt idx="6">
                  <c:v>Recolección de basuras</c:v>
                </c:pt>
              </c:strCache>
            </c:strRef>
          </c:cat>
          <c:val>
            <c:numRef>
              <c:f>'ECV 2023'!$AF$17:$AF$23</c:f>
              <c:numCache>
                <c:formatCode>#,##0</c:formatCode>
                <c:ptCount val="7"/>
                <c:pt idx="0">
                  <c:v>1433</c:v>
                </c:pt>
                <c:pt idx="1">
                  <c:v>199</c:v>
                </c:pt>
                <c:pt idx="2">
                  <c:v>554</c:v>
                </c:pt>
                <c:pt idx="3">
                  <c:v>282</c:v>
                </c:pt>
                <c:pt idx="4">
                  <c:v>973</c:v>
                </c:pt>
                <c:pt idx="5">
                  <c:v>23</c:v>
                </c:pt>
                <c:pt idx="6">
                  <c:v>228</c:v>
                </c:pt>
              </c:numCache>
            </c:numRef>
          </c:val>
          <c:extLst>
            <c:ext xmlns:c16="http://schemas.microsoft.com/office/drawing/2014/chart" uri="{C3380CC4-5D6E-409C-BE32-E72D297353CC}">
              <c16:uniqueId val="{00000000-94E6-4A6E-A525-E9BC442B9D2C}"/>
            </c:ext>
          </c:extLst>
        </c:ser>
        <c:ser>
          <c:idx val="1"/>
          <c:order val="1"/>
          <c:tx>
            <c:strRef>
              <c:f>'ECV 2023'!$AG$16</c:f>
              <c:strCache>
                <c:ptCount val="1"/>
                <c:pt idx="0">
                  <c:v>Rural</c:v>
                </c:pt>
              </c:strCache>
            </c:strRef>
          </c:tx>
          <c:spPr>
            <a:solidFill>
              <a:srgbClr val="7B9AF1"/>
            </a:solidFill>
            <a:ln>
              <a:noFill/>
            </a:ln>
            <a:effectLst/>
          </c:spPr>
          <c:invertIfNegative val="0"/>
          <c:dLbls>
            <c:dLbl>
              <c:idx val="0"/>
              <c:layout>
                <c:manualLayout>
                  <c:x val="-2.1026450561831486E-2"/>
                  <c:y val="-8.55888027429915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E6-4A6E-A525-E9BC442B9D2C}"/>
                </c:ext>
              </c:extLst>
            </c:dLbl>
            <c:dLbl>
              <c:idx val="1"/>
              <c:layout>
                <c:manualLayout>
                  <c:x val="7.2220352347588095E-3"/>
                  <c:y val="-8.55888027429915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E6-4A6E-A525-E9BC442B9D2C}"/>
                </c:ext>
              </c:extLst>
            </c:dLbl>
            <c:dLbl>
              <c:idx val="2"/>
              <c:layout>
                <c:manualLayout>
                  <c:x val="3.5105184398608815E-3"/>
                  <c:y val="-9.29810244307696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E6-4A6E-A525-E9BC442B9D2C}"/>
                </c:ext>
              </c:extLst>
            </c:dLbl>
            <c:dLbl>
              <c:idx val="3"/>
              <c:layout>
                <c:manualLayout>
                  <c:x val="7.8830543533051745E-2"/>
                  <c:y val="-8.55888027429915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E6-4A6E-A525-E9BC442B9D2C}"/>
                </c:ext>
              </c:extLst>
            </c:dLbl>
            <c:dLbl>
              <c:idx val="4"/>
              <c:layout>
                <c:manualLayout>
                  <c:x val="3.1413893853274363E-3"/>
                  <c:y val="-4.279440137149577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E6-4A6E-A525-E9BC442B9D2C}"/>
                </c:ext>
              </c:extLst>
            </c:dLbl>
            <c:dLbl>
              <c:idx val="5"/>
              <c:layout>
                <c:manualLayout>
                  <c:x val="4.3478260869565216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E6-4A6E-A525-E9BC442B9D2C}"/>
                </c:ext>
              </c:extLst>
            </c:dLbl>
            <c:dLbl>
              <c:idx val="6"/>
              <c:layout>
                <c:manualLayout>
                  <c:x val="-8.6312359660642192E-3"/>
                  <c:y val="-4.62956836277818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4E6-4A6E-A525-E9BC442B9D2C}"/>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'ECV 2023'!$AC$17:$AC$23</c:f>
              <c:strCache>
                <c:ptCount val="7"/>
                <c:pt idx="0">
                  <c:v>Hacinamiento mitigable</c:v>
                </c:pt>
                <c:pt idx="1">
                  <c:v>Materiales de los pisos</c:v>
                </c:pt>
                <c:pt idx="2">
                  <c:v>Cocina </c:v>
                </c:pt>
                <c:pt idx="3">
                  <c:v>Agua para cocinar</c:v>
                </c:pt>
                <c:pt idx="4">
                  <c:v>Alcantarillado</c:v>
                </c:pt>
                <c:pt idx="5">
                  <c:v>Energía</c:v>
                </c:pt>
                <c:pt idx="6">
                  <c:v>Recolección de basuras</c:v>
                </c:pt>
              </c:strCache>
            </c:strRef>
          </c:cat>
          <c:val>
            <c:numRef>
              <c:f>'ECV 2023'!$AG$17:$AG$23</c:f>
              <c:numCache>
                <c:formatCode>#,##0</c:formatCode>
                <c:ptCount val="7"/>
                <c:pt idx="0">
                  <c:v>740</c:v>
                </c:pt>
                <c:pt idx="1">
                  <c:v>638</c:v>
                </c:pt>
                <c:pt idx="2">
                  <c:v>228</c:v>
                </c:pt>
                <c:pt idx="3">
                  <c:v>1261</c:v>
                </c:pt>
                <c:pt idx="4">
                  <c:v>745</c:v>
                </c:pt>
                <c:pt idx="5">
                  <c:v>99</c:v>
                </c:pt>
                <c:pt idx="6">
                  <c:v>425</c:v>
                </c:pt>
              </c:numCache>
            </c:numRef>
          </c:val>
          <c:extLst>
            <c:ext xmlns:c16="http://schemas.microsoft.com/office/drawing/2014/chart" uri="{C3380CC4-5D6E-409C-BE32-E72D297353CC}">
              <c16:uniqueId val="{00000008-94E6-4A6E-A525-E9BC442B9D2C}"/>
            </c:ext>
          </c:extLst>
        </c:ser>
        <c:dLbls>
          <c:showLegendKey val="0"/>
          <c:showVal val="0"/>
          <c:showCatName val="0"/>
          <c:showSerName val="0"/>
          <c:showPercent val="0"/>
          <c:showBubbleSize val="0"/>
        </c:dLbls>
        <c:gapWidth val="20"/>
        <c:overlap val="100"/>
        <c:axId val="1289493071"/>
        <c:axId val="1289473935"/>
      </c:barChart>
      <c:catAx>
        <c:axId val="1289493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9473935"/>
        <c:crosses val="autoZero"/>
        <c:auto val="1"/>
        <c:lblAlgn val="ctr"/>
        <c:lblOffset val="100"/>
        <c:noMultiLvlLbl val="0"/>
      </c:catAx>
      <c:valAx>
        <c:axId val="1289473935"/>
        <c:scaling>
          <c:orientation val="minMax"/>
          <c:max val="2000"/>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9493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315262075202314"/>
          <c:y val="5.0925925925925923E-2"/>
          <c:w val="0.49856896306135901"/>
          <c:h val="0.73577136191309422"/>
        </c:manualLayout>
      </c:layout>
      <c:barChart>
        <c:barDir val="bar"/>
        <c:grouping val="stacked"/>
        <c:varyColors val="0"/>
        <c:ser>
          <c:idx val="0"/>
          <c:order val="0"/>
          <c:tx>
            <c:strRef>
              <c:f>'ECV 2023'!$AD$27</c:f>
              <c:strCache>
                <c:ptCount val="1"/>
                <c:pt idx="0">
                  <c:v>Urbano</c:v>
                </c:pt>
              </c:strCache>
            </c:strRef>
          </c:tx>
          <c:spPr>
            <a:solidFill>
              <a:srgbClr val="0D54BD"/>
            </a:solidFill>
            <a:ln>
              <a:noFill/>
            </a:ln>
            <a:effectLst/>
          </c:spPr>
          <c:invertIfNegative val="0"/>
          <c:dLbls>
            <c:dLbl>
              <c:idx val="0"/>
              <c:layout>
                <c:manualLayout>
                  <c:x val="1.9900497512437811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20-4171-B63B-83A9FF2F318F}"/>
                </c:ext>
              </c:extLst>
            </c:dLbl>
            <c:dLbl>
              <c:idx val="1"/>
              <c:layout>
                <c:manualLayout>
                  <c:x val="3.98009950248756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20-4171-B63B-83A9FF2F318F}"/>
                </c:ext>
              </c:extLst>
            </c:dLbl>
            <c:dLbl>
              <c:idx val="2"/>
              <c:layout>
                <c:manualLayout>
                  <c:x val="2.786069651741293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20-4171-B63B-83A9FF2F318F}"/>
                </c:ext>
              </c:extLst>
            </c:dLbl>
            <c:dLbl>
              <c:idx val="3"/>
              <c:layout>
                <c:manualLayout>
                  <c:x val="4.3781094527363111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20-4171-B63B-83A9FF2F318F}"/>
                </c:ext>
              </c:extLst>
            </c:dLbl>
            <c:dLbl>
              <c:idx val="4"/>
              <c:layout>
                <c:manualLayout>
                  <c:x val="2.3880597014925373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20-4171-B63B-83A9FF2F318F}"/>
                </c:ext>
              </c:extLst>
            </c:dLbl>
            <c:dLbl>
              <c:idx val="5"/>
              <c:layout>
                <c:manualLayout>
                  <c:x val="3.18407960199004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20-4171-B63B-83A9FF2F318F}"/>
                </c:ext>
              </c:extLst>
            </c:dLbl>
            <c:dLbl>
              <c:idx val="6"/>
              <c:layout>
                <c:manualLayout>
                  <c:x val="3.582089552238806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20-4171-B63B-83A9FF2F318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'ECV 2023'!$AC$28:$AC$34</c:f>
              <c:strCache>
                <c:ptCount val="7"/>
                <c:pt idx="0">
                  <c:v>Hacinamiento mitigable</c:v>
                </c:pt>
                <c:pt idx="1">
                  <c:v>Materiales de los pisos </c:v>
                </c:pt>
                <c:pt idx="2">
                  <c:v>Cocina </c:v>
                </c:pt>
                <c:pt idx="3">
                  <c:v>Agua para cocinar </c:v>
                </c:pt>
                <c:pt idx="4">
                  <c:v>Alcantarillado </c:v>
                </c:pt>
                <c:pt idx="5">
                  <c:v>Energía </c:v>
                </c:pt>
                <c:pt idx="6">
                  <c:v>Recolección de basuras </c:v>
                </c:pt>
              </c:strCache>
            </c:strRef>
          </c:cat>
          <c:val>
            <c:numRef>
              <c:f>'ECV 2023'!$AD$28:$AD$34</c:f>
              <c:numCache>
                <c:formatCode>0.0%</c:formatCode>
                <c:ptCount val="7"/>
                <c:pt idx="0">
                  <c:v>0.10274611027461103</c:v>
                </c:pt>
                <c:pt idx="1">
                  <c:v>1.4268301426830143E-2</c:v>
                </c:pt>
                <c:pt idx="2">
                  <c:v>3.9721803972180399E-2</c:v>
                </c:pt>
                <c:pt idx="3">
                  <c:v>2.0219402021940201E-2</c:v>
                </c:pt>
                <c:pt idx="4">
                  <c:v>6.9764106976410695E-2</c:v>
                </c:pt>
                <c:pt idx="5">
                  <c:v>1.6491001649100165E-3</c:v>
                </c:pt>
                <c:pt idx="6">
                  <c:v>1.6347601634760164E-2</c:v>
                </c:pt>
              </c:numCache>
            </c:numRef>
          </c:val>
          <c:extLst>
            <c:ext xmlns:c16="http://schemas.microsoft.com/office/drawing/2014/chart" uri="{C3380CC4-5D6E-409C-BE32-E72D297353CC}">
              <c16:uniqueId val="{00000007-7F20-4171-B63B-83A9FF2F318F}"/>
            </c:ext>
          </c:extLst>
        </c:ser>
        <c:ser>
          <c:idx val="1"/>
          <c:order val="1"/>
          <c:tx>
            <c:strRef>
              <c:f>'ECV 2023'!$AE$27</c:f>
              <c:strCache>
                <c:ptCount val="1"/>
                <c:pt idx="0">
                  <c:v>Rural</c:v>
                </c:pt>
              </c:strCache>
            </c:strRef>
          </c:tx>
          <c:spPr>
            <a:solidFill>
              <a:srgbClr val="7B9AF1"/>
            </a:solidFill>
            <a:ln>
              <a:noFill/>
            </a:ln>
            <a:effectLst/>
          </c:spPr>
          <c:invertIfNegative val="0"/>
          <c:dLbls>
            <c:dLbl>
              <c:idx val="0"/>
              <c:layout>
                <c:manualLayout>
                  <c:x val="0.13134328358208955"/>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20-4171-B63B-83A9FF2F318F}"/>
                </c:ext>
              </c:extLst>
            </c:dLbl>
            <c:dLbl>
              <c:idx val="1"/>
              <c:layout>
                <c:manualLayout>
                  <c:x val="0.1233830845771144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20-4171-B63B-83A9FF2F318F}"/>
                </c:ext>
              </c:extLst>
            </c:dLbl>
            <c:dLbl>
              <c:idx val="2"/>
              <c:layout>
                <c:manualLayout>
                  <c:x val="6.76616915422884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20-4171-B63B-83A9FF2F318F}"/>
                </c:ext>
              </c:extLst>
            </c:dLbl>
            <c:dLbl>
              <c:idx val="3"/>
              <c:layout>
                <c:manualLayout>
                  <c:x val="0.1990049751243781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20-4171-B63B-83A9FF2F318F}"/>
                </c:ext>
              </c:extLst>
            </c:dLbl>
            <c:dLbl>
              <c:idx val="4"/>
              <c:layout>
                <c:manualLayout>
                  <c:x val="0.13930348258706454"/>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20-4171-B63B-83A9FF2F318F}"/>
                </c:ext>
              </c:extLst>
            </c:dLbl>
            <c:dLbl>
              <c:idx val="5"/>
              <c:layout>
                <c:manualLayout>
                  <c:x val="0.11144278606965174"/>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F20-4171-B63B-83A9FF2F318F}"/>
                </c:ext>
              </c:extLst>
            </c:dLbl>
            <c:dLbl>
              <c:idx val="6"/>
              <c:layout>
                <c:manualLayout>
                  <c:x val="0.1154228855721392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F20-4171-B63B-83A9FF2F318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'ECV 2023'!$AC$28:$AC$34</c:f>
              <c:strCache>
                <c:ptCount val="7"/>
                <c:pt idx="0">
                  <c:v>Hacinamiento mitigable</c:v>
                </c:pt>
                <c:pt idx="1">
                  <c:v>Materiales de los pisos </c:v>
                </c:pt>
                <c:pt idx="2">
                  <c:v>Cocina </c:v>
                </c:pt>
                <c:pt idx="3">
                  <c:v>Agua para cocinar </c:v>
                </c:pt>
                <c:pt idx="4">
                  <c:v>Alcantarillado </c:v>
                </c:pt>
                <c:pt idx="5">
                  <c:v>Energía </c:v>
                </c:pt>
                <c:pt idx="6">
                  <c:v>Recolección de basuras </c:v>
                </c:pt>
              </c:strCache>
            </c:strRef>
          </c:cat>
          <c:val>
            <c:numRef>
              <c:f>'ECV 2023'!$AE$28:$AE$34</c:f>
              <c:numCache>
                <c:formatCode>0.0%</c:formatCode>
                <c:ptCount val="7"/>
                <c:pt idx="0">
                  <c:v>0.18954918032786885</c:v>
                </c:pt>
                <c:pt idx="1">
                  <c:v>0.16342213114754098</c:v>
                </c:pt>
                <c:pt idx="2">
                  <c:v>5.8401639344262297E-2</c:v>
                </c:pt>
                <c:pt idx="3">
                  <c:v>0.32300204918032788</c:v>
                </c:pt>
                <c:pt idx="4">
                  <c:v>0.19082991803278687</c:v>
                </c:pt>
                <c:pt idx="5">
                  <c:v>2.535860655737705E-2</c:v>
                </c:pt>
                <c:pt idx="6">
                  <c:v>0.10886270491803279</c:v>
                </c:pt>
              </c:numCache>
            </c:numRef>
          </c:val>
          <c:extLst>
            <c:ext xmlns:c16="http://schemas.microsoft.com/office/drawing/2014/chart" uri="{C3380CC4-5D6E-409C-BE32-E72D297353CC}">
              <c16:uniqueId val="{0000000F-7F20-4171-B63B-83A9FF2F318F}"/>
            </c:ext>
          </c:extLst>
        </c:ser>
        <c:dLbls>
          <c:showLegendKey val="0"/>
          <c:showVal val="0"/>
          <c:showCatName val="0"/>
          <c:showSerName val="0"/>
          <c:showPercent val="0"/>
          <c:showBubbleSize val="0"/>
        </c:dLbls>
        <c:gapWidth val="20"/>
        <c:overlap val="100"/>
        <c:axId val="1289474351"/>
        <c:axId val="1289491823"/>
      </c:barChart>
      <c:catAx>
        <c:axId val="12894743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9491823"/>
        <c:crosses val="autoZero"/>
        <c:auto val="1"/>
        <c:lblAlgn val="ctr"/>
        <c:lblOffset val="100"/>
        <c:noMultiLvlLbl val="0"/>
      </c:catAx>
      <c:valAx>
        <c:axId val="1289491823"/>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9474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315262075202314"/>
          <c:y val="5.0925925925925923E-2"/>
          <c:w val="0.49856896306135901"/>
          <c:h val="0.73577136191309422"/>
        </c:manualLayout>
      </c:layout>
      <c:barChart>
        <c:barDir val="bar"/>
        <c:grouping val="stacked"/>
        <c:varyColors val="0"/>
        <c:ser>
          <c:idx val="0"/>
          <c:order val="0"/>
          <c:tx>
            <c:strRef>
              <c:f>'ECV 2023'!$AD$27</c:f>
              <c:strCache>
                <c:ptCount val="1"/>
                <c:pt idx="0">
                  <c:v>Urbano</c:v>
                </c:pt>
              </c:strCache>
            </c:strRef>
          </c:tx>
          <c:spPr>
            <a:solidFill>
              <a:srgbClr val="0D54BD"/>
            </a:solidFill>
            <a:ln>
              <a:noFill/>
            </a:ln>
            <a:effectLst/>
          </c:spPr>
          <c:invertIfNegative val="0"/>
          <c:dLbls>
            <c:dLbl>
              <c:idx val="0"/>
              <c:layout>
                <c:manualLayout>
                  <c:x val="1.9900497512437811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20-4171-B63B-83A9FF2F318F}"/>
                </c:ext>
              </c:extLst>
            </c:dLbl>
            <c:dLbl>
              <c:idx val="1"/>
              <c:layout>
                <c:manualLayout>
                  <c:x val="3.98009950248756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20-4171-B63B-83A9FF2F318F}"/>
                </c:ext>
              </c:extLst>
            </c:dLbl>
            <c:dLbl>
              <c:idx val="2"/>
              <c:layout>
                <c:manualLayout>
                  <c:x val="2.786069651741293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20-4171-B63B-83A9FF2F318F}"/>
                </c:ext>
              </c:extLst>
            </c:dLbl>
            <c:dLbl>
              <c:idx val="3"/>
              <c:layout>
                <c:manualLayout>
                  <c:x val="4.3781094527363111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20-4171-B63B-83A9FF2F318F}"/>
                </c:ext>
              </c:extLst>
            </c:dLbl>
            <c:dLbl>
              <c:idx val="4"/>
              <c:layout>
                <c:manualLayout>
                  <c:x val="2.3880597014925373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20-4171-B63B-83A9FF2F318F}"/>
                </c:ext>
              </c:extLst>
            </c:dLbl>
            <c:dLbl>
              <c:idx val="5"/>
              <c:layout>
                <c:manualLayout>
                  <c:x val="3.18407960199004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20-4171-B63B-83A9FF2F318F}"/>
                </c:ext>
              </c:extLst>
            </c:dLbl>
            <c:dLbl>
              <c:idx val="6"/>
              <c:layout>
                <c:manualLayout>
                  <c:x val="3.582089552238806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20-4171-B63B-83A9FF2F318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'ECV 2023'!$AC$28:$AC$34</c:f>
              <c:strCache>
                <c:ptCount val="7"/>
                <c:pt idx="0">
                  <c:v>Hacinamiento mitigable</c:v>
                </c:pt>
                <c:pt idx="1">
                  <c:v>Materiales de los pisos </c:v>
                </c:pt>
                <c:pt idx="2">
                  <c:v>Cocina </c:v>
                </c:pt>
                <c:pt idx="3">
                  <c:v>Agua para cocinar </c:v>
                </c:pt>
                <c:pt idx="4">
                  <c:v>Alcantarillado </c:v>
                </c:pt>
                <c:pt idx="5">
                  <c:v>Energía </c:v>
                </c:pt>
                <c:pt idx="6">
                  <c:v>Recolección de basuras </c:v>
                </c:pt>
              </c:strCache>
            </c:strRef>
          </c:cat>
          <c:val>
            <c:numRef>
              <c:f>'ECV 2023'!$AD$28:$AD$34</c:f>
              <c:numCache>
                <c:formatCode>0.0%</c:formatCode>
                <c:ptCount val="7"/>
                <c:pt idx="0">
                  <c:v>0.10274611027461103</c:v>
                </c:pt>
                <c:pt idx="1">
                  <c:v>1.4268301426830143E-2</c:v>
                </c:pt>
                <c:pt idx="2">
                  <c:v>3.9721803972180399E-2</c:v>
                </c:pt>
                <c:pt idx="3">
                  <c:v>2.0219402021940201E-2</c:v>
                </c:pt>
                <c:pt idx="4">
                  <c:v>6.9764106976410695E-2</c:v>
                </c:pt>
                <c:pt idx="5">
                  <c:v>1.6491001649100165E-3</c:v>
                </c:pt>
                <c:pt idx="6">
                  <c:v>1.6347601634760164E-2</c:v>
                </c:pt>
              </c:numCache>
            </c:numRef>
          </c:val>
          <c:extLst>
            <c:ext xmlns:c16="http://schemas.microsoft.com/office/drawing/2014/chart" uri="{C3380CC4-5D6E-409C-BE32-E72D297353CC}">
              <c16:uniqueId val="{00000007-7F20-4171-B63B-83A9FF2F318F}"/>
            </c:ext>
          </c:extLst>
        </c:ser>
        <c:ser>
          <c:idx val="1"/>
          <c:order val="1"/>
          <c:tx>
            <c:strRef>
              <c:f>'ECV 2023'!$AE$27</c:f>
              <c:strCache>
                <c:ptCount val="1"/>
                <c:pt idx="0">
                  <c:v>Rural</c:v>
                </c:pt>
              </c:strCache>
            </c:strRef>
          </c:tx>
          <c:spPr>
            <a:solidFill>
              <a:srgbClr val="7B9AF1"/>
            </a:solidFill>
            <a:ln>
              <a:noFill/>
            </a:ln>
            <a:effectLst/>
          </c:spPr>
          <c:invertIfNegative val="0"/>
          <c:dLbls>
            <c:dLbl>
              <c:idx val="0"/>
              <c:layout>
                <c:manualLayout>
                  <c:x val="0.13134328358208955"/>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20-4171-B63B-83A9FF2F318F}"/>
                </c:ext>
              </c:extLst>
            </c:dLbl>
            <c:dLbl>
              <c:idx val="1"/>
              <c:layout>
                <c:manualLayout>
                  <c:x val="0.1233830845771144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20-4171-B63B-83A9FF2F318F}"/>
                </c:ext>
              </c:extLst>
            </c:dLbl>
            <c:dLbl>
              <c:idx val="2"/>
              <c:layout>
                <c:manualLayout>
                  <c:x val="6.76616915422884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20-4171-B63B-83A9FF2F318F}"/>
                </c:ext>
              </c:extLst>
            </c:dLbl>
            <c:dLbl>
              <c:idx val="3"/>
              <c:layout>
                <c:manualLayout>
                  <c:x val="0.1990049751243781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20-4171-B63B-83A9FF2F318F}"/>
                </c:ext>
              </c:extLst>
            </c:dLbl>
            <c:dLbl>
              <c:idx val="4"/>
              <c:layout>
                <c:manualLayout>
                  <c:x val="0.13930348258706454"/>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20-4171-B63B-83A9FF2F318F}"/>
                </c:ext>
              </c:extLst>
            </c:dLbl>
            <c:dLbl>
              <c:idx val="5"/>
              <c:layout>
                <c:manualLayout>
                  <c:x val="0.11144278606965174"/>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F20-4171-B63B-83A9FF2F318F}"/>
                </c:ext>
              </c:extLst>
            </c:dLbl>
            <c:dLbl>
              <c:idx val="6"/>
              <c:layout>
                <c:manualLayout>
                  <c:x val="0.1154228855721392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F20-4171-B63B-83A9FF2F318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'ECV 2023'!$AC$28:$AC$34</c:f>
              <c:strCache>
                <c:ptCount val="7"/>
                <c:pt idx="0">
                  <c:v>Hacinamiento mitigable</c:v>
                </c:pt>
                <c:pt idx="1">
                  <c:v>Materiales de los pisos </c:v>
                </c:pt>
                <c:pt idx="2">
                  <c:v>Cocina </c:v>
                </c:pt>
                <c:pt idx="3">
                  <c:v>Agua para cocinar </c:v>
                </c:pt>
                <c:pt idx="4">
                  <c:v>Alcantarillado </c:v>
                </c:pt>
                <c:pt idx="5">
                  <c:v>Energía </c:v>
                </c:pt>
                <c:pt idx="6">
                  <c:v>Recolección de basuras </c:v>
                </c:pt>
              </c:strCache>
            </c:strRef>
          </c:cat>
          <c:val>
            <c:numRef>
              <c:f>'ECV 2023'!$AE$28:$AE$34</c:f>
              <c:numCache>
                <c:formatCode>0.0%</c:formatCode>
                <c:ptCount val="7"/>
                <c:pt idx="0">
                  <c:v>0.18954918032786885</c:v>
                </c:pt>
                <c:pt idx="1">
                  <c:v>0.16342213114754098</c:v>
                </c:pt>
                <c:pt idx="2">
                  <c:v>5.8401639344262297E-2</c:v>
                </c:pt>
                <c:pt idx="3">
                  <c:v>0.32300204918032788</c:v>
                </c:pt>
                <c:pt idx="4">
                  <c:v>0.19082991803278687</c:v>
                </c:pt>
                <c:pt idx="5">
                  <c:v>2.535860655737705E-2</c:v>
                </c:pt>
                <c:pt idx="6">
                  <c:v>0.10886270491803279</c:v>
                </c:pt>
              </c:numCache>
            </c:numRef>
          </c:val>
          <c:extLst>
            <c:ext xmlns:c16="http://schemas.microsoft.com/office/drawing/2014/chart" uri="{C3380CC4-5D6E-409C-BE32-E72D297353CC}">
              <c16:uniqueId val="{0000000F-7F20-4171-B63B-83A9FF2F318F}"/>
            </c:ext>
          </c:extLst>
        </c:ser>
        <c:dLbls>
          <c:showLegendKey val="0"/>
          <c:showVal val="0"/>
          <c:showCatName val="0"/>
          <c:showSerName val="0"/>
          <c:showPercent val="0"/>
          <c:showBubbleSize val="0"/>
        </c:dLbls>
        <c:gapWidth val="20"/>
        <c:overlap val="100"/>
        <c:axId val="1289474351"/>
        <c:axId val="1289491823"/>
      </c:barChart>
      <c:catAx>
        <c:axId val="12894743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9491823"/>
        <c:crosses val="autoZero"/>
        <c:auto val="1"/>
        <c:lblAlgn val="ctr"/>
        <c:lblOffset val="100"/>
        <c:noMultiLvlLbl val="0"/>
      </c:catAx>
      <c:valAx>
        <c:axId val="1289491823"/>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9474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331695240222632E-2"/>
          <c:y val="5.0925925925925923E-2"/>
          <c:w val="0.93551557119189888"/>
          <c:h val="0.54044692330125399"/>
        </c:manualLayout>
      </c:layout>
      <c:barChart>
        <c:barDir val="col"/>
        <c:grouping val="clustered"/>
        <c:varyColors val="0"/>
        <c:ser>
          <c:idx val="0"/>
          <c:order val="0"/>
          <c:tx>
            <c:strRef>
              <c:f>'Cualitativo 2023'!$C$109</c:f>
              <c:strCache>
                <c:ptCount val="1"/>
                <c:pt idx="0">
                  <c:v>Hacinamiento mitigable</c:v>
                </c:pt>
              </c:strCache>
            </c:strRef>
          </c:tx>
          <c:spPr>
            <a:solidFill>
              <a:srgbClr val="0070C0"/>
            </a:solidFill>
            <a:ln>
              <a:noFill/>
            </a:ln>
            <a:effectLst/>
          </c:spPr>
          <c:invertIfNegative val="0"/>
          <c:cat>
            <c:strRef>
              <c:f>'Cualitativo 2023'!$A$110:$A$143</c:f>
              <c:strCache>
                <c:ptCount val="34"/>
                <c:pt idx="0">
                  <c:v>Total nacional</c:v>
                </c:pt>
                <c:pt idx="1">
                  <c:v>Amazonas</c:v>
                </c:pt>
                <c:pt idx="2">
                  <c:v>Antioquia</c:v>
                </c:pt>
                <c:pt idx="3">
                  <c:v>Arauca</c:v>
                </c:pt>
                <c:pt idx="4">
                  <c:v>Atlántico</c:v>
                </c:pt>
                <c:pt idx="5">
                  <c:v>Bogotá D.C.</c:v>
                </c:pt>
                <c:pt idx="6">
                  <c:v>Bolívar</c:v>
                </c:pt>
                <c:pt idx="7">
                  <c:v>Boyacá</c:v>
                </c:pt>
                <c:pt idx="8">
                  <c:v>Caldas</c:v>
                </c:pt>
                <c:pt idx="9">
                  <c:v>Caquetá</c:v>
                </c:pt>
                <c:pt idx="10">
                  <c:v>Casanare</c:v>
                </c:pt>
                <c:pt idx="11">
                  <c:v>Cauca</c:v>
                </c:pt>
                <c:pt idx="12">
                  <c:v>Cesar</c:v>
                </c:pt>
                <c:pt idx="13">
                  <c:v>Córdoba</c:v>
                </c:pt>
                <c:pt idx="14">
                  <c:v>Cundinamarca</c:v>
                </c:pt>
                <c:pt idx="15">
                  <c:v>Chocó</c:v>
                </c:pt>
                <c:pt idx="16">
                  <c:v>Guainía</c:v>
                </c:pt>
                <c:pt idx="17">
                  <c:v>Guaviare</c:v>
                </c:pt>
                <c:pt idx="18">
                  <c:v>Huila</c:v>
                </c:pt>
                <c:pt idx="19">
                  <c:v>La Guajira</c:v>
                </c:pt>
                <c:pt idx="20">
                  <c:v>Magdalena</c:v>
                </c:pt>
                <c:pt idx="21">
                  <c:v>Meta</c:v>
                </c:pt>
                <c:pt idx="22">
                  <c:v>Nariño</c:v>
                </c:pt>
                <c:pt idx="23">
                  <c:v>Norte de Santander</c:v>
                </c:pt>
                <c:pt idx="24">
                  <c:v>Putumayo</c:v>
                </c:pt>
                <c:pt idx="25">
                  <c:v>Quindío</c:v>
                </c:pt>
                <c:pt idx="26">
                  <c:v>Risaralda</c:v>
                </c:pt>
                <c:pt idx="27">
                  <c:v>San Andrés</c:v>
                </c:pt>
                <c:pt idx="28">
                  <c:v>Santander</c:v>
                </c:pt>
                <c:pt idx="29">
                  <c:v>Sucre</c:v>
                </c:pt>
                <c:pt idx="30">
                  <c:v>Tolima</c:v>
                </c:pt>
                <c:pt idx="31">
                  <c:v>Valle</c:v>
                </c:pt>
                <c:pt idx="32">
                  <c:v>Vaupés</c:v>
                </c:pt>
                <c:pt idx="33">
                  <c:v>Vichada</c:v>
                </c:pt>
              </c:strCache>
            </c:strRef>
          </c:cat>
          <c:val>
            <c:numRef>
              <c:f>'Cualitativo 2023'!$C$110:$C$143</c:f>
              <c:numCache>
                <c:formatCode>0.0</c:formatCode>
                <c:ptCount val="34"/>
                <c:pt idx="0">
                  <c:v>10.4592033818</c:v>
                </c:pt>
                <c:pt idx="1">
                  <c:v>5.0866502709999999</c:v>
                </c:pt>
                <c:pt idx="2">
                  <c:v>6.9153845890000003</c:v>
                </c:pt>
                <c:pt idx="3">
                  <c:v>7.7792442585000003</c:v>
                </c:pt>
                <c:pt idx="4">
                  <c:v>18.185356373000001</c:v>
                </c:pt>
                <c:pt idx="5">
                  <c:v>9.0829147138999993</c:v>
                </c:pt>
                <c:pt idx="6">
                  <c:v>16.642658107900001</c:v>
                </c:pt>
                <c:pt idx="7">
                  <c:v>8.6198602707000003</c:v>
                </c:pt>
                <c:pt idx="8">
                  <c:v>7.2773912037999997</c:v>
                </c:pt>
                <c:pt idx="9">
                  <c:v>6.3214326710000002</c:v>
                </c:pt>
                <c:pt idx="10">
                  <c:v>12.3638237037</c:v>
                </c:pt>
                <c:pt idx="11">
                  <c:v>8.3794720475000002</c:v>
                </c:pt>
                <c:pt idx="12">
                  <c:v>20.0202000504</c:v>
                </c:pt>
                <c:pt idx="13">
                  <c:v>15.908215328500001</c:v>
                </c:pt>
                <c:pt idx="14">
                  <c:v>8.4233739728000003</c:v>
                </c:pt>
                <c:pt idx="15">
                  <c:v>4.4681628029000002</c:v>
                </c:pt>
                <c:pt idx="16">
                  <c:v>9.5577104067</c:v>
                </c:pt>
                <c:pt idx="17">
                  <c:v>7.6068180108999996</c:v>
                </c:pt>
                <c:pt idx="18">
                  <c:v>9.6753809752999995</c:v>
                </c:pt>
                <c:pt idx="19">
                  <c:v>22.857428621299999</c:v>
                </c:pt>
                <c:pt idx="20">
                  <c:v>24.055087157900001</c:v>
                </c:pt>
                <c:pt idx="21">
                  <c:v>8.8241229674999992</c:v>
                </c:pt>
                <c:pt idx="22">
                  <c:v>9.5859114143999999</c:v>
                </c:pt>
                <c:pt idx="23">
                  <c:v>17.3055848419</c:v>
                </c:pt>
                <c:pt idx="24">
                  <c:v>4.1241983455</c:v>
                </c:pt>
                <c:pt idx="25">
                  <c:v>6.1346480991999996</c:v>
                </c:pt>
                <c:pt idx="26">
                  <c:v>10.1465871848</c:v>
                </c:pt>
                <c:pt idx="27">
                  <c:v>12.793052515499999</c:v>
                </c:pt>
                <c:pt idx="28">
                  <c:v>7.4270218038999998</c:v>
                </c:pt>
                <c:pt idx="29">
                  <c:v>21.061346346499999</c:v>
                </c:pt>
                <c:pt idx="30">
                  <c:v>10.2283493912</c:v>
                </c:pt>
                <c:pt idx="31">
                  <c:v>6.4981199607000004</c:v>
                </c:pt>
                <c:pt idx="32">
                  <c:v>3.2447536363</c:v>
                </c:pt>
                <c:pt idx="33">
                  <c:v>11.4695657558</c:v>
                </c:pt>
              </c:numCache>
            </c:numRef>
          </c:val>
          <c:extLst>
            <c:ext xmlns:c16="http://schemas.microsoft.com/office/drawing/2014/chart" uri="{C3380CC4-5D6E-409C-BE32-E72D297353CC}">
              <c16:uniqueId val="{00000000-B339-430F-BD9E-B0EE98F334C3}"/>
            </c:ext>
          </c:extLst>
        </c:ser>
        <c:ser>
          <c:idx val="1"/>
          <c:order val="1"/>
          <c:tx>
            <c:strRef>
              <c:f>'Cualitativo 2023'!$F$109</c:f>
              <c:strCache>
                <c:ptCount val="1"/>
                <c:pt idx="0">
                  <c:v>Agua para cocinar</c:v>
                </c:pt>
              </c:strCache>
            </c:strRef>
          </c:tx>
          <c:spPr>
            <a:solidFill>
              <a:srgbClr val="7B9AF1"/>
            </a:solidFill>
            <a:ln>
              <a:noFill/>
            </a:ln>
            <a:effectLst/>
          </c:spPr>
          <c:invertIfNegative val="0"/>
          <c:cat>
            <c:strRef>
              <c:f>'Cualitativo 2023'!$A$110:$A$143</c:f>
              <c:strCache>
                <c:ptCount val="34"/>
                <c:pt idx="0">
                  <c:v>Total nacional</c:v>
                </c:pt>
                <c:pt idx="1">
                  <c:v>Amazonas</c:v>
                </c:pt>
                <c:pt idx="2">
                  <c:v>Antioquia</c:v>
                </c:pt>
                <c:pt idx="3">
                  <c:v>Arauca</c:v>
                </c:pt>
                <c:pt idx="4">
                  <c:v>Atlántico</c:v>
                </c:pt>
                <c:pt idx="5">
                  <c:v>Bogotá D.C.</c:v>
                </c:pt>
                <c:pt idx="6">
                  <c:v>Bolívar</c:v>
                </c:pt>
                <c:pt idx="7">
                  <c:v>Boyacá</c:v>
                </c:pt>
                <c:pt idx="8">
                  <c:v>Caldas</c:v>
                </c:pt>
                <c:pt idx="9">
                  <c:v>Caquetá</c:v>
                </c:pt>
                <c:pt idx="10">
                  <c:v>Casanare</c:v>
                </c:pt>
                <c:pt idx="11">
                  <c:v>Cauca</c:v>
                </c:pt>
                <c:pt idx="12">
                  <c:v>Cesar</c:v>
                </c:pt>
                <c:pt idx="13">
                  <c:v>Córdoba</c:v>
                </c:pt>
                <c:pt idx="14">
                  <c:v>Cundinamarca</c:v>
                </c:pt>
                <c:pt idx="15">
                  <c:v>Chocó</c:v>
                </c:pt>
                <c:pt idx="16">
                  <c:v>Guainía</c:v>
                </c:pt>
                <c:pt idx="17">
                  <c:v>Guaviare</c:v>
                </c:pt>
                <c:pt idx="18">
                  <c:v>Huila</c:v>
                </c:pt>
                <c:pt idx="19">
                  <c:v>La Guajira</c:v>
                </c:pt>
                <c:pt idx="20">
                  <c:v>Magdalena</c:v>
                </c:pt>
                <c:pt idx="21">
                  <c:v>Meta</c:v>
                </c:pt>
                <c:pt idx="22">
                  <c:v>Nariño</c:v>
                </c:pt>
                <c:pt idx="23">
                  <c:v>Norte de Santander</c:v>
                </c:pt>
                <c:pt idx="24">
                  <c:v>Putumayo</c:v>
                </c:pt>
                <c:pt idx="25">
                  <c:v>Quindío</c:v>
                </c:pt>
                <c:pt idx="26">
                  <c:v>Risaralda</c:v>
                </c:pt>
                <c:pt idx="27">
                  <c:v>San Andrés</c:v>
                </c:pt>
                <c:pt idx="28">
                  <c:v>Santander</c:v>
                </c:pt>
                <c:pt idx="29">
                  <c:v>Sucre</c:v>
                </c:pt>
                <c:pt idx="30">
                  <c:v>Tolima</c:v>
                </c:pt>
                <c:pt idx="31">
                  <c:v>Valle</c:v>
                </c:pt>
                <c:pt idx="32">
                  <c:v>Vaupés</c:v>
                </c:pt>
                <c:pt idx="33">
                  <c:v>Vichada</c:v>
                </c:pt>
              </c:strCache>
            </c:strRef>
          </c:cat>
          <c:val>
            <c:numRef>
              <c:f>'Cualitativo 2023'!$F$110:$F$143</c:f>
              <c:numCache>
                <c:formatCode>0.0</c:formatCode>
                <c:ptCount val="34"/>
                <c:pt idx="0">
                  <c:v>5.4113571081999998</c:v>
                </c:pt>
                <c:pt idx="1">
                  <c:v>22.043211034799999</c:v>
                </c:pt>
                <c:pt idx="2">
                  <c:v>4.1625254118999999</c:v>
                </c:pt>
                <c:pt idx="3">
                  <c:v>3.9556320045</c:v>
                </c:pt>
                <c:pt idx="4">
                  <c:v>3.0235906999000002</c:v>
                </c:pt>
                <c:pt idx="5">
                  <c:v>0.43941662609999999</c:v>
                </c:pt>
                <c:pt idx="6">
                  <c:v>8.9786662965000001</c:v>
                </c:pt>
                <c:pt idx="7">
                  <c:v>5.7049101628000001</c:v>
                </c:pt>
                <c:pt idx="8">
                  <c:v>6.6667446950000002</c:v>
                </c:pt>
                <c:pt idx="9">
                  <c:v>7.2856430446999996</c:v>
                </c:pt>
                <c:pt idx="10">
                  <c:v>5.5692582971000002</c:v>
                </c:pt>
                <c:pt idx="11">
                  <c:v>18.252064333300002</c:v>
                </c:pt>
                <c:pt idx="12">
                  <c:v>5.2670750613999999</c:v>
                </c:pt>
                <c:pt idx="13">
                  <c:v>8.6049714841</c:v>
                </c:pt>
                <c:pt idx="14">
                  <c:v>2.9280214272</c:v>
                </c:pt>
                <c:pt idx="15">
                  <c:v>29.996072532500001</c:v>
                </c:pt>
                <c:pt idx="16">
                  <c:v>18.667754809800002</c:v>
                </c:pt>
                <c:pt idx="17">
                  <c:v>6.3795348331000001</c:v>
                </c:pt>
                <c:pt idx="18">
                  <c:v>10.079329106499999</c:v>
                </c:pt>
                <c:pt idx="19">
                  <c:v>16.505759331899998</c:v>
                </c:pt>
                <c:pt idx="20">
                  <c:v>7.4522478911999999</c:v>
                </c:pt>
                <c:pt idx="21">
                  <c:v>6.0400757431000001</c:v>
                </c:pt>
                <c:pt idx="22">
                  <c:v>7.8643344440999998</c:v>
                </c:pt>
                <c:pt idx="23">
                  <c:v>9.5864627950999992</c:v>
                </c:pt>
                <c:pt idx="24">
                  <c:v>18.982802217100001</c:v>
                </c:pt>
                <c:pt idx="25">
                  <c:v>2.037977476</c:v>
                </c:pt>
                <c:pt idx="26">
                  <c:v>4.1574228261000004</c:v>
                </c:pt>
                <c:pt idx="27">
                  <c:v>40.9033560365</c:v>
                </c:pt>
                <c:pt idx="28">
                  <c:v>5.6644188256000003</c:v>
                </c:pt>
                <c:pt idx="29">
                  <c:v>5.1634841539999998</c:v>
                </c:pt>
                <c:pt idx="30">
                  <c:v>8.4262116077000009</c:v>
                </c:pt>
                <c:pt idx="31">
                  <c:v>1.4889610982999999</c:v>
                </c:pt>
                <c:pt idx="32">
                  <c:v>3.4739548495000001</c:v>
                </c:pt>
                <c:pt idx="33">
                  <c:v>7.6743893198000004</c:v>
                </c:pt>
              </c:numCache>
            </c:numRef>
          </c:val>
          <c:extLst>
            <c:ext xmlns:c16="http://schemas.microsoft.com/office/drawing/2014/chart" uri="{C3380CC4-5D6E-409C-BE32-E72D297353CC}">
              <c16:uniqueId val="{00000001-B339-430F-BD9E-B0EE98F334C3}"/>
            </c:ext>
          </c:extLst>
        </c:ser>
        <c:ser>
          <c:idx val="2"/>
          <c:order val="2"/>
          <c:tx>
            <c:strRef>
              <c:f>'Cualitativo 2023'!$G$109</c:f>
              <c:strCache>
                <c:ptCount val="1"/>
                <c:pt idx="0">
                  <c:v>Alcantarillado</c:v>
                </c:pt>
              </c:strCache>
            </c:strRef>
          </c:tx>
          <c:spPr>
            <a:solidFill>
              <a:schemeClr val="bg1">
                <a:lumMod val="50000"/>
              </a:schemeClr>
            </a:solidFill>
            <a:ln>
              <a:noFill/>
            </a:ln>
            <a:effectLst/>
          </c:spPr>
          <c:invertIfNegative val="0"/>
          <c:cat>
            <c:strRef>
              <c:f>'Cualitativo 2023'!$A$110:$A$143</c:f>
              <c:strCache>
                <c:ptCount val="34"/>
                <c:pt idx="0">
                  <c:v>Total nacional</c:v>
                </c:pt>
                <c:pt idx="1">
                  <c:v>Amazonas</c:v>
                </c:pt>
                <c:pt idx="2">
                  <c:v>Antioquia</c:v>
                </c:pt>
                <c:pt idx="3">
                  <c:v>Arauca</c:v>
                </c:pt>
                <c:pt idx="4">
                  <c:v>Atlántico</c:v>
                </c:pt>
                <c:pt idx="5">
                  <c:v>Bogotá D.C.</c:v>
                </c:pt>
                <c:pt idx="6">
                  <c:v>Bolívar</c:v>
                </c:pt>
                <c:pt idx="7">
                  <c:v>Boyacá</c:v>
                </c:pt>
                <c:pt idx="8">
                  <c:v>Caldas</c:v>
                </c:pt>
                <c:pt idx="9">
                  <c:v>Caquetá</c:v>
                </c:pt>
                <c:pt idx="10">
                  <c:v>Casanare</c:v>
                </c:pt>
                <c:pt idx="11">
                  <c:v>Cauca</c:v>
                </c:pt>
                <c:pt idx="12">
                  <c:v>Cesar</c:v>
                </c:pt>
                <c:pt idx="13">
                  <c:v>Córdoba</c:v>
                </c:pt>
                <c:pt idx="14">
                  <c:v>Cundinamarca</c:v>
                </c:pt>
                <c:pt idx="15">
                  <c:v>Chocó</c:v>
                </c:pt>
                <c:pt idx="16">
                  <c:v>Guainía</c:v>
                </c:pt>
                <c:pt idx="17">
                  <c:v>Guaviare</c:v>
                </c:pt>
                <c:pt idx="18">
                  <c:v>Huila</c:v>
                </c:pt>
                <c:pt idx="19">
                  <c:v>La Guajira</c:v>
                </c:pt>
                <c:pt idx="20">
                  <c:v>Magdalena</c:v>
                </c:pt>
                <c:pt idx="21">
                  <c:v>Meta</c:v>
                </c:pt>
                <c:pt idx="22">
                  <c:v>Nariño</c:v>
                </c:pt>
                <c:pt idx="23">
                  <c:v>Norte de Santander</c:v>
                </c:pt>
                <c:pt idx="24">
                  <c:v>Putumayo</c:v>
                </c:pt>
                <c:pt idx="25">
                  <c:v>Quindío</c:v>
                </c:pt>
                <c:pt idx="26">
                  <c:v>Risaralda</c:v>
                </c:pt>
                <c:pt idx="27">
                  <c:v>San Andrés</c:v>
                </c:pt>
                <c:pt idx="28">
                  <c:v>Santander</c:v>
                </c:pt>
                <c:pt idx="29">
                  <c:v>Sucre</c:v>
                </c:pt>
                <c:pt idx="30">
                  <c:v>Tolima</c:v>
                </c:pt>
                <c:pt idx="31">
                  <c:v>Valle</c:v>
                </c:pt>
                <c:pt idx="32">
                  <c:v>Vaupés</c:v>
                </c:pt>
                <c:pt idx="33">
                  <c:v>Vichada</c:v>
                </c:pt>
              </c:strCache>
            </c:strRef>
          </c:cat>
          <c:val>
            <c:numRef>
              <c:f>'Cualitativo 2023'!$G$110:$G$143</c:f>
              <c:numCache>
                <c:formatCode>0.0</c:formatCode>
                <c:ptCount val="34"/>
                <c:pt idx="0">
                  <c:v>6.8495634913999996</c:v>
                </c:pt>
                <c:pt idx="1">
                  <c:v>13.9289777756</c:v>
                </c:pt>
                <c:pt idx="2">
                  <c:v>7.8803126024000001</c:v>
                </c:pt>
                <c:pt idx="3">
                  <c:v>5.7198796581</c:v>
                </c:pt>
                <c:pt idx="4">
                  <c:v>6.3109160242</c:v>
                </c:pt>
                <c:pt idx="5">
                  <c:v>0.47908560820000001</c:v>
                </c:pt>
                <c:pt idx="6">
                  <c:v>26.446073738500001</c:v>
                </c:pt>
                <c:pt idx="7">
                  <c:v>4.9481306420999998</c:v>
                </c:pt>
                <c:pt idx="8">
                  <c:v>3.4153168106999998</c:v>
                </c:pt>
                <c:pt idx="9">
                  <c:v>5.8901727681000002</c:v>
                </c:pt>
                <c:pt idx="10">
                  <c:v>5.9456892293000001</c:v>
                </c:pt>
                <c:pt idx="11">
                  <c:v>6.654405144</c:v>
                </c:pt>
                <c:pt idx="12">
                  <c:v>8.0138894412999999</c:v>
                </c:pt>
                <c:pt idx="13">
                  <c:v>10.9218923693</c:v>
                </c:pt>
                <c:pt idx="14">
                  <c:v>5.2136614202000002</c:v>
                </c:pt>
                <c:pt idx="15">
                  <c:v>30.784066467500001</c:v>
                </c:pt>
                <c:pt idx="16">
                  <c:v>21.870247602300001</c:v>
                </c:pt>
                <c:pt idx="17">
                  <c:v>7.6549500558999997</c:v>
                </c:pt>
                <c:pt idx="18">
                  <c:v>3.3448457412999999</c:v>
                </c:pt>
                <c:pt idx="19">
                  <c:v>19.2513659522</c:v>
                </c:pt>
                <c:pt idx="20">
                  <c:v>20.5990804851</c:v>
                </c:pt>
                <c:pt idx="21">
                  <c:v>4.2410281291</c:v>
                </c:pt>
                <c:pt idx="22">
                  <c:v>8.8444004722000003</c:v>
                </c:pt>
                <c:pt idx="23">
                  <c:v>4.3307049588000002</c:v>
                </c:pt>
                <c:pt idx="24">
                  <c:v>4.2696859702000003</c:v>
                </c:pt>
                <c:pt idx="25">
                  <c:v>1.6087889012000001</c:v>
                </c:pt>
                <c:pt idx="26">
                  <c:v>7.2426557719</c:v>
                </c:pt>
                <c:pt idx="27">
                  <c:v>57.900171385299998</c:v>
                </c:pt>
                <c:pt idx="28">
                  <c:v>6.2484887690999997</c:v>
                </c:pt>
                <c:pt idx="29">
                  <c:v>18.436926783899999</c:v>
                </c:pt>
                <c:pt idx="30">
                  <c:v>5.0640648252</c:v>
                </c:pt>
                <c:pt idx="31">
                  <c:v>2.1923249414999999</c:v>
                </c:pt>
                <c:pt idx="32">
                  <c:v>2.9603731770000001</c:v>
                </c:pt>
                <c:pt idx="33">
                  <c:v>38.580657135199999</c:v>
                </c:pt>
              </c:numCache>
            </c:numRef>
          </c:val>
          <c:extLst>
            <c:ext xmlns:c16="http://schemas.microsoft.com/office/drawing/2014/chart" uri="{C3380CC4-5D6E-409C-BE32-E72D297353CC}">
              <c16:uniqueId val="{00000002-B339-430F-BD9E-B0EE98F334C3}"/>
            </c:ext>
          </c:extLst>
        </c:ser>
        <c:dLbls>
          <c:showLegendKey val="0"/>
          <c:showVal val="0"/>
          <c:showCatName val="0"/>
          <c:showSerName val="0"/>
          <c:showPercent val="0"/>
          <c:showBubbleSize val="0"/>
        </c:dLbls>
        <c:gapWidth val="150"/>
        <c:axId val="1222996448"/>
        <c:axId val="1222998944"/>
      </c:barChart>
      <c:catAx>
        <c:axId val="122299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22998944"/>
        <c:crosses val="autoZero"/>
        <c:auto val="1"/>
        <c:lblAlgn val="ctr"/>
        <c:lblOffset val="100"/>
        <c:noMultiLvlLbl val="0"/>
      </c:catAx>
      <c:valAx>
        <c:axId val="1222998944"/>
        <c:scaling>
          <c:orientation val="minMax"/>
          <c:max val="60"/>
        </c:scaling>
        <c:delete val="0"/>
        <c:axPos val="l"/>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22996448"/>
        <c:crosses val="autoZero"/>
        <c:crossBetween val="between"/>
        <c:majorUnit val="20"/>
      </c:valAx>
      <c:spPr>
        <a:noFill/>
        <a:ln>
          <a:noFill/>
        </a:ln>
        <a:effectLst/>
      </c:spPr>
    </c:plotArea>
    <c:legend>
      <c:legendPos val="r"/>
      <c:layout>
        <c:manualLayout>
          <c:xMode val="edge"/>
          <c:yMode val="edge"/>
          <c:x val="5.4133318441577781E-2"/>
          <c:y val="7.7256124234470688E-2"/>
          <c:w val="0.21584304089648365"/>
          <c:h val="0.2065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233633302526181E-2"/>
          <c:y val="5.0925925925925923E-2"/>
          <c:w val="0.88793621824350055"/>
          <c:h val="0.57810726388849121"/>
        </c:manualLayout>
      </c:layout>
      <c:barChart>
        <c:barDir val="col"/>
        <c:grouping val="clustered"/>
        <c:varyColors val="0"/>
        <c:ser>
          <c:idx val="0"/>
          <c:order val="0"/>
          <c:tx>
            <c:strRef>
              <c:f>'Cualitativo 2023'!$B$109</c:f>
              <c:strCache>
                <c:ptCount val="1"/>
                <c:pt idx="0">
                  <c:v>Déficit cualitativo (%)</c:v>
                </c:pt>
              </c:strCache>
            </c:strRef>
          </c:tx>
          <c:spPr>
            <a:solidFill>
              <a:schemeClr val="bg1">
                <a:lumMod val="5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'Cualitativo 2023'!$A$110:$A$143</c:f>
              <c:strCache>
                <c:ptCount val="34"/>
                <c:pt idx="0">
                  <c:v>Total nacional</c:v>
                </c:pt>
                <c:pt idx="1">
                  <c:v>Amazonas</c:v>
                </c:pt>
                <c:pt idx="2">
                  <c:v>Antioquia</c:v>
                </c:pt>
                <c:pt idx="3">
                  <c:v>Arauca</c:v>
                </c:pt>
                <c:pt idx="4">
                  <c:v>Atlántico</c:v>
                </c:pt>
                <c:pt idx="5">
                  <c:v>Bogotá D.C.</c:v>
                </c:pt>
                <c:pt idx="6">
                  <c:v>Bolívar</c:v>
                </c:pt>
                <c:pt idx="7">
                  <c:v>Boyacá</c:v>
                </c:pt>
                <c:pt idx="8">
                  <c:v>Caldas</c:v>
                </c:pt>
                <c:pt idx="9">
                  <c:v>Caquetá</c:v>
                </c:pt>
                <c:pt idx="10">
                  <c:v>Casanare</c:v>
                </c:pt>
                <c:pt idx="11">
                  <c:v>Cauca</c:v>
                </c:pt>
                <c:pt idx="12">
                  <c:v>Cesar</c:v>
                </c:pt>
                <c:pt idx="13">
                  <c:v>Córdoba</c:v>
                </c:pt>
                <c:pt idx="14">
                  <c:v>Cundinamarca</c:v>
                </c:pt>
                <c:pt idx="15">
                  <c:v>Chocó</c:v>
                </c:pt>
                <c:pt idx="16">
                  <c:v>Guainía</c:v>
                </c:pt>
                <c:pt idx="17">
                  <c:v>Guaviare</c:v>
                </c:pt>
                <c:pt idx="18">
                  <c:v>Huila</c:v>
                </c:pt>
                <c:pt idx="19">
                  <c:v>La Guajira</c:v>
                </c:pt>
                <c:pt idx="20">
                  <c:v>Magdalena</c:v>
                </c:pt>
                <c:pt idx="21">
                  <c:v>Meta</c:v>
                </c:pt>
                <c:pt idx="22">
                  <c:v>Nariño</c:v>
                </c:pt>
                <c:pt idx="23">
                  <c:v>Norte de Santander</c:v>
                </c:pt>
                <c:pt idx="24">
                  <c:v>Putumayo</c:v>
                </c:pt>
                <c:pt idx="25">
                  <c:v>Quindío</c:v>
                </c:pt>
                <c:pt idx="26">
                  <c:v>Risaralda</c:v>
                </c:pt>
                <c:pt idx="27">
                  <c:v>San Andrés</c:v>
                </c:pt>
                <c:pt idx="28">
                  <c:v>Santander</c:v>
                </c:pt>
                <c:pt idx="29">
                  <c:v>Sucre</c:v>
                </c:pt>
                <c:pt idx="30">
                  <c:v>Tolima</c:v>
                </c:pt>
                <c:pt idx="31">
                  <c:v>Valle</c:v>
                </c:pt>
                <c:pt idx="32">
                  <c:v>Vaupés</c:v>
                </c:pt>
                <c:pt idx="33">
                  <c:v>Vichada</c:v>
                </c:pt>
              </c:strCache>
            </c:strRef>
          </c:cat>
          <c:val>
            <c:numRef>
              <c:f>'Cualitativo 2023'!$B$110:$B$143</c:f>
              <c:numCache>
                <c:formatCode>0.0</c:formatCode>
                <c:ptCount val="34"/>
                <c:pt idx="0">
                  <c:v>22.0960560925</c:v>
                </c:pt>
                <c:pt idx="1">
                  <c:v>31.458641760399999</c:v>
                </c:pt>
                <c:pt idx="2">
                  <c:v>19.360067475200001</c:v>
                </c:pt>
                <c:pt idx="3">
                  <c:v>20.8166758204</c:v>
                </c:pt>
                <c:pt idx="4">
                  <c:v>25.9526740268</c:v>
                </c:pt>
                <c:pt idx="5">
                  <c:v>10.4272782708</c:v>
                </c:pt>
                <c:pt idx="6">
                  <c:v>47.613069716399998</c:v>
                </c:pt>
                <c:pt idx="7">
                  <c:v>18.320454811499999</c:v>
                </c:pt>
                <c:pt idx="8">
                  <c:v>16.725988269399998</c:v>
                </c:pt>
                <c:pt idx="9">
                  <c:v>18.3040489278</c:v>
                </c:pt>
                <c:pt idx="10">
                  <c:v>23.891084179700002</c:v>
                </c:pt>
                <c:pt idx="11">
                  <c:v>35.143147595199999</c:v>
                </c:pt>
                <c:pt idx="12">
                  <c:v>35.942418317799998</c:v>
                </c:pt>
                <c:pt idx="13">
                  <c:v>36.517811349799999</c:v>
                </c:pt>
                <c:pt idx="14">
                  <c:v>16.0249373011</c:v>
                </c:pt>
                <c:pt idx="15">
                  <c:v>41.497916111899997</c:v>
                </c:pt>
                <c:pt idx="16">
                  <c:v>32.5116294774</c:v>
                </c:pt>
                <c:pt idx="17">
                  <c:v>19.174426692800001</c:v>
                </c:pt>
                <c:pt idx="18">
                  <c:v>24.338576658499999</c:v>
                </c:pt>
                <c:pt idx="19">
                  <c:v>46.1972890662</c:v>
                </c:pt>
                <c:pt idx="20">
                  <c:v>47.950701236800001</c:v>
                </c:pt>
                <c:pt idx="21">
                  <c:v>18.425292994500001</c:v>
                </c:pt>
                <c:pt idx="22">
                  <c:v>25.452404707199999</c:v>
                </c:pt>
                <c:pt idx="23">
                  <c:v>29.354048600500001</c:v>
                </c:pt>
                <c:pt idx="24">
                  <c:v>24.821473541100001</c:v>
                </c:pt>
                <c:pt idx="25">
                  <c:v>10.6372021233</c:v>
                </c:pt>
                <c:pt idx="26">
                  <c:v>19.321286727</c:v>
                </c:pt>
                <c:pt idx="27">
                  <c:v>68.661339014999996</c:v>
                </c:pt>
                <c:pt idx="28">
                  <c:v>18.3125925977</c:v>
                </c:pt>
                <c:pt idx="29">
                  <c:v>48.703134361099998</c:v>
                </c:pt>
                <c:pt idx="30">
                  <c:v>21.515486564</c:v>
                </c:pt>
                <c:pt idx="31">
                  <c:v>11.4624083261</c:v>
                </c:pt>
                <c:pt idx="32">
                  <c:v>6.2808790143</c:v>
                </c:pt>
                <c:pt idx="33">
                  <c:v>49.080231240400003</c:v>
                </c:pt>
              </c:numCache>
            </c:numRef>
          </c:val>
          <c:extLst>
            <c:ext xmlns:c16="http://schemas.microsoft.com/office/drawing/2014/chart" uri="{C3380CC4-5D6E-409C-BE32-E72D297353CC}">
              <c16:uniqueId val="{00000000-2ECA-4338-BF5D-5E6AECCED7C6}"/>
            </c:ext>
          </c:extLst>
        </c:ser>
        <c:dLbls>
          <c:showLegendKey val="0"/>
          <c:showVal val="0"/>
          <c:showCatName val="0"/>
          <c:showSerName val="0"/>
          <c:showPercent val="0"/>
          <c:showBubbleSize val="0"/>
        </c:dLbls>
        <c:gapWidth val="150"/>
        <c:axId val="1337842304"/>
        <c:axId val="1337845216"/>
      </c:barChart>
      <c:lineChart>
        <c:grouping val="standard"/>
        <c:varyColors val="0"/>
        <c:ser>
          <c:idx val="1"/>
          <c:order val="1"/>
          <c:tx>
            <c:strRef>
              <c:f>'Cualitativo 2023'!$K$109</c:f>
              <c:strCache>
                <c:ptCount val="1"/>
                <c:pt idx="0">
                  <c:v> Asignaciones de mejoramientos (%)</c:v>
                </c:pt>
              </c:strCache>
            </c:strRef>
          </c:tx>
          <c:spPr>
            <a:ln w="28575" cap="rnd">
              <a:solidFill>
                <a:srgbClr val="00B0F0"/>
              </a:solidFill>
              <a:round/>
            </a:ln>
            <a:effectLst/>
          </c:spPr>
          <c:marker>
            <c:symbol val="circle"/>
            <c:size val="5"/>
            <c:spPr>
              <a:solidFill>
                <a:srgbClr val="00B0F0"/>
              </a:solidFill>
              <a:ln w="9525">
                <a:solidFill>
                  <a:srgbClr val="00B0F0"/>
                </a:solidFill>
              </a:ln>
              <a:effectLst/>
            </c:spPr>
          </c:marker>
          <c:cat>
            <c:strRef>
              <c:f>'Cualitativo 2023'!$A$111:$A$143</c:f>
              <c:strCache>
                <c:ptCount val="33"/>
                <c:pt idx="0">
                  <c:v>Amazonas</c:v>
                </c:pt>
                <c:pt idx="1">
                  <c:v>Antioquia</c:v>
                </c:pt>
                <c:pt idx="2">
                  <c:v>Arauca</c:v>
                </c:pt>
                <c:pt idx="3">
                  <c:v>Atlántico</c:v>
                </c:pt>
                <c:pt idx="4">
                  <c:v>Bogotá D.C.</c:v>
                </c:pt>
                <c:pt idx="5">
                  <c:v>Bolívar</c:v>
                </c:pt>
                <c:pt idx="6">
                  <c:v>Boyacá</c:v>
                </c:pt>
                <c:pt idx="7">
                  <c:v>Caldas</c:v>
                </c:pt>
                <c:pt idx="8">
                  <c:v>Caquetá</c:v>
                </c:pt>
                <c:pt idx="9">
                  <c:v>Casanare</c:v>
                </c:pt>
                <c:pt idx="10">
                  <c:v>Cauca</c:v>
                </c:pt>
                <c:pt idx="11">
                  <c:v>Cesar</c:v>
                </c:pt>
                <c:pt idx="12">
                  <c:v>Córdoba</c:v>
                </c:pt>
                <c:pt idx="13">
                  <c:v>Cundinamarca</c:v>
                </c:pt>
                <c:pt idx="14">
                  <c:v>Chocó</c:v>
                </c:pt>
                <c:pt idx="15">
                  <c:v>Guainía</c:v>
                </c:pt>
                <c:pt idx="16">
                  <c:v>Guaviare</c:v>
                </c:pt>
                <c:pt idx="17">
                  <c:v>Huila</c:v>
                </c:pt>
                <c:pt idx="18">
                  <c:v>La Guajira</c:v>
                </c:pt>
                <c:pt idx="19">
                  <c:v>Magdalena</c:v>
                </c:pt>
                <c:pt idx="20">
                  <c:v>Meta</c:v>
                </c:pt>
                <c:pt idx="21">
                  <c:v>Nariño</c:v>
                </c:pt>
                <c:pt idx="22">
                  <c:v>Norte de Santander</c:v>
                </c:pt>
                <c:pt idx="23">
                  <c:v>Putumayo</c:v>
                </c:pt>
                <c:pt idx="24">
                  <c:v>Quindío</c:v>
                </c:pt>
                <c:pt idx="25">
                  <c:v>Risaralda</c:v>
                </c:pt>
                <c:pt idx="26">
                  <c:v>San Andrés</c:v>
                </c:pt>
                <c:pt idx="27">
                  <c:v>Santander</c:v>
                </c:pt>
                <c:pt idx="28">
                  <c:v>Sucre</c:v>
                </c:pt>
                <c:pt idx="29">
                  <c:v>Tolima</c:v>
                </c:pt>
                <c:pt idx="30">
                  <c:v>Valle</c:v>
                </c:pt>
                <c:pt idx="31">
                  <c:v>Vaupés</c:v>
                </c:pt>
                <c:pt idx="32">
                  <c:v>Vichada</c:v>
                </c:pt>
              </c:strCache>
            </c:strRef>
          </c:cat>
          <c:val>
            <c:numRef>
              <c:f>'Cualitativo 2023'!$K$110:$K$143</c:f>
              <c:numCache>
                <c:formatCode>0.0%</c:formatCode>
                <c:ptCount val="34"/>
                <c:pt idx="1">
                  <c:v>0</c:v>
                </c:pt>
                <c:pt idx="2">
                  <c:v>9.7994443810176204E-2</c:v>
                </c:pt>
                <c:pt idx="3">
                  <c:v>1.6668569471400847E-2</c:v>
                </c:pt>
                <c:pt idx="4">
                  <c:v>8.0031967119534198E-2</c:v>
                </c:pt>
                <c:pt idx="5">
                  <c:v>2.2833656810138142E-3</c:v>
                </c:pt>
                <c:pt idx="6">
                  <c:v>0.10701373825018076</c:v>
                </c:pt>
                <c:pt idx="7">
                  <c:v>9.057350534688131E-3</c:v>
                </c:pt>
                <c:pt idx="8">
                  <c:v>1.3966586748867832E-2</c:v>
                </c:pt>
                <c:pt idx="9">
                  <c:v>4.9092362141797009E-3</c:v>
                </c:pt>
                <c:pt idx="10">
                  <c:v>3.0064314800015224E-3</c:v>
                </c:pt>
                <c:pt idx="11">
                  <c:v>1.8913879057731096E-2</c:v>
                </c:pt>
                <c:pt idx="12">
                  <c:v>1.8989991247098222E-2</c:v>
                </c:pt>
                <c:pt idx="13">
                  <c:v>4.547703314685847E-2</c:v>
                </c:pt>
                <c:pt idx="14">
                  <c:v>3.1129885451155002E-2</c:v>
                </c:pt>
                <c:pt idx="15">
                  <c:v>1.1416828405069072E-2</c:v>
                </c:pt>
                <c:pt idx="16">
                  <c:v>1.9028047341781786E-4</c:v>
                </c:pt>
                <c:pt idx="17">
                  <c:v>7.6112189367127142E-5</c:v>
                </c:pt>
                <c:pt idx="18">
                  <c:v>3.9464170186855427E-2</c:v>
                </c:pt>
                <c:pt idx="19">
                  <c:v>8.3723408303839862E-3</c:v>
                </c:pt>
                <c:pt idx="20">
                  <c:v>1.1150435742284127E-2</c:v>
                </c:pt>
                <c:pt idx="21">
                  <c:v>1.1607108878486891E-2</c:v>
                </c:pt>
                <c:pt idx="22">
                  <c:v>0.19648361685123872</c:v>
                </c:pt>
                <c:pt idx="23">
                  <c:v>2.0207786276972256E-2</c:v>
                </c:pt>
                <c:pt idx="24">
                  <c:v>1.1835445446588272E-2</c:v>
                </c:pt>
                <c:pt idx="25">
                  <c:v>8.4103969250675491E-3</c:v>
                </c:pt>
                <c:pt idx="26">
                  <c:v>1.3357689233930815E-2</c:v>
                </c:pt>
                <c:pt idx="27">
                  <c:v>9.2856871027895121E-3</c:v>
                </c:pt>
                <c:pt idx="28">
                  <c:v>2.0245842371655821E-2</c:v>
                </c:pt>
                <c:pt idx="29">
                  <c:v>3.9616394565589678E-2</c:v>
                </c:pt>
                <c:pt idx="30">
                  <c:v>8.543593256460022E-2</c:v>
                </c:pt>
                <c:pt idx="31">
                  <c:v>6.3287285458766218E-2</c:v>
                </c:pt>
                <c:pt idx="32">
                  <c:v>0</c:v>
                </c:pt>
                <c:pt idx="33">
                  <c:v>1.1416828405069072E-4</c:v>
                </c:pt>
              </c:numCache>
            </c:numRef>
          </c:val>
          <c:smooth val="0"/>
          <c:extLst>
            <c:ext xmlns:c16="http://schemas.microsoft.com/office/drawing/2014/chart" uri="{C3380CC4-5D6E-409C-BE32-E72D297353CC}">
              <c16:uniqueId val="{00000001-2ECA-4338-BF5D-5E6AECCED7C6}"/>
            </c:ext>
          </c:extLst>
        </c:ser>
        <c:dLbls>
          <c:showLegendKey val="0"/>
          <c:showVal val="0"/>
          <c:showCatName val="0"/>
          <c:showSerName val="0"/>
          <c:showPercent val="0"/>
          <c:showBubbleSize val="0"/>
        </c:dLbls>
        <c:marker val="1"/>
        <c:smooth val="0"/>
        <c:axId val="1467136160"/>
        <c:axId val="1467139488"/>
      </c:lineChart>
      <c:catAx>
        <c:axId val="133784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7845216"/>
        <c:crosses val="autoZero"/>
        <c:auto val="1"/>
        <c:lblAlgn val="ctr"/>
        <c:lblOffset val="100"/>
        <c:noMultiLvlLbl val="0"/>
      </c:catAx>
      <c:valAx>
        <c:axId val="1337845216"/>
        <c:scaling>
          <c:orientation val="minMax"/>
        </c:scaling>
        <c:delete val="0"/>
        <c:axPos val="l"/>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7842304"/>
        <c:crosses val="autoZero"/>
        <c:crossBetween val="between"/>
        <c:majorUnit val="20"/>
        <c:minorUnit val="4"/>
      </c:valAx>
      <c:valAx>
        <c:axId val="1467139488"/>
        <c:scaling>
          <c:orientation val="minMax"/>
        </c:scaling>
        <c:delete val="0"/>
        <c:axPos val="r"/>
        <c:numFmt formatCode="0%" sourceLinked="0"/>
        <c:majorTickMark val="out"/>
        <c:minorTickMark val="none"/>
        <c:tickLblPos val="nextTo"/>
        <c:spPr>
          <a:noFill/>
          <a:ln>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67136160"/>
        <c:crosses val="max"/>
        <c:crossBetween val="between"/>
        <c:majorUnit val="0.1"/>
      </c:valAx>
      <c:catAx>
        <c:axId val="1467136160"/>
        <c:scaling>
          <c:orientation val="minMax"/>
        </c:scaling>
        <c:delete val="1"/>
        <c:axPos val="b"/>
        <c:numFmt formatCode="General" sourceLinked="1"/>
        <c:majorTickMark val="out"/>
        <c:minorTickMark val="none"/>
        <c:tickLblPos val="nextTo"/>
        <c:crossAx val="1467139488"/>
        <c:crosses val="autoZero"/>
        <c:auto val="1"/>
        <c:lblAlgn val="ctr"/>
        <c:lblOffset val="100"/>
        <c:noMultiLvlLbl val="0"/>
      </c:catAx>
      <c:spPr>
        <a:noFill/>
        <a:ln>
          <a:noFill/>
        </a:ln>
        <a:effectLst/>
      </c:spPr>
    </c:plotArea>
    <c:legend>
      <c:legendPos val="r"/>
      <c:layout>
        <c:manualLayout>
          <c:xMode val="edge"/>
          <c:yMode val="edge"/>
          <c:x val="6.5637824304528705E-2"/>
          <c:y val="6.3462553016009046E-2"/>
          <c:w val="0.62623065772315456"/>
          <c:h val="8.25507846221238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97EAF-74AA-4463-90A2-6F21511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3594</Words>
  <Characters>19770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Diaz Mojica</dc:creator>
  <cp:keywords/>
  <dc:description/>
  <cp:lastModifiedBy>Sandra ytv</cp:lastModifiedBy>
  <cp:revision>29</cp:revision>
  <cp:lastPrinted>2023-09-20T17:05:00Z</cp:lastPrinted>
  <dcterms:created xsi:type="dcterms:W3CDTF">2024-05-30T16:28:00Z</dcterms:created>
  <dcterms:modified xsi:type="dcterms:W3CDTF">2024-05-31T19:10:00Z</dcterms:modified>
</cp:coreProperties>
</file>